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B9" w:rsidRDefault="00C965B9" w:rsidP="00CC6940">
      <w:pPr>
        <w:ind w:left="708" w:firstLine="708"/>
        <w:rPr>
          <w:rFonts w:ascii="Arial" w:hAnsi="Arial" w:cs="Arial"/>
          <w:b/>
          <w:sz w:val="44"/>
          <w:szCs w:val="44"/>
          <w:u w:val="single"/>
        </w:rPr>
      </w:pPr>
    </w:p>
    <w:p w:rsidR="003F4CC1" w:rsidRDefault="003F4CC1"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r w:rsidR="00045BAE">
        <w:rPr>
          <w:rFonts w:ascii="Arial" w:hAnsi="Arial" w:cs="Arial"/>
          <w:b/>
          <w:caps/>
          <w:sz w:val="48"/>
          <w:szCs w:val="48"/>
        </w:rPr>
        <w:t>2</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2316C6" w:rsidP="00CC6940">
      <w:pPr>
        <w:jc w:val="center"/>
        <w:rPr>
          <w:rFonts w:ascii="Arial" w:hAnsi="Arial" w:cs="Arial"/>
          <w:b/>
          <w:caps/>
          <w:sz w:val="48"/>
          <w:szCs w:val="48"/>
          <w:u w:val="single"/>
        </w:rPr>
      </w:pPr>
      <w:r w:rsidRPr="002316C6">
        <w:rPr>
          <w:noProof/>
        </w:rPr>
        <w:pict>
          <v:rect id="_x0000_s1026" style="position:absolute;left:0;text-align:left;margin-left:193.5pt;margin-top:108pt;width:101.25pt;height:654.75pt;z-index:-251657728;mso-position-horizontal-relative:margin;mso-position-vertical-relative:page" fillcolor="#9cf" stroked="f" strokecolor="blue">
            <w10:wrap anchorx="margin" anchory="page"/>
          </v:rect>
        </w:pict>
      </w:r>
      <w:r w:rsidR="00C965B9">
        <w:rPr>
          <w:rFonts w:ascii="Arial" w:hAnsi="Arial" w:cs="Arial"/>
          <w:b/>
          <w:caps/>
          <w:sz w:val="48"/>
          <w:szCs w:val="48"/>
          <w:u w:val="single"/>
        </w:rPr>
        <w:t>Podmínky realizace projektu</w:t>
      </w:r>
      <w:r w:rsidR="00045BAE">
        <w:rPr>
          <w:rFonts w:ascii="Arial" w:hAnsi="Arial" w:cs="Arial"/>
          <w:b/>
          <w:caps/>
          <w:sz w:val="48"/>
          <w:szCs w:val="48"/>
          <w:u w:val="single"/>
        </w:rPr>
        <w:t xml:space="preserve"> pro výzvu č. 02</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7E52C1" w:rsidRPr="007E52C1">
        <w:rPr>
          <w:b/>
          <w:sz w:val="28"/>
          <w:szCs w:val="28"/>
        </w:rPr>
        <w:t>7</w:t>
      </w:r>
      <w:r w:rsidR="00387ACD" w:rsidRPr="007E52C1">
        <w:rPr>
          <w:b/>
          <w:sz w:val="28"/>
          <w:szCs w:val="28"/>
        </w:rPr>
        <w:t>/</w:t>
      </w:r>
      <w:r w:rsidR="00045BAE">
        <w:rPr>
          <w:b/>
          <w:sz w:val="28"/>
          <w:szCs w:val="28"/>
        </w:rPr>
        <w:t>9</w:t>
      </w:r>
      <w:r>
        <w:rPr>
          <w:b/>
          <w:sz w:val="28"/>
          <w:szCs w:val="28"/>
        </w:rPr>
        <w:t xml:space="preserve">, platnost </w:t>
      </w:r>
      <w:r w:rsidR="00045BAE">
        <w:rPr>
          <w:b/>
          <w:sz w:val="28"/>
          <w:szCs w:val="28"/>
        </w:rPr>
        <w:t>2</w:t>
      </w:r>
      <w:r w:rsidR="005B76C9">
        <w:rPr>
          <w:b/>
          <w:sz w:val="28"/>
          <w:szCs w:val="28"/>
        </w:rPr>
        <w:t>.</w:t>
      </w:r>
      <w:r w:rsidR="00045BAE">
        <w:rPr>
          <w:b/>
          <w:sz w:val="28"/>
          <w:szCs w:val="28"/>
        </w:rPr>
        <w:t xml:space="preserve"> 1</w:t>
      </w:r>
      <w:r w:rsidR="005B76C9">
        <w:rPr>
          <w:b/>
          <w:sz w:val="28"/>
          <w:szCs w:val="28"/>
        </w:rPr>
        <w:t>. 201</w:t>
      </w:r>
      <w:r w:rsidR="00045BAE">
        <w:rPr>
          <w:b/>
          <w:sz w:val="28"/>
          <w:szCs w:val="28"/>
        </w:rPr>
        <w:t>4</w:t>
      </w:r>
      <w:r w:rsidR="005B76C9">
        <w:rPr>
          <w:b/>
          <w:sz w:val="28"/>
          <w:szCs w:val="28"/>
        </w:rPr>
        <w:t>,</w:t>
      </w:r>
      <w:r w:rsidR="007E52C1">
        <w:rPr>
          <w:b/>
          <w:sz w:val="28"/>
          <w:szCs w:val="28"/>
        </w:rPr>
        <w:t xml:space="preserve"> účinnost </w:t>
      </w:r>
      <w:r>
        <w:rPr>
          <w:b/>
          <w:sz w:val="28"/>
          <w:szCs w:val="28"/>
        </w:rPr>
        <w:t xml:space="preserve">od </w:t>
      </w:r>
      <w:r w:rsidR="00045BAE">
        <w:rPr>
          <w:b/>
          <w:sz w:val="28"/>
          <w:szCs w:val="28"/>
        </w:rPr>
        <w:t>3</w:t>
      </w:r>
      <w:r>
        <w:rPr>
          <w:b/>
          <w:sz w:val="28"/>
          <w:szCs w:val="28"/>
        </w:rPr>
        <w:t xml:space="preserve">. </w:t>
      </w:r>
      <w:r w:rsidR="00045BAE">
        <w:rPr>
          <w:b/>
          <w:sz w:val="28"/>
          <w:szCs w:val="28"/>
        </w:rPr>
        <w:t>1</w:t>
      </w:r>
      <w:r>
        <w:rPr>
          <w:b/>
          <w:sz w:val="28"/>
          <w:szCs w:val="28"/>
        </w:rPr>
        <w:t>. 201</w:t>
      </w:r>
      <w:r w:rsidR="00045BAE">
        <w:rPr>
          <w:b/>
          <w:sz w:val="28"/>
          <w:szCs w:val="28"/>
        </w:rPr>
        <w:t>4</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účtu/podúčtu,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č.j.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E2B34" w:rsidRDefault="00C965B9" w:rsidP="004207D3">
      <w:pPr>
        <w:pStyle w:val="Zkladntext3"/>
        <w:numPr>
          <w:ilvl w:val="0"/>
          <w:numId w:val="27"/>
        </w:numPr>
        <w:tabs>
          <w:tab w:val="num" w:pos="786"/>
        </w:tabs>
        <w:snapToGrid w:val="0"/>
        <w:spacing w:after="120"/>
        <w:ind w:left="786"/>
        <w:rPr>
          <w:bCs/>
          <w:szCs w:val="24"/>
        </w:rPr>
      </w:pPr>
      <w:r>
        <w:rPr>
          <w:bCs/>
          <w:szCs w:val="24"/>
        </w:rPr>
        <w:t xml:space="preserve"> </w:t>
      </w:r>
      <w:r w:rsidRPr="00EE2B34">
        <w:rPr>
          <w:bCs/>
          <w:szCs w:val="24"/>
        </w:rPr>
        <w:t>A</w:t>
      </w:r>
      <w:r>
        <w:rPr>
          <w:bCs/>
        </w:rPr>
        <w:t>d</w:t>
      </w:r>
      <w:r w:rsidRPr="00EE2B34">
        <w:rPr>
          <w:bCs/>
          <w:szCs w:val="24"/>
        </w:rPr>
        <w:t>ministraci projektu pro</w:t>
      </w:r>
      <w:r>
        <w:rPr>
          <w:bCs/>
        </w:rPr>
        <w:t>vádí Ř</w:t>
      </w:r>
      <w:r w:rsidRPr="00EE2B34">
        <w:rPr>
          <w:bCs/>
          <w:szCs w:val="24"/>
        </w:rPr>
        <w:t xml:space="preserve">ídící orgán Operačního programu Technická pomoc (dále jen „ŘO OPTP“). Pro potřeby realizace tohoto projektu je kontaktním místem pro příjemce: Ministerstvo pro místní rozvoj, odbor ŘO OPTP, Staroměstské náměstí 6, 110 15 Praha 1. </w:t>
      </w:r>
    </w:p>
    <w:p w:rsidR="00C965B9" w:rsidRPr="00EE2B34" w:rsidRDefault="00C965B9" w:rsidP="004207D3">
      <w:pPr>
        <w:pStyle w:val="Zkladntext3"/>
        <w:snapToGrid w:val="0"/>
        <w:spacing w:after="120"/>
        <w:ind w:left="786"/>
        <w:rPr>
          <w:bCs/>
          <w:szCs w:val="24"/>
        </w:rPr>
      </w:pPr>
    </w:p>
    <w:p w:rsidR="00C965B9" w:rsidRPr="00EE2B34" w:rsidRDefault="00C965B9" w:rsidP="004207D3">
      <w:pPr>
        <w:rPr>
          <w:bCs/>
          <w:szCs w:val="24"/>
        </w:rPr>
      </w:pPr>
    </w:p>
    <w:p w:rsidR="00C965B9" w:rsidRPr="00EE2B34" w:rsidRDefault="00D36704" w:rsidP="004207D3">
      <w:pPr>
        <w:pStyle w:val="Nadpis3"/>
        <w:spacing w:after="120"/>
        <w:rPr>
          <w:bCs/>
          <w:i/>
          <w:szCs w:val="24"/>
        </w:rPr>
      </w:pPr>
      <w:r w:rsidRPr="00D36704">
        <w:rPr>
          <w:bCs/>
          <w:i/>
          <w:szCs w:val="24"/>
        </w:rPr>
        <w:t>Část II</w:t>
      </w:r>
    </w:p>
    <w:p w:rsidR="00C965B9" w:rsidRPr="00EE2B34" w:rsidRDefault="00D36704" w:rsidP="004207D3">
      <w:pPr>
        <w:widowControl w:val="0"/>
        <w:tabs>
          <w:tab w:val="left" w:pos="708"/>
        </w:tabs>
        <w:spacing w:after="120"/>
        <w:jc w:val="center"/>
        <w:rPr>
          <w:b/>
          <w:bCs/>
          <w:i/>
          <w:snapToGrid w:val="0"/>
          <w:sz w:val="24"/>
          <w:szCs w:val="24"/>
        </w:rPr>
      </w:pPr>
      <w:r w:rsidRPr="00D36704">
        <w:rPr>
          <w:b/>
          <w:bCs/>
          <w:i/>
          <w:snapToGrid w:val="0"/>
          <w:sz w:val="24"/>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lastRenderedPageBreak/>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Výše dotace a zdrojů spolufinancování způso</w:t>
      </w:r>
      <w:r w:rsidRPr="00D36704">
        <w:rPr>
          <w:b/>
          <w:bCs/>
          <w:snapToGrid w:val="0"/>
          <w:sz w:val="24"/>
          <w:szCs w:val="24"/>
        </w:rPr>
        <w:t>bilých výd</w:t>
      </w:r>
      <w:r w:rsidRPr="00D36704">
        <w:rPr>
          <w:bCs/>
          <w:snapToGrid w:val="0"/>
          <w:sz w:val="24"/>
          <w:szCs w:val="24"/>
        </w:rPr>
        <w:t>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ISPROFIN:</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 xml:space="preserve">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 </w:t>
      </w:r>
      <w:r>
        <w:rPr>
          <w:snapToGrid w:val="0"/>
          <w:sz w:val="24"/>
        </w:rPr>
        <w:lastRenderedPageBreak/>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Pr>
          <w:snapToGrid w:val="0"/>
          <w:sz w:val="24"/>
          <w:szCs w:val="24"/>
        </w:rPr>
        <w:t xml:space="preserve"> 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 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 xml:space="preserve">V případě, že je realizace 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prostřednictvím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 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EMZ.</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C965B9">
        <w:rPr>
          <w:snapToGrid w:val="0"/>
          <w:sz w:val="24"/>
        </w:rPr>
        <w:t xml:space="preserve"> OPTP.</w:t>
      </w:r>
      <w:r w:rsidR="00C965B9" w:rsidRPr="00194D81">
        <w:rPr>
          <w:sz w:val="22"/>
        </w:rPr>
        <w:t xml:space="preserve"> </w:t>
      </w:r>
      <w:r w:rsidR="00387ACD" w:rsidRPr="00387ACD">
        <w:rPr>
          <w:sz w:val="24"/>
          <w:szCs w:val="24"/>
        </w:rPr>
        <w:t>Vzdání se práva na čerpání dotace je účinné dnem doručení písemné informace o 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w:t>
      </w:r>
      <w:r w:rsidRPr="00795BC8">
        <w:rPr>
          <w:szCs w:val="24"/>
        </w:rPr>
        <w:t>ádost</w:t>
      </w:r>
      <w:smartTag w:uri="urn:schemas-microsoft-com:office:smarttags" w:element="PersonName">
        <w:r w:rsidRPr="00795BC8">
          <w:rPr>
            <w:szCs w:val="24"/>
          </w:rPr>
          <w:t xml:space="preserve"> </w:t>
        </w:r>
      </w:smartTag>
      <w:r w:rsidRPr="00795BC8">
        <w:rPr>
          <w:szCs w:val="24"/>
        </w:rPr>
        <w:t>o</w:t>
      </w:r>
      <w:smartTag w:uri="urn:schemas-microsoft-com:office:smarttags" w:element="PersonName">
        <w:r w:rsidRPr="00795BC8">
          <w:rPr>
            <w:szCs w:val="24"/>
          </w:rPr>
          <w:t xml:space="preserve"> </w:t>
        </w:r>
      </w:smartTag>
      <w:r w:rsidRPr="00795BC8">
        <w:rPr>
          <w:szCs w:val="24"/>
        </w:rPr>
        <w:t>platbu</w:t>
      </w:r>
      <w:smartTag w:uri="urn:schemas-microsoft-com:office:smarttags" w:element="PersonName">
        <w:r w:rsidRPr="00795BC8">
          <w:rPr>
            <w:szCs w:val="24"/>
          </w:rPr>
          <w:t xml:space="preserve"> </w:t>
        </w:r>
      </w:smartTag>
      <w:r w:rsidRPr="00795BC8">
        <w:rPr>
          <w:szCs w:val="24"/>
        </w:rPr>
        <w:t>je</w:t>
      </w:r>
      <w:smartTag w:uri="urn:schemas-microsoft-com:office:smarttags" w:element="PersonName">
        <w:r w:rsidRPr="00795BC8">
          <w:rPr>
            <w:szCs w:val="24"/>
          </w:rPr>
          <w:t xml:space="preserve"> </w:t>
        </w:r>
      </w:smartTag>
      <w:r w:rsidRPr="00795BC8">
        <w:rPr>
          <w:szCs w:val="24"/>
        </w:rPr>
        <w:t>příjemce</w:t>
      </w:r>
      <w:smartTag w:uri="urn:schemas-microsoft-com:office:smarttags" w:element="PersonName">
        <w:r w:rsidRPr="00795BC8">
          <w:rPr>
            <w:szCs w:val="24"/>
          </w:rPr>
          <w:t xml:space="preserve"> </w:t>
        </w:r>
      </w:smartTag>
      <w:r w:rsidRPr="00795BC8">
        <w:rPr>
          <w:szCs w:val="24"/>
        </w:rPr>
        <w:t>povinen</w:t>
      </w:r>
      <w:smartTag w:uri="urn:schemas-microsoft-com:office:smarttags" w:element="PersonName">
        <w:r w:rsidRPr="00795BC8">
          <w:rPr>
            <w:szCs w:val="24"/>
          </w:rPr>
          <w:t xml:space="preserve"> </w:t>
        </w:r>
      </w:smartTag>
      <w:r w:rsidRPr="00795BC8">
        <w:rPr>
          <w:szCs w:val="24"/>
        </w:rPr>
        <w:t>předložit</w:t>
      </w:r>
      <w:smartTag w:uri="urn:schemas-microsoft-com:office:smarttags" w:element="PersonName">
        <w:r w:rsidRPr="00795BC8">
          <w:rPr>
            <w:szCs w:val="24"/>
          </w:rPr>
          <w:t xml:space="preserve"> </w:t>
        </w:r>
      </w:smartTag>
      <w:r w:rsidRPr="00795BC8">
        <w:rPr>
          <w:szCs w:val="24"/>
        </w:rPr>
        <w:t>vždy</w:t>
      </w:r>
      <w:smartTag w:uri="urn:schemas-microsoft-com:office:smarttags" w:element="PersonName">
        <w:r w:rsidRPr="00795BC8">
          <w:rPr>
            <w:szCs w:val="24"/>
          </w:rPr>
          <w:t xml:space="preserve"> </w:t>
        </w:r>
      </w:smartTag>
      <w:r w:rsidRPr="00795BC8">
        <w:rPr>
          <w:szCs w:val="24"/>
        </w:rPr>
        <w:t>nejpozději</w:t>
      </w:r>
      <w:smartTag w:uri="urn:schemas-microsoft-com:office:smarttags" w:element="PersonName">
        <w:r w:rsidRPr="00795BC8">
          <w:rPr>
            <w:szCs w:val="24"/>
          </w:rPr>
          <w:t xml:space="preserve"> </w:t>
        </w:r>
      </w:smartTag>
      <w:r w:rsidRPr="00795BC8">
        <w:rPr>
          <w:szCs w:val="24"/>
        </w:rPr>
        <w:t>do</w:t>
      </w:r>
      <w:smartTag w:uri="urn:schemas-microsoft-com:office:smarttags" w:element="PersonName">
        <w:r w:rsidRPr="00795BC8">
          <w:rPr>
            <w:szCs w:val="24"/>
          </w:rPr>
          <w:t xml:space="preserve"> </w:t>
        </w:r>
      </w:smartTag>
      <w:r>
        <w:rPr>
          <w:szCs w:val="24"/>
        </w:rPr>
        <w:t>20</w:t>
      </w:r>
      <w:smartTag w:uri="urn:schemas-microsoft-com:office:smarttags" w:element="PersonName">
        <w:r w:rsidRPr="00795BC8">
          <w:rPr>
            <w:szCs w:val="24"/>
          </w:rPr>
          <w:t xml:space="preserve"> </w:t>
        </w:r>
      </w:smartTag>
      <w:r w:rsidRPr="00795BC8">
        <w:rPr>
          <w:szCs w:val="24"/>
        </w:rPr>
        <w:t>pracovních</w:t>
      </w:r>
      <w:smartTag w:uri="urn:schemas-microsoft-com:office:smarttags" w:element="PersonName">
        <w:r w:rsidRPr="00795BC8">
          <w:rPr>
            <w:szCs w:val="24"/>
          </w:rPr>
          <w:t xml:space="preserve"> </w:t>
        </w:r>
      </w:smartTag>
      <w:r w:rsidRPr="00795BC8">
        <w:rPr>
          <w:szCs w:val="24"/>
        </w:rPr>
        <w:t>dnů</w:t>
      </w:r>
      <w:smartTag w:uri="urn:schemas-microsoft-com:office:smarttags" w:element="PersonName">
        <w:r w:rsidRPr="00795BC8">
          <w:rPr>
            <w:szCs w:val="24"/>
          </w:rPr>
          <w:t xml:space="preserve"> </w:t>
        </w:r>
      </w:smartTag>
      <w:r w:rsidRPr="00795BC8">
        <w:rPr>
          <w:szCs w:val="24"/>
        </w:rPr>
        <w:t>od</w:t>
      </w:r>
      <w:smartTag w:uri="urn:schemas-microsoft-com:office:smarttags" w:element="PersonName">
        <w:r w:rsidRPr="00795BC8">
          <w:rPr>
            <w:szCs w:val="24"/>
          </w:rPr>
          <w:t xml:space="preserve"> </w:t>
        </w:r>
      </w:smartTag>
      <w:r w:rsidRPr="00795BC8">
        <w:rPr>
          <w:szCs w:val="24"/>
        </w:rPr>
        <w:t>ukončení</w:t>
      </w:r>
      <w:smartTag w:uri="urn:schemas-microsoft-com:office:smarttags" w:element="PersonName">
        <w:r w:rsidRPr="00795BC8">
          <w:rPr>
            <w:szCs w:val="24"/>
          </w:rPr>
          <w:t xml:space="preserve"> </w:t>
        </w:r>
      </w:smartTag>
      <w:r>
        <w:rPr>
          <w:szCs w:val="24"/>
        </w:rPr>
        <w:t>etapy</w:t>
      </w:r>
      <w:smartTag w:uri="urn:schemas-microsoft-com:office:smarttags" w:element="PersonName">
        <w:r>
          <w:rPr>
            <w:szCs w:val="24"/>
          </w:rPr>
          <w:t xml:space="preserve"> </w:t>
        </w:r>
      </w:smartTag>
      <w:r>
        <w:rPr>
          <w:szCs w:val="24"/>
        </w:rPr>
        <w:t>projektu</w:t>
      </w:r>
      <w:smartTag w:uri="urn:schemas-microsoft-com:office:smarttags" w:element="PersonName">
        <w:r>
          <w:rPr>
            <w:szCs w:val="24"/>
          </w:rPr>
          <w:t xml:space="preserve"> </w:t>
        </w:r>
      </w:smartTag>
      <w:r>
        <w:rPr>
          <w:szCs w:val="24"/>
        </w:rPr>
        <w:t>resp.</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9669DD">
        <w:rPr>
          <w:b/>
          <w:szCs w:val="24"/>
          <w:u w:val="single"/>
        </w:rPr>
        <w:t xml:space="preserve"> </w:t>
      </w:r>
      <w:r>
        <w:rPr>
          <w:szCs w:val="24"/>
        </w:rPr>
        <w:t xml:space="preserve">Lhůta 20 pracovních dnů může být prodloužena, pokud o to příjemce s předstihem požádá prostřednictvím ŘO OPTP a svou žádost dostatečně zdůvodní. </w:t>
      </w:r>
      <w:r w:rsidRPr="009669DD">
        <w:rPr>
          <w:b/>
          <w:szCs w:val="24"/>
          <w:u w:val="single"/>
        </w:rPr>
        <w:t xml:space="preserve"> </w:t>
      </w:r>
    </w:p>
    <w:p w:rsidR="00695550" w:rsidRPr="00695550" w:rsidRDefault="00C965B9" w:rsidP="00695550">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w:t>
      </w:r>
      <w:r w:rsidRPr="006A4DF1">
        <w:rPr>
          <w:snapToGrid w:val="0"/>
          <w:sz w:val="24"/>
        </w:rPr>
        <w:lastRenderedPageBreak/>
        <w:t xml:space="preserve">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r w:rsidR="00695550">
        <w:rPr>
          <w:snapToGrid w:val="0"/>
          <w:sz w:val="24"/>
        </w:rPr>
        <w:t xml:space="preserve">Povinností příjemců podpory pro projekty nositelů integrovaných strategií je schválení integrovaných strategií pro ITI a IPRÚ a komunitně vedených strategií místního rozvoje pro území MAS. Konečný termín pro schválení strategie dle „Metodického pokynu pro využití integrovaných přístupů v programovém období 2014-2020“, který je brán jako splnění podmínky udržitelnosti, je 31. 12. 2017.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Metodiky výběru zaměstnanců implementujících fondy EU v 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vyhrazuje si ŘO OPTP právo rozhodnout v případech uvedení procentního rozmezí sankce o stanovení procentní výše nevyplacení</w:t>
      </w:r>
      <w:r w:rsidRPr="00504FB6">
        <w:rPr>
          <w:snapToGrid w:val="0"/>
          <w:sz w:val="24"/>
        </w:rPr>
        <w:t xml:space="preserve"> dotace</w:t>
      </w:r>
      <w:r>
        <w:rPr>
          <w:snapToGrid w:val="0"/>
          <w:sz w:val="24"/>
        </w:rPr>
        <w:t>, v ostatních případech nebude vyplacena dle fixně stanované procentní výše sankce. Procentní rozmezí sankcí a fixně stanovené sankce jsou 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věta; 11., </w:t>
      </w:r>
      <w:r w:rsidR="00574BB5">
        <w:rPr>
          <w:snapToGrid w:val="0"/>
          <w:sz w:val="24"/>
        </w:rPr>
        <w:t>ne</w:t>
      </w:r>
      <w:r w:rsidRPr="00964654">
        <w:rPr>
          <w:snapToGrid w:val="0"/>
          <w:sz w:val="24"/>
        </w:rPr>
        <w:t xml:space="preserve">bude </w:t>
      </w:r>
      <w:r w:rsidR="00574BB5">
        <w:rPr>
          <w:snapToGrid w:val="0"/>
          <w:sz w:val="24"/>
        </w:rPr>
        <w:t>dot</w:t>
      </w:r>
      <w:bookmarkStart w:id="0" w:name="_GoBack"/>
      <w:bookmarkEnd w:id="0"/>
      <w:r w:rsidR="00574BB5">
        <w:rPr>
          <w:snapToGrid w:val="0"/>
          <w:sz w:val="24"/>
        </w:rPr>
        <w:t>ace vyplacena v</w:t>
      </w:r>
      <w:r>
        <w:rPr>
          <w:snapToGrid w:val="0"/>
          <w:sz w:val="24"/>
        </w:rPr>
        <w:t xml:space="preserve"> </w:t>
      </w:r>
      <w:r w:rsidR="00574BB5">
        <w:rPr>
          <w:snapToGrid w:val="0"/>
          <w:sz w:val="24"/>
        </w:rPr>
        <w:t>plné výši</w:t>
      </w:r>
      <w:r w:rsidRPr="00E5247A">
        <w:rPr>
          <w:snapToGrid w:val="0"/>
          <w:sz w:val="24"/>
        </w:rPr>
        <w:t>;</w:t>
      </w:r>
    </w:p>
    <w:p w:rsidR="001E14C0" w:rsidRDefault="00574BB5" w:rsidP="001E14C0">
      <w:pPr>
        <w:widowControl w:val="0"/>
        <w:numPr>
          <w:ilvl w:val="0"/>
          <w:numId w:val="9"/>
        </w:numPr>
        <w:spacing w:after="120"/>
        <w:jc w:val="both"/>
        <w:rPr>
          <w:snapToGrid w:val="0"/>
          <w:sz w:val="24"/>
        </w:rPr>
      </w:pPr>
      <w:r w:rsidRPr="008E7CE8">
        <w:rPr>
          <w:snapToGrid w:val="0"/>
          <w:sz w:val="24"/>
        </w:rPr>
        <w:t xml:space="preserve">v části III, na které je poskytnutí dotace vázáno pod bodem 2., kdy </w:t>
      </w:r>
      <w:r>
        <w:rPr>
          <w:snapToGrid w:val="0"/>
          <w:sz w:val="24"/>
        </w:rPr>
        <w:t xml:space="preserve">se na </w:t>
      </w:r>
      <w:r w:rsidRPr="008E7CE8">
        <w:rPr>
          <w:snapToGrid w:val="0"/>
          <w:sz w:val="24"/>
        </w:rPr>
        <w:t xml:space="preserve">příjemce </w:t>
      </w:r>
      <w:r>
        <w:rPr>
          <w:snapToGrid w:val="0"/>
          <w:sz w:val="24"/>
        </w:rPr>
        <w:t>při zadání konkrétní veřejné zakázky</w:t>
      </w:r>
      <w:r w:rsidRPr="008E7CE8">
        <w:rPr>
          <w:snapToGrid w:val="0"/>
          <w:sz w:val="24"/>
        </w:rPr>
        <w:t xml:space="preserve"> </w:t>
      </w:r>
      <w:r>
        <w:rPr>
          <w:snapToGrid w:val="0"/>
          <w:sz w:val="24"/>
        </w:rPr>
        <w:t xml:space="preserve">vztahuje ZVZ, nebude </w:t>
      </w:r>
      <w:r w:rsidRPr="008E7CE8">
        <w:rPr>
          <w:snapToGrid w:val="0"/>
          <w:sz w:val="24"/>
        </w:rPr>
        <w:t>dotace</w:t>
      </w:r>
      <w:r>
        <w:rPr>
          <w:snapToGrid w:val="0"/>
          <w:sz w:val="24"/>
        </w:rPr>
        <w:t xml:space="preserve"> vyplacena</w:t>
      </w:r>
      <w:r w:rsidRPr="008E7CE8">
        <w:rPr>
          <w:snapToGrid w:val="0"/>
          <w:sz w:val="24"/>
        </w:rPr>
        <w:t>, případně</w:t>
      </w:r>
      <w:r>
        <w:rPr>
          <w:snapToGrid w:val="0"/>
          <w:sz w:val="24"/>
        </w:rPr>
        <w:t xml:space="preserve"> </w:t>
      </w:r>
      <w:r>
        <w:rPr>
          <w:snapToGrid w:val="0"/>
          <w:sz w:val="24"/>
        </w:rPr>
        <w:lastRenderedPageBreak/>
        <w:t>nebude vyplacena</w:t>
      </w:r>
      <w:r w:rsidRPr="008E7CE8">
        <w:rPr>
          <w:snapToGrid w:val="0"/>
          <w:sz w:val="24"/>
        </w:rPr>
        <w:t xml:space="preserve"> její část </w:t>
      </w:r>
      <w:r>
        <w:rPr>
          <w:snapToGrid w:val="0"/>
          <w:sz w:val="24"/>
        </w:rPr>
        <w:t>použitá na financování předmětné zakázky dle typu porušení a sankcí v níže uvedené Tabulce č. 1</w:t>
      </w:r>
      <w:r w:rsidR="001E14C0" w:rsidRPr="00491989">
        <w:rPr>
          <w:snapToGrid w:val="0"/>
          <w:sz w:val="24"/>
        </w:rPr>
        <w:t xml:space="preserve">;    </w:t>
      </w:r>
    </w:p>
    <w:p w:rsidR="001E14C0" w:rsidRPr="007E3B48" w:rsidRDefault="001E14C0" w:rsidP="001E14C0">
      <w:pPr>
        <w:widowControl w:val="0"/>
        <w:spacing w:after="120"/>
        <w:ind w:left="765" w:right="-2"/>
        <w:jc w:val="both"/>
        <w:rPr>
          <w:snapToGrid w:val="0"/>
          <w:sz w:val="24"/>
        </w:rPr>
      </w:pPr>
      <w:r w:rsidRPr="007E3B48">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1E14C0" w:rsidRPr="007E3B48" w:rsidTr="00105879">
        <w:trPr>
          <w:tblHeader/>
        </w:trPr>
        <w:tc>
          <w:tcPr>
            <w:tcW w:w="616"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c>
          <w:tcPr>
            <w:tcW w:w="616" w:type="dxa"/>
          </w:tcPr>
          <w:p w:rsidR="001E14C0" w:rsidRPr="007E3B48" w:rsidRDefault="001E14C0" w:rsidP="00105879">
            <w:r w:rsidRPr="007E3B48">
              <w:t>1.</w:t>
            </w:r>
          </w:p>
        </w:tc>
        <w:tc>
          <w:tcPr>
            <w:tcW w:w="5133" w:type="dxa"/>
          </w:tcPr>
          <w:p w:rsidR="001E14C0" w:rsidRPr="007E3B48" w:rsidRDefault="001E14C0" w:rsidP="00105879">
            <w:r w:rsidRPr="007E3B48">
              <w:t>Neprovedení zadávacího řízení na výběr dodavatele, nebo uzavření smlouvy s dodavatelem, který se neúčastnil zadávacího řízení</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2.</w:t>
            </w:r>
          </w:p>
        </w:tc>
        <w:tc>
          <w:tcPr>
            <w:tcW w:w="5133" w:type="dxa"/>
          </w:tcPr>
          <w:p w:rsidR="001E14C0" w:rsidRPr="007E3B48" w:rsidRDefault="001E14C0" w:rsidP="00105879">
            <w:r w:rsidRPr="007E3B48">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1E14C0" w:rsidRPr="007E3B48" w:rsidRDefault="001E14C0" w:rsidP="00105879">
            <w:r w:rsidRPr="007E3B48">
              <w:t xml:space="preserve">25 – 30 % částky dotace použité na financování předmětné zakázky </w:t>
            </w:r>
          </w:p>
        </w:tc>
      </w:tr>
      <w:tr w:rsidR="001E14C0" w:rsidRPr="007E3B48" w:rsidTr="00105879">
        <w:tc>
          <w:tcPr>
            <w:tcW w:w="616" w:type="dxa"/>
          </w:tcPr>
          <w:p w:rsidR="001E14C0" w:rsidRPr="007E3B48" w:rsidRDefault="001E14C0" w:rsidP="00105879">
            <w:r w:rsidRPr="007E3B48">
              <w:t xml:space="preserve">3. </w:t>
            </w:r>
          </w:p>
        </w:tc>
        <w:tc>
          <w:tcPr>
            <w:tcW w:w="5133" w:type="dxa"/>
          </w:tcPr>
          <w:p w:rsidR="001E14C0" w:rsidRPr="007E3B48" w:rsidRDefault="001E14C0" w:rsidP="00105879">
            <w:r w:rsidRPr="007E3B48">
              <w:t>Nedodržení povinnosti uveřejnit oznámení o zahájení zadávacího řízení (oznámení nebylo vůbec zveřejněno)</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4.</w:t>
            </w:r>
          </w:p>
        </w:tc>
        <w:tc>
          <w:tcPr>
            <w:tcW w:w="5133" w:type="dxa"/>
          </w:tcPr>
          <w:p w:rsidR="001E14C0" w:rsidRPr="007E3B48" w:rsidRDefault="001E14C0" w:rsidP="00105879">
            <w:r w:rsidRPr="007E3B48">
              <w:t>Porušení jiných povinností týkajících se uveřejňování</w:t>
            </w:r>
          </w:p>
        </w:tc>
        <w:tc>
          <w:tcPr>
            <w:tcW w:w="3071" w:type="dxa"/>
          </w:tcPr>
          <w:p w:rsidR="001E14C0" w:rsidRPr="007E3B48" w:rsidRDefault="001E14C0" w:rsidP="00A6658C">
            <w:r w:rsidRPr="007E3B48">
              <w:t>25 – 30 % částky dotace použité na financování předmětné zakázky</w:t>
            </w:r>
            <w:r w:rsidR="00A6658C">
              <w:rPr>
                <w:rStyle w:val="Znakapoznpodarou"/>
              </w:rPr>
              <w:footnoteReference w:id="6"/>
            </w:r>
          </w:p>
        </w:tc>
      </w:tr>
      <w:tr w:rsidR="001E14C0" w:rsidRPr="007E3B48" w:rsidTr="00105879">
        <w:tc>
          <w:tcPr>
            <w:tcW w:w="616" w:type="dxa"/>
          </w:tcPr>
          <w:p w:rsidR="001E14C0" w:rsidRPr="007E3B48" w:rsidRDefault="001E14C0" w:rsidP="00105879">
            <w:r w:rsidRPr="007E3B48">
              <w:t>5.</w:t>
            </w:r>
          </w:p>
        </w:tc>
        <w:tc>
          <w:tcPr>
            <w:tcW w:w="5133" w:type="dxa"/>
          </w:tcPr>
          <w:p w:rsidR="001E14C0" w:rsidRPr="007E3B48" w:rsidRDefault="001E14C0" w:rsidP="00105879">
            <w:r w:rsidRPr="007E3B48">
              <w:t>Porušení povinnosti specifikovat v zadávací dokumentaci a v oznámení o zahájení zadávacího řízení kvalifikační předpoklady a hodnotící kriteria v rozsahu požadovaném ZVZ</w:t>
            </w:r>
          </w:p>
        </w:tc>
        <w:tc>
          <w:tcPr>
            <w:tcW w:w="3071" w:type="dxa"/>
          </w:tcPr>
          <w:p w:rsidR="001E14C0" w:rsidRPr="007E3B48" w:rsidRDefault="001E14C0" w:rsidP="00105879">
            <w:r w:rsidRPr="007E3B48">
              <w:t>25 – 30 % částky dotace použité na financování předmětné zakázky,</w:t>
            </w:r>
          </w:p>
          <w:p w:rsidR="001E14C0" w:rsidRPr="007E3B48" w:rsidRDefault="001E14C0" w:rsidP="00105879">
            <w:r w:rsidRPr="007E3B48">
              <w:t xml:space="preserve">v méně závažných případech 5 – 10 % </w:t>
            </w:r>
          </w:p>
        </w:tc>
      </w:tr>
      <w:tr w:rsidR="001E14C0" w:rsidRPr="007E3B48" w:rsidTr="00105879">
        <w:tc>
          <w:tcPr>
            <w:tcW w:w="616" w:type="dxa"/>
          </w:tcPr>
          <w:p w:rsidR="001E14C0" w:rsidRPr="007E3B48" w:rsidRDefault="001E14C0" w:rsidP="00105879">
            <w:r w:rsidRPr="007E3B48">
              <w:t>6.</w:t>
            </w:r>
          </w:p>
        </w:tc>
        <w:tc>
          <w:tcPr>
            <w:tcW w:w="5133" w:type="dxa"/>
          </w:tcPr>
          <w:p w:rsidR="001E14C0" w:rsidRPr="007E3B48" w:rsidRDefault="001E14C0" w:rsidP="00105879">
            <w:r w:rsidRPr="007E3B48">
              <w:t>Nastavení kvalifikačních předpokladů a hodnotících kriterií v rozporu se ZVZ</w:t>
            </w:r>
          </w:p>
        </w:tc>
        <w:tc>
          <w:tcPr>
            <w:tcW w:w="3071" w:type="dxa"/>
          </w:tcPr>
          <w:p w:rsidR="001E14C0" w:rsidRPr="007E3B48" w:rsidRDefault="001E14C0" w:rsidP="00105879">
            <w:r w:rsidRPr="007E3B48">
              <w:t xml:space="preserve">25 – 30 % částky dotace použité na financování předmětné zakázky, v případě úmyslného jednání až 100%; nevedlo-li použití nezákonného hodnotícího kritéria k odrazení některého dodavatele 5 – 25 % </w:t>
            </w:r>
          </w:p>
        </w:tc>
      </w:tr>
      <w:tr w:rsidR="001E14C0" w:rsidRPr="007E3B48" w:rsidTr="00105879">
        <w:tc>
          <w:tcPr>
            <w:tcW w:w="616" w:type="dxa"/>
          </w:tcPr>
          <w:p w:rsidR="001E14C0" w:rsidRPr="007E3B48" w:rsidRDefault="001E14C0" w:rsidP="00105879">
            <w:r w:rsidRPr="007E3B48">
              <w:t>7.</w:t>
            </w:r>
          </w:p>
        </w:tc>
        <w:tc>
          <w:tcPr>
            <w:tcW w:w="5133" w:type="dxa"/>
          </w:tcPr>
          <w:p w:rsidR="001E14C0" w:rsidRPr="007E3B48" w:rsidRDefault="001E14C0" w:rsidP="00105879">
            <w:r w:rsidRPr="007E3B48">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8.</w:t>
            </w:r>
          </w:p>
        </w:tc>
        <w:tc>
          <w:tcPr>
            <w:tcW w:w="5133" w:type="dxa"/>
          </w:tcPr>
          <w:p w:rsidR="001E14C0" w:rsidRPr="007E3B48" w:rsidRDefault="001E14C0" w:rsidP="00105879">
            <w:r w:rsidRPr="007E3B48">
              <w:t>Nedodržení povinnosti zadat veřejnou zakázku v souladu s uveřejněnými kvalifikačními předpoklady, hodnotícími kritérii nebo se zadávací dokumentací</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9.</w:t>
            </w:r>
          </w:p>
        </w:tc>
        <w:tc>
          <w:tcPr>
            <w:tcW w:w="5133" w:type="dxa"/>
          </w:tcPr>
          <w:p w:rsidR="001E14C0" w:rsidRPr="007E3B48" w:rsidRDefault="001E14C0" w:rsidP="00105879">
            <w:r w:rsidRPr="007E3B48">
              <w:t>Nezákonné vyjednávání o nabídkách</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10.</w:t>
            </w:r>
          </w:p>
        </w:tc>
        <w:tc>
          <w:tcPr>
            <w:tcW w:w="5133" w:type="dxa"/>
          </w:tcPr>
          <w:p w:rsidR="001E14C0" w:rsidRPr="007E3B48" w:rsidRDefault="001E14C0" w:rsidP="00105879">
            <w:r w:rsidRPr="007E3B48">
              <w:t xml:space="preserve">Porušení povinnosti ustanovení hodnotící komise pro posouzení a hodnocení nabídek </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11.</w:t>
            </w:r>
          </w:p>
        </w:tc>
        <w:tc>
          <w:tcPr>
            <w:tcW w:w="5133" w:type="dxa"/>
          </w:tcPr>
          <w:p w:rsidR="001E14C0" w:rsidRPr="007E3B48" w:rsidRDefault="001E14C0" w:rsidP="00105879">
            <w:r w:rsidRPr="007E3B48">
              <w:t>Porušení pravidel stanovených ZVZ pro složení nebo jednání hodnotící komise pro posouzení a hodnocení nabídek</w:t>
            </w:r>
          </w:p>
        </w:tc>
        <w:tc>
          <w:tcPr>
            <w:tcW w:w="3071" w:type="dxa"/>
          </w:tcPr>
          <w:p w:rsidR="001E14C0" w:rsidRPr="007E3B48" w:rsidRDefault="001E14C0" w:rsidP="00105879">
            <w:r w:rsidRPr="007E3B48">
              <w:t>2 – 10 % částky dotace použité na financování předmětné zakázky</w:t>
            </w:r>
          </w:p>
        </w:tc>
      </w:tr>
      <w:tr w:rsidR="001E14C0" w:rsidRPr="007E3B48" w:rsidTr="00105879">
        <w:tc>
          <w:tcPr>
            <w:tcW w:w="616" w:type="dxa"/>
          </w:tcPr>
          <w:p w:rsidR="001E14C0" w:rsidRPr="007E3B48" w:rsidRDefault="001E14C0" w:rsidP="00105879">
            <w:r w:rsidRPr="007E3B48">
              <w:t>12.</w:t>
            </w:r>
          </w:p>
        </w:tc>
        <w:tc>
          <w:tcPr>
            <w:tcW w:w="5133" w:type="dxa"/>
          </w:tcPr>
          <w:p w:rsidR="001E14C0" w:rsidRPr="007E3B48" w:rsidRDefault="001E14C0" w:rsidP="00105879">
            <w:r w:rsidRPr="007E3B48">
              <w:t xml:space="preserve">Uzavření smlouvy s uchazečem, který měl být dle ZVZ vyloučen ze zadávacího řízení </w:t>
            </w:r>
          </w:p>
        </w:tc>
        <w:tc>
          <w:tcPr>
            <w:tcW w:w="3071" w:type="dxa"/>
          </w:tcPr>
          <w:p w:rsidR="001E14C0" w:rsidRPr="007E3B48" w:rsidRDefault="001E14C0" w:rsidP="00105879">
            <w:r w:rsidRPr="007E3B48">
              <w:t>25 – 50 % částky dotace použité na financování předmětné zakázky</w:t>
            </w:r>
          </w:p>
        </w:tc>
      </w:tr>
      <w:tr w:rsidR="001E14C0" w:rsidRPr="007E3B48" w:rsidTr="00105879">
        <w:tc>
          <w:tcPr>
            <w:tcW w:w="616" w:type="dxa"/>
          </w:tcPr>
          <w:p w:rsidR="001E14C0" w:rsidRPr="007E3B48" w:rsidRDefault="001E14C0" w:rsidP="00105879">
            <w:r w:rsidRPr="007E3B48">
              <w:t>13.</w:t>
            </w:r>
          </w:p>
        </w:tc>
        <w:tc>
          <w:tcPr>
            <w:tcW w:w="5133" w:type="dxa"/>
          </w:tcPr>
          <w:p w:rsidR="001E14C0" w:rsidRPr="007E3B48" w:rsidRDefault="001E14C0" w:rsidP="00105879">
            <w:r w:rsidRPr="007E3B48">
              <w:t>Nezákonné vyloučení zájemce/uchazeče ze zadávacího řízení</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14.</w:t>
            </w:r>
          </w:p>
        </w:tc>
        <w:tc>
          <w:tcPr>
            <w:tcW w:w="5133" w:type="dxa"/>
          </w:tcPr>
          <w:p w:rsidR="001E14C0" w:rsidRPr="007E3B48" w:rsidRDefault="001E14C0" w:rsidP="00105879">
            <w:r w:rsidRPr="007E3B48">
              <w:t xml:space="preserve">Nezákonné použití jednacího řízení bez uveřejnění </w:t>
            </w:r>
          </w:p>
        </w:tc>
        <w:tc>
          <w:tcPr>
            <w:tcW w:w="3071" w:type="dxa"/>
          </w:tcPr>
          <w:p w:rsidR="001E14C0" w:rsidRPr="007E3B48" w:rsidRDefault="001E14C0" w:rsidP="00105879">
            <w:r w:rsidRPr="007E3B48">
              <w:t>100 % částky dotace použité na financování předmětné zakázky</w:t>
            </w:r>
          </w:p>
        </w:tc>
      </w:tr>
      <w:tr w:rsidR="001E14C0" w:rsidRPr="007E3B48" w:rsidTr="00105879">
        <w:tc>
          <w:tcPr>
            <w:tcW w:w="616" w:type="dxa"/>
          </w:tcPr>
          <w:p w:rsidR="001E14C0" w:rsidRPr="007E3B48" w:rsidRDefault="001E14C0" w:rsidP="00105879">
            <w:r w:rsidRPr="007E3B48">
              <w:t>15.</w:t>
            </w:r>
          </w:p>
        </w:tc>
        <w:tc>
          <w:tcPr>
            <w:tcW w:w="5133" w:type="dxa"/>
          </w:tcPr>
          <w:p w:rsidR="001E14C0" w:rsidRPr="007E3B48" w:rsidRDefault="001E14C0" w:rsidP="00105879">
            <w:r w:rsidRPr="007E3B48">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1E14C0" w:rsidRPr="007E3B48" w:rsidRDefault="001E14C0" w:rsidP="00105879">
            <w:r w:rsidRPr="007E3B48">
              <w:t>100 % částky dotace použité na financování předmětné dodatečné zakázky převyšující 20 % ceny původní veřejné zakázky</w:t>
            </w:r>
          </w:p>
        </w:tc>
      </w:tr>
      <w:tr w:rsidR="001E14C0" w:rsidRPr="007E3B48" w:rsidTr="00105879">
        <w:tc>
          <w:tcPr>
            <w:tcW w:w="616" w:type="dxa"/>
          </w:tcPr>
          <w:p w:rsidR="001E14C0" w:rsidRPr="007E3B48" w:rsidRDefault="001E14C0" w:rsidP="00105879">
            <w:r w:rsidRPr="007E3B48">
              <w:t>16.</w:t>
            </w:r>
          </w:p>
        </w:tc>
        <w:tc>
          <w:tcPr>
            <w:tcW w:w="5133" w:type="dxa"/>
          </w:tcPr>
          <w:p w:rsidR="001E14C0" w:rsidRPr="007E3B48" w:rsidRDefault="001E14C0" w:rsidP="00105879">
            <w:r w:rsidRPr="007E3B48">
              <w:t xml:space="preserve">Jiné závažné porušení pravidel pro zadávání veřejných zakázek, jestliže mělo či mohlo mít vliv na výběr na </w:t>
            </w:r>
            <w:r w:rsidRPr="007E3B48">
              <w:lastRenderedPageBreak/>
              <w:t>nejvhodnější nabídky</w:t>
            </w:r>
          </w:p>
        </w:tc>
        <w:tc>
          <w:tcPr>
            <w:tcW w:w="3071" w:type="dxa"/>
          </w:tcPr>
          <w:p w:rsidR="001E14C0" w:rsidRPr="007E3B48" w:rsidRDefault="001E14C0" w:rsidP="00105879">
            <w:r w:rsidRPr="007E3B48">
              <w:lastRenderedPageBreak/>
              <w:t>25 – 30 % částky dotace použité na financování předmětné zakázky</w:t>
            </w:r>
          </w:p>
        </w:tc>
      </w:tr>
      <w:tr w:rsidR="001E14C0" w:rsidRPr="007E3B48" w:rsidTr="00105879">
        <w:tc>
          <w:tcPr>
            <w:tcW w:w="616" w:type="dxa"/>
          </w:tcPr>
          <w:p w:rsidR="001E14C0" w:rsidRPr="007E3B48" w:rsidRDefault="001E14C0" w:rsidP="00105879">
            <w:r w:rsidRPr="007E3B48">
              <w:lastRenderedPageBreak/>
              <w:t>17.</w:t>
            </w:r>
          </w:p>
        </w:tc>
        <w:tc>
          <w:tcPr>
            <w:tcW w:w="5133" w:type="dxa"/>
          </w:tcPr>
          <w:p w:rsidR="001E14C0" w:rsidRPr="007E3B48" w:rsidRDefault="001E14C0" w:rsidP="00105879">
            <w:r w:rsidRPr="007E3B48">
              <w:t>Ostatní méně závažná porušení výše výslovně neuvedených povinností vyplývajících ze ZVZ</w:t>
            </w:r>
            <w:r w:rsidRPr="007E3B48">
              <w:rPr>
                <w:rStyle w:val="Znakapoznpodarou"/>
              </w:rPr>
              <w:footnoteReference w:id="7"/>
            </w:r>
            <w:r w:rsidRPr="007E3B48">
              <w:t xml:space="preserve"> </w:t>
            </w:r>
          </w:p>
        </w:tc>
        <w:tc>
          <w:tcPr>
            <w:tcW w:w="3071" w:type="dxa"/>
          </w:tcPr>
          <w:p w:rsidR="001E14C0" w:rsidRPr="007E3B48" w:rsidRDefault="001E14C0" w:rsidP="00105879">
            <w:r w:rsidRPr="007E3B48">
              <w:t>0 – 10 % částky dotace použité na financování předmětné zakázky</w:t>
            </w:r>
          </w:p>
        </w:tc>
      </w:tr>
    </w:tbl>
    <w:p w:rsidR="001E14C0" w:rsidRPr="007E3B48" w:rsidRDefault="001E14C0" w:rsidP="001E14C0">
      <w:pPr>
        <w:widowControl w:val="0"/>
        <w:spacing w:after="120"/>
        <w:ind w:left="765" w:right="-2"/>
        <w:jc w:val="both"/>
        <w:rPr>
          <w:snapToGrid w:val="0"/>
          <w:sz w:val="24"/>
        </w:rPr>
      </w:pPr>
    </w:p>
    <w:p w:rsidR="00574BB5" w:rsidRDefault="00574BB5" w:rsidP="00574BB5">
      <w:pPr>
        <w:widowControl w:val="0"/>
        <w:spacing w:after="120"/>
        <w:ind w:left="765" w:right="-2"/>
        <w:jc w:val="both"/>
        <w:rPr>
          <w:snapToGrid w:val="0"/>
          <w:sz w:val="24"/>
        </w:rPr>
      </w:pPr>
      <w:r>
        <w:rPr>
          <w:snapToGrid w:val="0"/>
          <w:sz w:val="24"/>
        </w:rPr>
        <w:t xml:space="preserve">V případě, kdy se na příjemce při zadání konkrétní veřejné zakázky nevztahuje ZVZ, ale příjemce je povinen zadávat zakázky dle Závazných postupů, </w:t>
      </w:r>
      <w:r w:rsidR="002F1B65">
        <w:rPr>
          <w:snapToGrid w:val="0"/>
          <w:sz w:val="24"/>
        </w:rPr>
        <w:t>nebude vyplacena do</w:t>
      </w:r>
      <w:r>
        <w:rPr>
          <w:snapToGrid w:val="0"/>
          <w:sz w:val="24"/>
        </w:rPr>
        <w:t>tace, příp. její část použitá na financování předmětné zakázky dle typu porušení a sankcí v níže uvedené Tabulce č. 2 (v souladu s Přílohou č. 1 aktualizovaných Závazných postupů):</w:t>
      </w:r>
    </w:p>
    <w:p w:rsidR="00574BB5" w:rsidRDefault="00574BB5" w:rsidP="001E14C0">
      <w:pPr>
        <w:widowControl w:val="0"/>
        <w:spacing w:after="120"/>
        <w:ind w:left="765" w:right="-2"/>
        <w:jc w:val="both"/>
        <w:rPr>
          <w:snapToGrid w:val="0"/>
          <w:sz w:val="24"/>
        </w:rPr>
      </w:pPr>
    </w:p>
    <w:p w:rsidR="001E14C0" w:rsidRPr="007E3B48" w:rsidRDefault="001E14C0" w:rsidP="001E14C0">
      <w:pPr>
        <w:widowControl w:val="0"/>
        <w:spacing w:after="120"/>
        <w:ind w:left="765" w:right="-2"/>
        <w:jc w:val="both"/>
        <w:rPr>
          <w:snapToGrid w:val="0"/>
          <w:sz w:val="24"/>
        </w:rPr>
      </w:pPr>
      <w:r w:rsidRPr="007E3B48">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1E14C0" w:rsidRPr="007E3B48" w:rsidTr="00105879">
        <w:trPr>
          <w:tblHeader/>
        </w:trPr>
        <w:tc>
          <w:tcPr>
            <w:tcW w:w="1008"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rPr>
          <w:trHeight w:val="964"/>
        </w:trPr>
        <w:tc>
          <w:tcPr>
            <w:tcW w:w="1008" w:type="dxa"/>
          </w:tcPr>
          <w:p w:rsidR="001E14C0" w:rsidRPr="007E3B48" w:rsidRDefault="001E14C0" w:rsidP="00105879">
            <w:r w:rsidRPr="007E3B48">
              <w:t>1.</w:t>
            </w:r>
          </w:p>
          <w:p w:rsidR="001E14C0" w:rsidRPr="007E3B48" w:rsidRDefault="001E14C0" w:rsidP="00105879"/>
          <w:p w:rsidR="001E14C0" w:rsidRPr="007E3B48" w:rsidRDefault="001E14C0" w:rsidP="00105879"/>
        </w:tc>
        <w:tc>
          <w:tcPr>
            <w:tcW w:w="5133" w:type="dxa"/>
          </w:tcPr>
          <w:p w:rsidR="001E14C0" w:rsidRPr="007E3B48" w:rsidRDefault="001E14C0" w:rsidP="00105879">
            <w:r w:rsidRPr="007E3B48">
              <w:t>Neprovedení výběrového řízení na dodavatele, nebo uzavření smlouvy s dodavatelem, který se neúčastnil výběrového řízení.</w:t>
            </w:r>
          </w:p>
        </w:tc>
        <w:tc>
          <w:tcPr>
            <w:tcW w:w="3071" w:type="dxa"/>
          </w:tcPr>
          <w:p w:rsidR="001E14C0" w:rsidRPr="007E3B48" w:rsidRDefault="001E14C0" w:rsidP="00105879">
            <w:r w:rsidRPr="007E3B48">
              <w:t>100 %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2.</w:t>
            </w:r>
          </w:p>
        </w:tc>
        <w:tc>
          <w:tcPr>
            <w:tcW w:w="5133" w:type="dxa"/>
          </w:tcPr>
          <w:p w:rsidR="001E14C0" w:rsidRPr="007E3B48" w:rsidRDefault="001E14C0" w:rsidP="00105879">
            <w:r w:rsidRPr="007E3B48">
              <w:t xml:space="preserve">Nedodržení požadovaného způsobu zahájení výběrového řízení (v relevantních případech) </w:t>
            </w:r>
          </w:p>
          <w:p w:rsidR="001E14C0" w:rsidRPr="007E3B48" w:rsidRDefault="001E14C0" w:rsidP="00105879">
            <w:r w:rsidRPr="007E3B48">
              <w:t>- Zadavatel neuveřejnil oznámení o zahájení výběrového řízení požadovaným způsobem a ani neodeslal výzvu k podání nabídky konkrétních zájemců požadovaným způsobem, s výjimkou aplikace přímého nákupu (VZMR 1. kategorie).</w:t>
            </w:r>
          </w:p>
          <w:p w:rsidR="001E14C0" w:rsidRPr="007E3B48" w:rsidRDefault="001E14C0" w:rsidP="00105879">
            <w:r w:rsidRPr="007E3B48">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1E14C0" w:rsidRPr="007E3B48" w:rsidRDefault="001E14C0" w:rsidP="00105879"/>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25 – 100 %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3.</w:t>
            </w:r>
          </w:p>
        </w:tc>
        <w:tc>
          <w:tcPr>
            <w:tcW w:w="5133" w:type="dxa"/>
          </w:tcPr>
          <w:p w:rsidR="001E14C0" w:rsidRPr="007E3B48" w:rsidRDefault="001E14C0" w:rsidP="00105879">
            <w:r w:rsidRPr="007E3B48">
              <w:t xml:space="preserve">Diskriminační definice předmětu zakázky </w:t>
            </w:r>
          </w:p>
          <w:p w:rsidR="001E14C0" w:rsidRPr="007E3B48" w:rsidRDefault="001E14C0" w:rsidP="00105879"/>
        </w:tc>
        <w:tc>
          <w:tcPr>
            <w:tcW w:w="3071" w:type="dxa"/>
          </w:tcPr>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4.</w:t>
            </w:r>
          </w:p>
        </w:tc>
        <w:tc>
          <w:tcPr>
            <w:tcW w:w="5133" w:type="dxa"/>
          </w:tcPr>
          <w:p w:rsidR="001E14C0" w:rsidRPr="007E3B48" w:rsidRDefault="001E14C0" w:rsidP="00105879">
            <w:r w:rsidRPr="007E3B48">
              <w:t xml:space="preserve">Dělení předmětu zakázky </w:t>
            </w:r>
          </w:p>
          <w:p w:rsidR="001E14C0" w:rsidRPr="007E3B48" w:rsidRDefault="001E14C0" w:rsidP="00105879">
            <w:r w:rsidRPr="007E3B48">
              <w:t>- Zadavatel rozdělil předmět zakázky tak, aby tím došlo ke snížení předpokládané hodnoty zakázky pod stanovené finanční limity.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 xml:space="preserve">25 – 40 %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rPr>
                <w:i/>
              </w:rPr>
              <w:t>5</w:t>
            </w:r>
            <w:r w:rsidRPr="007E3B48">
              <w:t>.</w:t>
            </w:r>
          </w:p>
        </w:tc>
        <w:tc>
          <w:tcPr>
            <w:tcW w:w="5133" w:type="dxa"/>
          </w:tcPr>
          <w:p w:rsidR="001E14C0" w:rsidRPr="007E3B48" w:rsidRDefault="001E14C0" w:rsidP="00105879">
            <w:r w:rsidRPr="007E3B48">
              <w:t>Nedostatečný rozsah oznámení o zahájení výběrového řízení nebo výzvy k podání nabídky</w:t>
            </w:r>
          </w:p>
        </w:tc>
        <w:tc>
          <w:tcPr>
            <w:tcW w:w="3071" w:type="dxa"/>
          </w:tcPr>
          <w:p w:rsidR="001E14C0" w:rsidRPr="007E3B48" w:rsidRDefault="001E14C0" w:rsidP="00105879">
            <w:r w:rsidRPr="007E3B48">
              <w:t xml:space="preserve">5 – 25 %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t>6.</w:t>
            </w:r>
          </w:p>
        </w:tc>
        <w:tc>
          <w:tcPr>
            <w:tcW w:w="5133" w:type="dxa"/>
          </w:tcPr>
          <w:p w:rsidR="001E14C0" w:rsidRPr="007E3B48" w:rsidRDefault="001E14C0" w:rsidP="00105879">
            <w:r w:rsidRPr="007E3B48">
              <w:t>Použití nevhodných kvalifikačních předpokladů či hodnotících kritérií</w:t>
            </w:r>
          </w:p>
          <w:p w:rsidR="001E14C0" w:rsidRPr="007E3B48" w:rsidRDefault="001E14C0" w:rsidP="00105879">
            <w:r w:rsidRPr="007E3B48">
              <w:t xml:space="preserve">- Diskriminační kvalifikační předpoklady </w:t>
            </w:r>
          </w:p>
          <w:p w:rsidR="001E14C0" w:rsidRPr="007E3B48" w:rsidRDefault="001E14C0" w:rsidP="00105879">
            <w:r w:rsidRPr="007E3B48">
              <w:t xml:space="preserve">- Postup hodnocení proveden v rozporu s hodnotícími kritérii stanovenými zadavatelem v oznámení o zahájení výběrového řízení, ve výzvě k podání nabídky nebo v zadávací dokumentaci. </w:t>
            </w:r>
          </w:p>
          <w:p w:rsidR="001E14C0" w:rsidRPr="007E3B48" w:rsidRDefault="001E14C0" w:rsidP="00105879">
            <w:r w:rsidRPr="007E3B48">
              <w:t>- Stanovení hodnotících kritérií, která se nevztahují k předmětu zakázky.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7</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nedodržel minimální lhůtu pro podání nabídky. </w:t>
            </w:r>
          </w:p>
          <w:p w:rsidR="001E14C0" w:rsidRPr="007E3B48" w:rsidRDefault="001E14C0" w:rsidP="00105879"/>
          <w:p w:rsidR="001E14C0" w:rsidRPr="007E3B48" w:rsidRDefault="001E14C0" w:rsidP="00105879">
            <w:r w:rsidRPr="007E3B48">
              <w:t>Zadavatel neprovedl hodnocení nabídek.</w:t>
            </w:r>
          </w:p>
        </w:tc>
        <w:tc>
          <w:tcPr>
            <w:tcW w:w="3071" w:type="dxa"/>
          </w:tcPr>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lastRenderedPageBreak/>
              <w:t>8.</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Nedodržení zásady rovného zacházení, či zákazu diskriminace .</w:t>
            </w:r>
          </w:p>
        </w:tc>
        <w:tc>
          <w:tcPr>
            <w:tcW w:w="3071" w:type="dxa"/>
          </w:tcPr>
          <w:p w:rsidR="001E14C0" w:rsidRPr="007E3B48" w:rsidRDefault="001E14C0" w:rsidP="00105879">
            <w:r w:rsidRPr="007E3B48">
              <w:t xml:space="preserve">5 – 20 % částky dotace použité na financování předmětné zakázky </w:t>
            </w:r>
          </w:p>
        </w:tc>
      </w:tr>
      <w:tr w:rsidR="001E14C0" w:rsidRPr="007E3B48" w:rsidTr="00105879">
        <w:tc>
          <w:tcPr>
            <w:tcW w:w="1008" w:type="dxa"/>
          </w:tcPr>
          <w:p w:rsidR="001E14C0" w:rsidRPr="007E3B48" w:rsidRDefault="001E14C0" w:rsidP="00105879">
            <w:r w:rsidRPr="007E3B48">
              <w:t>9.</w:t>
            </w:r>
          </w:p>
          <w:p w:rsidR="001E14C0" w:rsidRPr="007E3B48" w:rsidRDefault="001E14C0" w:rsidP="00105879"/>
          <w:p w:rsidR="001E14C0" w:rsidRPr="007E3B48" w:rsidRDefault="001E14C0" w:rsidP="00105879"/>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Zadavatel nezrušil výběrové řízení, pokud:</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byly zjištěny vážné nesrovnalosti nebo chyby v oznámení o zahájení výběrového řízení, resp. výzvě, zadávací dokumentaci, nebo</w:t>
            </w:r>
          </w:p>
          <w:p w:rsidR="001E14C0" w:rsidRPr="007E3B48" w:rsidRDefault="001E14C0" w:rsidP="00105879">
            <w:pPr>
              <w:pStyle w:val="CharChar1CharCharChar"/>
              <w:numPr>
                <w:ilvl w:val="0"/>
                <w:numId w:val="35"/>
              </w:numPr>
              <w:spacing w:after="120"/>
            </w:pPr>
            <w:r w:rsidRPr="007E3B48">
              <w:rPr>
                <w:rFonts w:ascii="Times New Roman" w:hAnsi="Times New Roman" w:cs="Times New Roman"/>
                <w:lang w:val="cs-CZ" w:eastAsia="cs-CZ"/>
              </w:rPr>
              <w:t>odmítl uzavřít smlouvu i uchazeč třetí v pořadí, s nímž bylo možné smlouvu uzavřít.</w:t>
            </w:r>
          </w:p>
        </w:tc>
        <w:tc>
          <w:tcPr>
            <w:tcW w:w="3071" w:type="dxa"/>
          </w:tcPr>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10.</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uzavřel smlouvu přestože: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Nedodržel ve vztahu k vybranému uchazeči min. lhůtu pro poskytnutí součinnosti a uzavřel smlouvu s dalším v pořadí.</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uzavřena ve shodě s podmínkami výběrového řízení a vybranou nabídkou a zároveň se jedná o změnu podstatnou.</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zpracována minimálně v požadovaném rozsahu.</w:t>
            </w:r>
          </w:p>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11. </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Zadání dodatečných zakázek na služby při absenci nepředvídaných okolností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1E14C0" w:rsidRPr="007E3B48" w:rsidRDefault="001E14C0" w:rsidP="00105879">
            <w:pPr>
              <w:pStyle w:val="CharChar1CharCharChar"/>
              <w:keepNext/>
              <w:keepLines/>
              <w:spacing w:before="480" w:after="120"/>
              <w:outlineLvl w:val="0"/>
              <w:rPr>
                <w:rFonts w:ascii="Times New Roman" w:hAnsi="Times New Roman" w:cs="Times New Roman"/>
                <w:lang w:val="cs-CZ" w:eastAsia="cs-CZ"/>
              </w:rPr>
            </w:pPr>
            <w:r w:rsidRPr="007E3B48">
              <w:rPr>
                <w:rFonts w:ascii="Times New Roman" w:hAnsi="Times New Roman" w:cs="Times New Roman"/>
                <w:lang w:val="cs-CZ" w:eastAsia="cs-CZ"/>
              </w:rPr>
              <w:t>25 – 40 % částky dotace použité na financování předmětné zakázky</w:t>
            </w:r>
          </w:p>
          <w:p w:rsidR="001E14C0" w:rsidRPr="007E3B48"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12.</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Porušení povinnosti uchovávat dokumentaci výběrového řízení.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5 – 20 % částky dotace použité na financování předmětné zakázky</w:t>
            </w:r>
          </w:p>
          <w:p w:rsidR="001E14C0" w:rsidRPr="007E3B48" w:rsidDel="00EB6C20"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13.</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Jiná porušení pravidel</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Pochybení formálního charakteru, která neměla vliv na výběr nejvhodnější nabídky.</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Del="00EB6C20"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0 – 2 % částky dotace použité na financování předmětné zakázky</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w:t>
      </w:r>
      <w:r w:rsidRPr="00FE2EF1">
        <w:rPr>
          <w:snapToGrid w:val="0"/>
          <w:sz w:val="24"/>
        </w:rPr>
        <w:lastRenderedPageBreak/>
        <w:t xml:space="preserve">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Pr="001656AA" w:rsidRDefault="00A440D6" w:rsidP="00A440D6">
      <w:pPr>
        <w:widowControl w:val="0"/>
        <w:numPr>
          <w:ilvl w:val="0"/>
          <w:numId w:val="9"/>
        </w:numPr>
        <w:spacing w:after="120"/>
        <w:jc w:val="both"/>
        <w:rPr>
          <w:snapToGrid w:val="0"/>
          <w:sz w:val="24"/>
        </w:rPr>
      </w:pPr>
      <w:r w:rsidRPr="001656AA">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v rozmezí od 50 % včetně - do 90 %  nebude poměrná část dotace vyplacena dle míry nenaplnění;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přeplnění plánované hodnoty indikátorů nad 105 % nebude poměrná část dotace vyplacena dle míry přeplnění; </w:t>
      </w:r>
    </w:p>
    <w:p w:rsidR="00A440D6" w:rsidRPr="001656AA" w:rsidRDefault="00A440D6" w:rsidP="00A440D6">
      <w:pPr>
        <w:widowControl w:val="0"/>
        <w:numPr>
          <w:ilvl w:val="1"/>
          <w:numId w:val="29"/>
        </w:numPr>
        <w:spacing w:after="120"/>
        <w:ind w:right="-2"/>
        <w:jc w:val="both"/>
        <w:rPr>
          <w:snapToGrid w:val="0"/>
          <w:sz w:val="24"/>
        </w:rPr>
      </w:pPr>
      <w:r w:rsidRPr="001656AA">
        <w:rPr>
          <w:snapToGrid w:val="0"/>
          <w:sz w:val="24"/>
        </w:rPr>
        <w:t xml:space="preserve">při naplnění plánované hodnoty indikátorů na méně než 50 % nebude dotace vyplacena v plné výši.  </w:t>
      </w:r>
    </w:p>
    <w:p w:rsidR="001E14C0" w:rsidRPr="00A1237C" w:rsidRDefault="001E14C0" w:rsidP="001E14C0">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Vynaložené výdaje v minulosti i v budoucnosti na daného zaměstnance jsou ze 100 % nezpůsobilé.</w:t>
      </w:r>
      <w:r w:rsidRPr="00743611">
        <w:rPr>
          <w:snapToGrid w:val="0"/>
          <w:sz w:val="24"/>
        </w:rPr>
        <w:t xml:space="preserve"> </w:t>
      </w: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lastRenderedPageBreak/>
        <w:t xml:space="preserve">při nesplnění podmínek uvedených v části III, na které je poskytnutí dotace vázáno pod bodem 2., kdy se na příjemce vztahuje ZVZ, bude odvod za porušení rozpočtové kázně stanoven za jednotlivá porušení </w:t>
      </w:r>
      <w:r w:rsidR="00766628">
        <w:rPr>
          <w:snapToGrid w:val="0"/>
          <w:sz w:val="24"/>
        </w:rPr>
        <w:t xml:space="preserve">stejným způsobem jako sankce uvedené 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v t</w:t>
      </w:r>
      <w:r w:rsidR="00EF17DD" w:rsidRPr="00D01977">
        <w:rPr>
          <w:snapToGrid w:val="0"/>
          <w:sz w:val="24"/>
        </w:rPr>
        <w:t>abulce č. 1</w:t>
      </w:r>
      <w:r w:rsidR="001E14C0">
        <w:rPr>
          <w:snapToGrid w:val="0"/>
          <w:sz w:val="24"/>
        </w:rPr>
        <w:t xml:space="preserve"> těchto Podmínek</w:t>
      </w:r>
      <w:r w:rsidRPr="00491989">
        <w:rPr>
          <w:snapToGrid w:val="0"/>
          <w:sz w:val="24"/>
        </w:rPr>
        <w:t>;</w:t>
      </w:r>
      <w:r w:rsidR="00BB095D">
        <w:rPr>
          <w:snapToGrid w:val="0"/>
          <w:sz w:val="24"/>
        </w:rPr>
        <w:t xml:space="preserve"> </w:t>
      </w:r>
      <w:r w:rsidR="00BB095D" w:rsidRPr="00491989">
        <w:rPr>
          <w:snapToGrid w:val="0"/>
          <w:sz w:val="24"/>
        </w:rPr>
        <w:t xml:space="preserve">v případech, kdy se na příjemce nevztahuje ZVZ, bude odvod za jednotlivá porušení rozpočtové kázně stanoven stejným způsobem jako sankce uvedené v části III, bodě 14., písm. </w:t>
      </w:r>
      <w:r w:rsidR="00BB095D">
        <w:rPr>
          <w:snapToGrid w:val="0"/>
          <w:sz w:val="24"/>
        </w:rPr>
        <w:t>b</w:t>
      </w:r>
      <w:r w:rsidR="00BB095D" w:rsidRPr="00491989">
        <w:rPr>
          <w:snapToGrid w:val="0"/>
          <w:sz w:val="24"/>
        </w:rPr>
        <w:t>),</w:t>
      </w:r>
      <w:r w:rsidR="00BB095D">
        <w:rPr>
          <w:snapToGrid w:val="0"/>
          <w:sz w:val="24"/>
        </w:rPr>
        <w:t xml:space="preserve"> </w:t>
      </w:r>
      <w:r w:rsidR="00BB095D" w:rsidRPr="00491989">
        <w:rPr>
          <w:snapToGrid w:val="0"/>
          <w:sz w:val="24"/>
        </w:rPr>
        <w:t xml:space="preserve">v tabulce č. 2 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 celkové částky vyplacené dotace</w:t>
      </w:r>
      <w:r>
        <w:rPr>
          <w:snapToGrid w:val="0"/>
          <w:sz w:val="24"/>
        </w:rPr>
        <w:t xml:space="preserve">. </w:t>
      </w:r>
      <w:r w:rsidRPr="00051A9B">
        <w:rPr>
          <w:snapToGrid w:val="0"/>
          <w:sz w:val="24"/>
        </w:rPr>
        <w:t>Pozdní oznámení změny statutárního zástupce a 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xml:space="preserve">% bude stanoven odvod odpovídající procentuelně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přeplnění plánované hodnoty indikátorů nad 105</w:t>
      </w:r>
      <w:r>
        <w:rPr>
          <w:snapToGrid w:val="0"/>
          <w:sz w:val="24"/>
        </w:rPr>
        <w:t xml:space="preserve"> </w:t>
      </w:r>
      <w:r w:rsidRPr="00FE2EF1">
        <w:rPr>
          <w:snapToGrid w:val="0"/>
          <w:sz w:val="24"/>
        </w:rPr>
        <w:t xml:space="preserve">% bude stanoven odvod odpovídající procentuelně míře přeplnění;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 certifikační orgán rozhodne o tom, že výdaje projektu nemohou být certifikovány, ŘO</w:t>
      </w:r>
      <w:r w:rsidRPr="00FE2EF1">
        <w:rPr>
          <w:b/>
          <w:snapToGrid w:val="0"/>
          <w:sz w:val="24"/>
        </w:rPr>
        <w:t xml:space="preserve"> </w:t>
      </w:r>
      <w:r w:rsidRPr="00FE2EF1">
        <w:rPr>
          <w:snapToGrid w:val="0"/>
          <w:sz w:val="24"/>
        </w:rPr>
        <w:t>OPTP</w:t>
      </w:r>
      <w:r w:rsidRPr="00FE2EF1">
        <w:rPr>
          <w:b/>
          <w:snapToGrid w:val="0"/>
          <w:sz w:val="24"/>
        </w:rPr>
        <w:t xml:space="preserve"> </w:t>
      </w:r>
      <w:r w:rsidRPr="00FE2EF1">
        <w:rPr>
          <w:snapToGrid w:val="0"/>
          <w:sz w:val="24"/>
        </w:rPr>
        <w:t xml:space="preserve">se souhlasem správce kapitoly může rozhodnout o vyjmutí projektu ze spolufinancování z prostředků EU a financování projektu bude příjemcem zajištěno pouze z národních zdrojů (tj. ze zdrojů příslušné kapitoly státního rozpočtu). Jedná-li se o podezření na nesrovnalost spočívající v porušení rozpočtové kázně dle zákona č. 218/2000 </w:t>
      </w:r>
      <w:r w:rsidRPr="00FE2EF1">
        <w:rPr>
          <w:snapToGrid w:val="0"/>
          <w:sz w:val="24"/>
        </w:rPr>
        <w:lastRenderedPageBreak/>
        <w:t xml:space="preserve">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Dotace poskytnutá příjemci na realizaci projektu nezakládá veřejnou podporu podle čl. </w:t>
      </w:r>
      <w:r>
        <w:rPr>
          <w:snapToGrid w:val="0"/>
          <w:sz w:val="24"/>
          <w:szCs w:val="24"/>
        </w:rPr>
        <w:b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5"/>
      <w:footerReference w:type="default" r:id="rId16"/>
      <w:pgSz w:w="11906" w:h="16838"/>
      <w:pgMar w:top="1250" w:right="1276" w:bottom="993"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AA" w:rsidRDefault="008A16AA">
      <w:r>
        <w:separator/>
      </w:r>
    </w:p>
  </w:endnote>
  <w:endnote w:type="continuationSeparator" w:id="0">
    <w:p w:rsidR="008A16AA" w:rsidRDefault="008A1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2316C6" w:rsidP="002D6F1F">
    <w:pPr>
      <w:pStyle w:val="Zpat"/>
      <w:framePr w:wrap="around" w:vAnchor="text" w:hAnchor="margin" w:xAlign="center"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Pr="00FE72D5" w:rsidRDefault="0089123C" w:rsidP="00950014">
    <w:pPr>
      <w:pStyle w:val="Zpat"/>
      <w:framePr w:wrap="around" w:vAnchor="text" w:hAnchor="margin" w:xAlign="center" w:y="1"/>
      <w:rPr>
        <w:sz w:val="22"/>
        <w:szCs w:val="22"/>
      </w:rPr>
    </w:pPr>
    <w:r>
      <w:rPr>
        <w:snapToGrid w:val="0"/>
      </w:rPr>
      <w:tab/>
    </w:r>
    <w:r>
      <w:rPr>
        <w:snapToGrid w:val="0"/>
      </w:rPr>
      <w:tab/>
    </w:r>
  </w:p>
  <w:p w:rsidR="0089123C" w:rsidRDefault="0089123C">
    <w:pPr>
      <w:pStyle w:val="Zpat"/>
      <w:tabs>
        <w:tab w:val="clear" w:pos="9072"/>
        <w:tab w:val="left" w:pos="300"/>
        <w:tab w:val="right" w:pos="907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sidR="002316C6">
      <w:rPr>
        <w:rStyle w:val="slostrnky"/>
      </w:rPr>
      <w:fldChar w:fldCharType="begin"/>
    </w:r>
    <w:r>
      <w:rPr>
        <w:rStyle w:val="slostrnky"/>
      </w:rPr>
      <w:instrText xml:space="preserve"> PAGE </w:instrText>
    </w:r>
    <w:r w:rsidR="002316C6">
      <w:rPr>
        <w:rStyle w:val="slostrnky"/>
      </w:rPr>
      <w:fldChar w:fldCharType="separate"/>
    </w:r>
    <w:r w:rsidR="00045BAE">
      <w:rPr>
        <w:rStyle w:val="slostrnky"/>
        <w:noProof/>
      </w:rPr>
      <w:t>1</w:t>
    </w:r>
    <w:r w:rsidR="002316C6">
      <w:rPr>
        <w:rStyle w:val="slostrnky"/>
      </w:rPr>
      <w:fldChar w:fldCharType="end"/>
    </w:r>
  </w:p>
  <w:p w:rsidR="0089123C" w:rsidRDefault="0089123C">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AA" w:rsidRDefault="008A16AA">
      <w:r>
        <w:separator/>
      </w:r>
    </w:p>
  </w:footnote>
  <w:footnote w:type="continuationSeparator" w:id="0">
    <w:p w:rsidR="008A16AA" w:rsidRDefault="008A16AA">
      <w:r>
        <w:continuationSeparator/>
      </w:r>
    </w:p>
  </w:footnote>
  <w:footnote w:id="1">
    <w:p w:rsidR="0089123C" w:rsidRDefault="0089123C"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9123C" w:rsidRDefault="0089123C"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89123C" w:rsidRDefault="0089123C"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p w:rsidR="0089123C" w:rsidRDefault="0089123C" w:rsidP="004207D3">
      <w:pPr>
        <w:pStyle w:val="Textpoznpodarou"/>
        <w:jc w:val="both"/>
      </w:pPr>
    </w:p>
  </w:footnote>
  <w:footnote w:id="4">
    <w:p w:rsidR="0089123C" w:rsidRDefault="0089123C">
      <w:pPr>
        <w:pStyle w:val="Textpoznpodarou"/>
        <w:jc w:val="both"/>
      </w:pPr>
      <w:r>
        <w:rPr>
          <w:rStyle w:val="Znakapoznpodarou"/>
        </w:rPr>
        <w:footnoteRef/>
      </w:r>
      <w:r>
        <w:t xml:space="preserve"> Účinnost aktualizovaných Závazných postupů je stanovena od 1. 7. </w:t>
      </w:r>
      <w:smartTag w:uri="urn:schemas-microsoft-com:office:smarttags" w:element="metricconverter">
        <w:smartTagPr>
          <w:attr w:name="ProductID" w:val="2012 a"/>
        </w:smartTagPr>
        <w:r>
          <w:t>2012 a</w:t>
        </w:r>
      </w:smartTag>
      <w:r>
        <w:t xml:space="preserve"> je vztažena k řídícím dokumentům, a právním aktům o poskytnutí podpory, které byly vydány po tomto datu.</w:t>
      </w:r>
    </w:p>
  </w:footnote>
  <w:footnote w:id="5">
    <w:p w:rsidR="0089123C" w:rsidRDefault="0089123C">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89123C" w:rsidRDefault="0089123C">
      <w:pPr>
        <w:pStyle w:val="Textkomente"/>
        <w:jc w:val="both"/>
      </w:pPr>
    </w:p>
  </w:footnote>
  <w:footnote w:id="6">
    <w:p w:rsidR="00A6658C" w:rsidRDefault="00A6658C" w:rsidP="00A6658C">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A6658C" w:rsidRDefault="00A6658C">
      <w:pPr>
        <w:pStyle w:val="Textpoznpodarou"/>
      </w:pPr>
    </w:p>
  </w:footnote>
  <w:footnote w:id="7">
    <w:p w:rsidR="001E14C0" w:rsidRDefault="001E14C0" w:rsidP="001E14C0">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2316C6">
    <w:pPr>
      <w:pStyle w:val="Zhlav"/>
      <w:framePr w:wrap="around" w:vAnchor="text" w:hAnchor="margin" w:xAlign="right"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1">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2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7"/>
  </w:num>
  <w:num w:numId="3">
    <w:abstractNumId w:val="9"/>
  </w:num>
  <w:num w:numId="4">
    <w:abstractNumId w:val="23"/>
  </w:num>
  <w:num w:numId="5">
    <w:abstractNumId w:val="19"/>
  </w:num>
  <w:num w:numId="6">
    <w:abstractNumId w:val="10"/>
  </w:num>
  <w:num w:numId="7">
    <w:abstractNumId w:val="25"/>
  </w:num>
  <w:num w:numId="8">
    <w:abstractNumId w:val="8"/>
  </w:num>
  <w:num w:numId="9">
    <w:abstractNumId w:val="4"/>
  </w:num>
  <w:num w:numId="10">
    <w:abstractNumId w:val="16"/>
  </w:num>
  <w:num w:numId="11">
    <w:abstractNumId w:val="1"/>
  </w:num>
  <w:num w:numId="12">
    <w:abstractNumId w:val="15"/>
  </w:num>
  <w:num w:numId="13">
    <w:abstractNumId w:val="27"/>
  </w:num>
  <w:num w:numId="14">
    <w:abstractNumId w:val="5"/>
  </w:num>
  <w:num w:numId="15">
    <w:abstractNumId w:val="0"/>
  </w:num>
  <w:num w:numId="16">
    <w:abstractNumId w:val="3"/>
  </w:num>
  <w:num w:numId="17">
    <w:abstractNumId w:val="29"/>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8"/>
  </w:num>
  <w:num w:numId="32">
    <w:abstractNumId w:val="21"/>
  </w:num>
  <w:num w:numId="33">
    <w:abstractNumId w:val="24"/>
  </w:num>
  <w:num w:numId="34">
    <w:abstractNumId w:val="6"/>
  </w:num>
  <w:num w:numId="35">
    <w:abstractNumId w:val="2"/>
  </w:num>
  <w:num w:numId="36">
    <w:abstractNumId w:val="2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72C"/>
    <w:rsid w:val="00045BAE"/>
    <w:rsid w:val="00045C24"/>
    <w:rsid w:val="00045C61"/>
    <w:rsid w:val="00047ACB"/>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CB5"/>
    <w:rsid w:val="000B7D1C"/>
    <w:rsid w:val="000C092E"/>
    <w:rsid w:val="000C1ADD"/>
    <w:rsid w:val="000C1BA3"/>
    <w:rsid w:val="000C266A"/>
    <w:rsid w:val="000C34D4"/>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6AA"/>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C6"/>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5672"/>
    <w:rsid w:val="0025729C"/>
    <w:rsid w:val="00261359"/>
    <w:rsid w:val="00266464"/>
    <w:rsid w:val="002713A9"/>
    <w:rsid w:val="0027243D"/>
    <w:rsid w:val="00273133"/>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EF6"/>
    <w:rsid w:val="003F390F"/>
    <w:rsid w:val="003F4CC1"/>
    <w:rsid w:val="003F55E2"/>
    <w:rsid w:val="003F6D7A"/>
    <w:rsid w:val="00401704"/>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D7C"/>
    <w:rsid w:val="00423CBE"/>
    <w:rsid w:val="004241A8"/>
    <w:rsid w:val="0042446B"/>
    <w:rsid w:val="00424CF8"/>
    <w:rsid w:val="004254B6"/>
    <w:rsid w:val="0042555C"/>
    <w:rsid w:val="00425676"/>
    <w:rsid w:val="0042643A"/>
    <w:rsid w:val="00430B7C"/>
    <w:rsid w:val="00432907"/>
    <w:rsid w:val="0043457B"/>
    <w:rsid w:val="00436AF6"/>
    <w:rsid w:val="0044037A"/>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50D3"/>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4D1C"/>
    <w:rsid w:val="00606B34"/>
    <w:rsid w:val="00606D79"/>
    <w:rsid w:val="00607098"/>
    <w:rsid w:val="006117CD"/>
    <w:rsid w:val="0061291F"/>
    <w:rsid w:val="006131EC"/>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5"/>
    <w:rsid w:val="00695550"/>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D0786"/>
    <w:rsid w:val="006D1C3E"/>
    <w:rsid w:val="006D2E83"/>
    <w:rsid w:val="006D6D0D"/>
    <w:rsid w:val="006D71B1"/>
    <w:rsid w:val="006E0106"/>
    <w:rsid w:val="006E116A"/>
    <w:rsid w:val="006E2ED1"/>
    <w:rsid w:val="006E4DC4"/>
    <w:rsid w:val="006E54B8"/>
    <w:rsid w:val="006F1B2B"/>
    <w:rsid w:val="006F359A"/>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1B9E"/>
    <w:rsid w:val="00751CE0"/>
    <w:rsid w:val="007526D4"/>
    <w:rsid w:val="007534CC"/>
    <w:rsid w:val="00753BD2"/>
    <w:rsid w:val="0075488F"/>
    <w:rsid w:val="0075659C"/>
    <w:rsid w:val="007567E8"/>
    <w:rsid w:val="00756D05"/>
    <w:rsid w:val="00757F1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C99"/>
    <w:rsid w:val="007A2A77"/>
    <w:rsid w:val="007A2F28"/>
    <w:rsid w:val="007A3BA0"/>
    <w:rsid w:val="007A427D"/>
    <w:rsid w:val="007A66D4"/>
    <w:rsid w:val="007A6969"/>
    <w:rsid w:val="007B38E0"/>
    <w:rsid w:val="007B3F4B"/>
    <w:rsid w:val="007B44EB"/>
    <w:rsid w:val="007B4E73"/>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747B"/>
    <w:rsid w:val="009311C8"/>
    <w:rsid w:val="00931FA6"/>
    <w:rsid w:val="00932513"/>
    <w:rsid w:val="00932A50"/>
    <w:rsid w:val="00932EFD"/>
    <w:rsid w:val="00933B70"/>
    <w:rsid w:val="009342D5"/>
    <w:rsid w:val="009360D7"/>
    <w:rsid w:val="009368AA"/>
    <w:rsid w:val="00936FD0"/>
    <w:rsid w:val="00937564"/>
    <w:rsid w:val="00937686"/>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5537"/>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3EC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62AD"/>
    <w:rsid w:val="00AD09E8"/>
    <w:rsid w:val="00AD1713"/>
    <w:rsid w:val="00AD1B78"/>
    <w:rsid w:val="00AD2561"/>
    <w:rsid w:val="00AD4A8B"/>
    <w:rsid w:val="00AD693A"/>
    <w:rsid w:val="00AD6BB2"/>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42"/>
    <w:rsid w:val="00B014B9"/>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35E5"/>
    <w:rsid w:val="00D2452D"/>
    <w:rsid w:val="00D25241"/>
    <w:rsid w:val="00D25FBB"/>
    <w:rsid w:val="00D26A80"/>
    <w:rsid w:val="00D2747D"/>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2485"/>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5B05"/>
    <w:rsid w:val="00EE69B6"/>
    <w:rsid w:val="00EE7766"/>
    <w:rsid w:val="00EF17DD"/>
    <w:rsid w:val="00EF2D2E"/>
    <w:rsid w:val="00EF3B67"/>
    <w:rsid w:val="00EF5BB5"/>
    <w:rsid w:val="00EF6474"/>
    <w:rsid w:val="00EF6DE5"/>
    <w:rsid w:val="00F00FE4"/>
    <w:rsid w:val="00F01705"/>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2EA"/>
    <w:rsid w:val="00F56FFF"/>
    <w:rsid w:val="00F6086C"/>
    <w:rsid w:val="00F60B75"/>
    <w:rsid w:val="00F60D91"/>
    <w:rsid w:val="00F61384"/>
    <w:rsid w:val="00F6272D"/>
    <w:rsid w:val="00F6405A"/>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19DA"/>
    <w:rsid w:val="00F9219D"/>
    <w:rsid w:val="00F94657"/>
    <w:rsid w:val="00F94C4B"/>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vrendokumentu">
    <w:name w:val="Document Map"/>
    <w:basedOn w:val="Normln"/>
    <w:link w:val="RozvrendokumentuChar"/>
    <w:uiPriority w:val="99"/>
    <w:semiHidden/>
    <w:rsid w:val="0069177D"/>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1"/>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3A80-477A-40A3-9AE2-7E457A2B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3932</Words>
  <Characters>23409</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Petra Lisová</cp:lastModifiedBy>
  <cp:revision>10</cp:revision>
  <cp:lastPrinted>2012-08-28T07:34:00Z</cp:lastPrinted>
  <dcterms:created xsi:type="dcterms:W3CDTF">2013-03-05T14:48:00Z</dcterms:created>
  <dcterms:modified xsi:type="dcterms:W3CDTF">2014-01-02T16:06:00Z</dcterms:modified>
</cp:coreProperties>
</file>