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90" w:rsidRDefault="00494F90" w:rsidP="004F338A">
      <w:pPr>
        <w:pStyle w:val="Bntext"/>
        <w:jc w:val="center"/>
        <w:rPr>
          <w:rFonts w:asciiTheme="minorHAnsi" w:hAnsiTheme="minorHAnsi" w:cs="Calibri"/>
          <w:b/>
          <w:bCs/>
          <w:kern w:val="28"/>
          <w:sz w:val="36"/>
          <w:szCs w:val="36"/>
        </w:rPr>
      </w:pPr>
    </w:p>
    <w:p w:rsidR="00731071" w:rsidRPr="00E30CD0" w:rsidRDefault="00731071" w:rsidP="004F338A">
      <w:pPr>
        <w:pStyle w:val="Bntext"/>
        <w:jc w:val="center"/>
        <w:rPr>
          <w:rFonts w:asciiTheme="minorHAnsi" w:hAnsiTheme="minorHAnsi" w:cs="Calibri"/>
          <w:b/>
          <w:bCs/>
          <w:kern w:val="28"/>
          <w:sz w:val="36"/>
          <w:szCs w:val="36"/>
        </w:rPr>
      </w:pPr>
      <w:r w:rsidRPr="00E30CD0">
        <w:rPr>
          <w:rFonts w:asciiTheme="minorHAnsi" w:hAnsiTheme="minorHAnsi" w:cs="Calibri"/>
          <w:b/>
          <w:bCs/>
          <w:kern w:val="28"/>
          <w:sz w:val="36"/>
          <w:szCs w:val="36"/>
        </w:rPr>
        <w:t xml:space="preserve">Návrhy úprav Programového dokumentu IOP </w:t>
      </w:r>
    </w:p>
    <w:p w:rsidR="00EB389D" w:rsidRPr="00E30CD0" w:rsidRDefault="004F338A" w:rsidP="004F338A">
      <w:pPr>
        <w:pStyle w:val="Bntext"/>
        <w:jc w:val="center"/>
        <w:rPr>
          <w:rFonts w:asciiTheme="minorHAnsi" w:hAnsiTheme="minorHAnsi" w:cs="Calibri"/>
          <w:b/>
          <w:i/>
        </w:rPr>
      </w:pPr>
      <w:r w:rsidRPr="00E30CD0">
        <w:rPr>
          <w:rFonts w:asciiTheme="minorHAnsi" w:hAnsiTheme="minorHAnsi" w:cs="Calibri"/>
          <w:b/>
          <w:i/>
        </w:rPr>
        <w:t xml:space="preserve">Podklad ŘO IOP pro mimořádné jednání Monitorovacího výboru IOP dne </w:t>
      </w:r>
      <w:r w:rsidR="002A1E09" w:rsidRPr="00E30CD0">
        <w:rPr>
          <w:rFonts w:asciiTheme="minorHAnsi" w:hAnsiTheme="minorHAnsi" w:cs="Calibri"/>
          <w:b/>
          <w:i/>
        </w:rPr>
        <w:t>26. 9. 2013</w:t>
      </w:r>
    </w:p>
    <w:p w:rsidR="004F338A" w:rsidRPr="00E30CD0" w:rsidRDefault="004F338A" w:rsidP="00BC10A8">
      <w:pPr>
        <w:pStyle w:val="Bntext"/>
        <w:rPr>
          <w:rFonts w:asciiTheme="minorHAnsi" w:hAnsiTheme="minorHAnsi" w:cs="Calibr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V souvislosti s mimořádným zasedáním Monitorovacího výboru IOP</w:t>
      </w:r>
      <w:r w:rsidRPr="00E30CD0" w:rsidDel="00505714">
        <w:rPr>
          <w:rFonts w:asciiTheme="minorHAnsi" w:hAnsiTheme="minorHAnsi"/>
        </w:rPr>
        <w:t xml:space="preserve"> </w:t>
      </w:r>
      <w:r w:rsidRPr="00E30CD0">
        <w:rPr>
          <w:rFonts w:asciiTheme="minorHAnsi" w:hAnsiTheme="minorHAnsi"/>
        </w:rPr>
        <w:t>navrhuje ŘO IOP změny Programového dokumentu</w:t>
      </w:r>
      <w:r w:rsidR="00E30CD0">
        <w:rPr>
          <w:rFonts w:asciiTheme="minorHAnsi" w:hAnsiTheme="minorHAnsi"/>
        </w:rPr>
        <w:t xml:space="preserve"> IOP</w:t>
      </w:r>
      <w:r w:rsidRPr="00E30CD0">
        <w:rPr>
          <w:rFonts w:asciiTheme="minorHAnsi" w:hAnsiTheme="minorHAnsi"/>
        </w:rPr>
        <w:t>.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Podmínky, za kterých je možné provést změny operačního programu (Programového dokumentu), jsou uvedeny v Nařízení č.1083/2006 EK, článek 33, odstavec 2. 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Revize operačního programu je možná, pokud se opírá o tyto důvody: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  <w:b/>
        </w:rPr>
        <w:t>významné socioekonomické změny</w:t>
      </w:r>
      <w:r w:rsidRPr="00E30CD0">
        <w:rPr>
          <w:rFonts w:asciiTheme="minorHAnsi" w:hAnsiTheme="minorHAnsi"/>
        </w:rPr>
        <w:t xml:space="preserve"> (např. finanční krize), </w:t>
      </w:r>
    </w:p>
    <w:p w:rsidR="00F67F6C" w:rsidRPr="00E30CD0" w:rsidRDefault="00F67F6C" w:rsidP="00F67F6C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  <w:b/>
        </w:rPr>
        <w:t>významná změna priorit EU anebo celostátních nebo regionálních priorit</w:t>
      </w:r>
      <w:r w:rsidRPr="00E30CD0">
        <w:rPr>
          <w:rFonts w:asciiTheme="minorHAnsi" w:hAnsiTheme="minorHAnsi"/>
        </w:rPr>
        <w:t xml:space="preserve">, </w:t>
      </w:r>
    </w:p>
    <w:p w:rsidR="00F67F6C" w:rsidRPr="00E30CD0" w:rsidRDefault="00F67F6C" w:rsidP="00F67F6C">
      <w:pPr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30CD0">
        <w:rPr>
          <w:rFonts w:asciiTheme="minorHAnsi" w:hAnsiTheme="minorHAnsi"/>
        </w:rPr>
        <w:t xml:space="preserve">zjištění odklonu od původně stanovených cílů, </w:t>
      </w:r>
      <w:r w:rsidRPr="00E30CD0">
        <w:rPr>
          <w:rFonts w:asciiTheme="minorHAnsi" w:hAnsiTheme="minorHAnsi"/>
          <w:b/>
        </w:rPr>
        <w:t>odhalených pomocí monitorovacího systému,</w:t>
      </w:r>
    </w:p>
    <w:p w:rsidR="00F67F6C" w:rsidRPr="00E30CD0" w:rsidRDefault="00F67F6C" w:rsidP="00F67F6C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  <w:b/>
        </w:rPr>
        <w:t>obtíže při provádění OP</w:t>
      </w:r>
      <w:r w:rsidRPr="00E30CD0">
        <w:rPr>
          <w:rFonts w:asciiTheme="minorHAnsi" w:hAnsiTheme="minorHAnsi"/>
        </w:rPr>
        <w:t>.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Změny operačního programu konzultoval ŘO IOP s Národním orgánem pro koordinaci (NOK. </w:t>
      </w:r>
    </w:p>
    <w:p w:rsidR="00E30CD0" w:rsidRDefault="00E30CD0" w:rsidP="00E30CD0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ŘO IOP s ohledem na vývoj naplňování pravidla N+3/N+2 ke konci roku 2013 připravil materiál do vlády k možnostem naplnění tohoto pravidla. Vláda projedná materiál během září 2013. </w:t>
      </w:r>
      <w:r w:rsidR="00457CA3">
        <w:rPr>
          <w:rFonts w:asciiTheme="minorHAnsi" w:hAnsiTheme="minorHAnsi"/>
        </w:rPr>
        <w:t>K</w:t>
      </w:r>
      <w:r>
        <w:rPr>
          <w:rFonts w:asciiTheme="minorHAnsi" w:hAnsiTheme="minorHAnsi"/>
        </w:rPr>
        <w:t>líčovou část</w:t>
      </w:r>
      <w:r w:rsidR="00457CA3">
        <w:rPr>
          <w:rFonts w:asciiTheme="minorHAnsi" w:hAnsiTheme="minorHAnsi"/>
        </w:rPr>
        <w:t>í</w:t>
      </w:r>
      <w:r>
        <w:rPr>
          <w:rFonts w:asciiTheme="minorHAnsi" w:hAnsiTheme="minorHAnsi"/>
        </w:rPr>
        <w:t xml:space="preserve"> navrhovaného řešení je zařazení dvou velkých projektů</w:t>
      </w:r>
      <w:r w:rsidR="00457CA3">
        <w:rPr>
          <w:rFonts w:asciiTheme="minorHAnsi" w:hAnsiTheme="minorHAnsi"/>
        </w:rPr>
        <w:t>, definovaných</w:t>
      </w:r>
      <w:r w:rsidR="00E16D9D">
        <w:rPr>
          <w:rFonts w:asciiTheme="minorHAnsi" w:hAnsiTheme="minorHAnsi"/>
        </w:rPr>
        <w:t xml:space="preserve"> </w:t>
      </w:r>
      <w:r w:rsidR="00457CA3">
        <w:rPr>
          <w:rFonts w:asciiTheme="minorHAnsi" w:hAnsiTheme="minorHAnsi"/>
        </w:rPr>
        <w:t xml:space="preserve">ve </w:t>
      </w:r>
      <w:r w:rsidR="00E16D9D">
        <w:rPr>
          <w:rFonts w:asciiTheme="minorHAnsi" w:hAnsiTheme="minorHAnsi"/>
        </w:rPr>
        <w:t>čl. 39 nařízení Rady (ES)</w:t>
      </w:r>
      <w:r>
        <w:rPr>
          <w:rFonts w:asciiTheme="minorHAnsi" w:hAnsiTheme="minorHAnsi"/>
        </w:rPr>
        <w:t xml:space="preserve"> </w:t>
      </w:r>
      <w:r w:rsidR="00E16D9D">
        <w:rPr>
          <w:rFonts w:asciiTheme="minorHAnsi" w:hAnsiTheme="minorHAnsi"/>
        </w:rPr>
        <w:t>č. 1083/2006</w:t>
      </w:r>
      <w:r w:rsidR="00457CA3">
        <w:rPr>
          <w:rFonts w:asciiTheme="minorHAnsi" w:hAnsiTheme="minorHAnsi"/>
        </w:rPr>
        <w:t>, do Integrovaného operačního programu</w:t>
      </w:r>
      <w:r>
        <w:rPr>
          <w:rFonts w:asciiTheme="minorHAnsi" w:hAnsiTheme="minorHAnsi"/>
        </w:rPr>
        <w:t xml:space="preserve">. </w:t>
      </w:r>
    </w:p>
    <w:p w:rsidR="00E30CD0" w:rsidRPr="00E30CD0" w:rsidRDefault="00E16D9D" w:rsidP="00E30CD0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Předložením </w:t>
      </w:r>
      <w:r w:rsidR="00E30CD0" w:rsidRPr="00E30CD0">
        <w:rPr>
          <w:rFonts w:asciiTheme="minorHAnsi" w:hAnsiTheme="minorHAnsi"/>
        </w:rPr>
        <w:t>velkých projektů</w:t>
      </w:r>
      <w:r>
        <w:rPr>
          <w:rFonts w:asciiTheme="minorHAnsi" w:hAnsiTheme="minorHAnsi"/>
        </w:rPr>
        <w:t xml:space="preserve"> </w:t>
      </w:r>
      <w:r w:rsidR="00457CA3" w:rsidRPr="00E30CD0">
        <w:rPr>
          <w:rFonts w:asciiTheme="minorHAnsi" w:hAnsiTheme="minorHAnsi"/>
        </w:rPr>
        <w:t xml:space="preserve">v rozsahu cca 2,8 mld. </w:t>
      </w:r>
      <w:r>
        <w:rPr>
          <w:rFonts w:asciiTheme="minorHAnsi" w:hAnsiTheme="minorHAnsi"/>
        </w:rPr>
        <w:t>Evropské komisi do konce roku 2013</w:t>
      </w:r>
      <w:r w:rsidR="00E30CD0" w:rsidRPr="00E30C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Kč, </w:t>
      </w:r>
      <w:r w:rsidR="00457CA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e sníží limit nezbytného čerpání </w:t>
      </w:r>
      <w:r w:rsidR="00E30CD0" w:rsidRPr="00E30CD0">
        <w:rPr>
          <w:rFonts w:asciiTheme="minorHAnsi" w:hAnsiTheme="minorHAnsi"/>
        </w:rPr>
        <w:t xml:space="preserve">v roce 2013 a sníží </w:t>
      </w:r>
      <w:r w:rsidR="00457CA3">
        <w:rPr>
          <w:rFonts w:asciiTheme="minorHAnsi" w:hAnsiTheme="minorHAnsi"/>
        </w:rPr>
        <w:t xml:space="preserve">se </w:t>
      </w:r>
      <w:r w:rsidR="00E30CD0" w:rsidRPr="00E30CD0">
        <w:rPr>
          <w:rFonts w:asciiTheme="minorHAnsi" w:hAnsiTheme="minorHAnsi"/>
        </w:rPr>
        <w:t>potenciální</w:t>
      </w:r>
      <w:r>
        <w:rPr>
          <w:rFonts w:asciiTheme="minorHAnsi" w:hAnsiTheme="minorHAnsi"/>
        </w:rPr>
        <w:t>ho</w:t>
      </w:r>
      <w:r w:rsidR="00E30CD0" w:rsidRPr="00E30CD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decommitment</w:t>
      </w:r>
      <w:proofErr w:type="spellEnd"/>
      <w:r w:rsidR="00457CA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vztahujícího se k pravidlu </w:t>
      </w:r>
      <w:r w:rsidR="00E30CD0" w:rsidRPr="00E30CD0">
        <w:rPr>
          <w:rFonts w:asciiTheme="minorHAnsi" w:hAnsiTheme="minorHAnsi"/>
        </w:rPr>
        <w:t xml:space="preserve">n+3/n+2 v roce 2013. </w:t>
      </w:r>
    </w:p>
    <w:p w:rsidR="00E30CD0" w:rsidRDefault="00E30CD0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Default="00457CA3" w:rsidP="00F67F6C">
      <w:pPr>
        <w:jc w:val="both"/>
        <w:rPr>
          <w:rFonts w:asciiTheme="minorHAnsi" w:hAnsiTheme="minorHAnsi"/>
        </w:rPr>
      </w:pPr>
    </w:p>
    <w:p w:rsidR="00457CA3" w:rsidRPr="00E30CD0" w:rsidRDefault="00457CA3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  <w:u w:val="single"/>
        </w:rPr>
      </w:pPr>
      <w:r w:rsidRPr="00E30CD0">
        <w:rPr>
          <w:rFonts w:asciiTheme="minorHAnsi" w:hAnsiTheme="minorHAnsi"/>
          <w:b/>
          <w:u w:val="single"/>
        </w:rPr>
        <w:t>Navrhované změny a jejich odůvodnění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E845A0" w:rsidP="00F67F6C">
      <w:pPr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Vnitřní realokace z ostatních oblastí intervence do 3.4, z</w:t>
      </w:r>
      <w:r w:rsidR="00F67F6C" w:rsidRPr="00E30CD0">
        <w:rPr>
          <w:rFonts w:asciiTheme="minorHAnsi" w:hAnsiTheme="minorHAnsi"/>
          <w:b/>
        </w:rPr>
        <w:t>ařazení dvou velkých projektů do oblasti intervence 3.4. Jedná se o projekty Ministerstva vnitra</w:t>
      </w:r>
      <w:r w:rsidR="0090427C" w:rsidRPr="00E30CD0">
        <w:rPr>
          <w:rFonts w:asciiTheme="minorHAnsi" w:hAnsiTheme="minorHAnsi"/>
          <w:b/>
        </w:rPr>
        <w:t xml:space="preserve"> – G</w:t>
      </w:r>
      <w:r w:rsidR="00F67F6C" w:rsidRPr="00E30CD0">
        <w:rPr>
          <w:rFonts w:asciiTheme="minorHAnsi" w:hAnsiTheme="minorHAnsi"/>
          <w:b/>
        </w:rPr>
        <w:t>enerálního ředitelství Hasičského záchranného sboru České republiky a Ministerstva vnitra</w:t>
      </w:r>
      <w:r w:rsidR="00E16D9D">
        <w:rPr>
          <w:rFonts w:asciiTheme="minorHAnsi" w:hAnsiTheme="minorHAnsi"/>
          <w:b/>
        </w:rPr>
        <w:t xml:space="preserve"> </w:t>
      </w:r>
      <w:r w:rsidR="00F67F6C" w:rsidRPr="00E30CD0">
        <w:rPr>
          <w:rFonts w:asciiTheme="minorHAnsi" w:hAnsiTheme="minorHAnsi"/>
          <w:b/>
        </w:rPr>
        <w:t>-</w:t>
      </w:r>
      <w:r w:rsidR="00E16D9D">
        <w:rPr>
          <w:rFonts w:asciiTheme="minorHAnsi" w:hAnsiTheme="minorHAnsi"/>
          <w:b/>
        </w:rPr>
        <w:t xml:space="preserve"> </w:t>
      </w:r>
      <w:r w:rsidR="00F67F6C" w:rsidRPr="00E30CD0">
        <w:rPr>
          <w:rFonts w:asciiTheme="minorHAnsi" w:hAnsiTheme="minorHAnsi"/>
          <w:b/>
        </w:rPr>
        <w:t xml:space="preserve">Policejního prezidia </w:t>
      </w:r>
      <w:r w:rsidR="00E30CD0">
        <w:rPr>
          <w:rFonts w:asciiTheme="minorHAnsi" w:hAnsiTheme="minorHAnsi"/>
          <w:b/>
        </w:rPr>
        <w:t xml:space="preserve">Policie </w:t>
      </w:r>
      <w:r w:rsidR="00F67F6C" w:rsidRPr="00E30CD0">
        <w:rPr>
          <w:rFonts w:asciiTheme="minorHAnsi" w:hAnsiTheme="minorHAnsi"/>
          <w:b/>
        </w:rPr>
        <w:t xml:space="preserve">České republiky </w:t>
      </w:r>
    </w:p>
    <w:p w:rsidR="00457CA3" w:rsidRDefault="00457CA3" w:rsidP="00F67F6C">
      <w:pPr>
        <w:spacing w:after="240"/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Povodňové situace představují na území České republiky největší hrozby přírodních katastrof. Tato skutečnost je dána polohou České republiky v kontinentálním i celosvětovém měřítku. V posledních patnácti letech se </w:t>
      </w:r>
      <w:r w:rsidR="00B63EB6">
        <w:rPr>
          <w:rFonts w:asciiTheme="minorHAnsi" w:hAnsiTheme="minorHAnsi"/>
        </w:rPr>
        <w:t xml:space="preserve">povodně </w:t>
      </w:r>
      <w:r w:rsidRPr="00E30CD0">
        <w:rPr>
          <w:rFonts w:asciiTheme="minorHAnsi" w:hAnsiTheme="minorHAnsi"/>
        </w:rPr>
        <w:t>na území České republiky vyskytly v daleko větší míře rozsahu a četnosti, než v letech předchozích.</w:t>
      </w:r>
    </w:p>
    <w:p w:rsidR="00F67F6C" w:rsidRPr="00E30CD0" w:rsidRDefault="00F67F6C" w:rsidP="00F67F6C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Vzniku povodní nelze zabránit, lze pouze zmírnit jejich dopad na životy a majetek obyvatel, a to různými opatřeními na vodních tocích, zvýšením retenčních schopností krajiny, činností vodoprávních orgánů a záchranných složek provádějících záchranné a likvidační práce a ochranu obyvatel při povodni. 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Projekty „Připravenost Hasičského záchranného sboru České republiky k řešení následků povodní“ a „Připravenost Policie České republiky k řešení následků povodní“ slouží k zajištění komplexní připravenosti </w:t>
      </w:r>
      <w:r w:rsidR="00E16D9D">
        <w:rPr>
          <w:rFonts w:asciiTheme="minorHAnsi" w:hAnsiTheme="minorHAnsi"/>
        </w:rPr>
        <w:t>Integrovaného záchranného systému</w:t>
      </w:r>
      <w:r w:rsidRPr="00E30CD0">
        <w:rPr>
          <w:rFonts w:asciiTheme="minorHAnsi" w:hAnsiTheme="minorHAnsi"/>
        </w:rPr>
        <w:t xml:space="preserve"> řešit velmi rozsáhlé mimořádné události, např. povodně na velké části území ČR</w:t>
      </w:r>
      <w:r w:rsidR="00494F90">
        <w:rPr>
          <w:rFonts w:asciiTheme="minorHAnsi" w:hAnsiTheme="minorHAnsi"/>
        </w:rPr>
        <w:t>, které</w:t>
      </w:r>
      <w:r w:rsidRPr="00E30CD0">
        <w:rPr>
          <w:rFonts w:asciiTheme="minorHAnsi" w:hAnsiTheme="minorHAnsi"/>
        </w:rPr>
        <w:t xml:space="preserve"> vyžadují déle trvající zásahy. 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494F90" w:rsidRPr="00494F90" w:rsidRDefault="00494F90" w:rsidP="00494F90">
      <w:pPr>
        <w:tabs>
          <w:tab w:val="left" w:pos="1140"/>
        </w:tabs>
        <w:spacing w:after="240"/>
        <w:ind w:left="45"/>
        <w:jc w:val="both"/>
        <w:rPr>
          <w:rFonts w:asciiTheme="minorHAnsi" w:hAnsiTheme="minorHAnsi"/>
          <w:u w:val="single"/>
        </w:rPr>
      </w:pPr>
      <w:r w:rsidRPr="00494F90">
        <w:rPr>
          <w:rFonts w:asciiTheme="minorHAnsi" w:hAnsiTheme="minorHAnsi"/>
        </w:rPr>
        <w:t>Výstupem projektů bude moderní technika a technologické vybavení, které umožní efektivněji, rychleji a bezpečněji monitorovat situaci při povodních, řídit záchranné povodňové práce, zajistí dostatek aktuálních informací potřebných pro rozhodování o zásahu a rychle a účinně provést záchranné a likvidační práce, evakuaci obyvatelstva, dopravit prostředky pro nouzové přežití obyvatel, účinně pomoci obyvatelstvu a veřejné správě k obnově životních podmínek v postiženém území, vybudovat optimální podmínky pro rozmístění speciálních sil a prostředků s ohledem na plošné pokrytí území ČR z důvodu plošného působení mimořádných událostí</w:t>
      </w:r>
      <w:r>
        <w:rPr>
          <w:rFonts w:asciiTheme="minorHAnsi" w:hAnsiTheme="minorHAnsi"/>
        </w:rPr>
        <w:t xml:space="preserve"> a</w:t>
      </w:r>
      <w:r w:rsidRPr="00494F90">
        <w:rPr>
          <w:rFonts w:asciiTheme="minorHAnsi" w:hAnsiTheme="minorHAnsi"/>
        </w:rPr>
        <w:t xml:space="preserve"> zejména povodní.</w:t>
      </w:r>
    </w:p>
    <w:p w:rsidR="00F67F6C" w:rsidRPr="00E30CD0" w:rsidRDefault="00F67F6C" w:rsidP="00F67F6C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Se zařazením velkých projektů do programu souvisí </w:t>
      </w:r>
      <w:r w:rsidRPr="00BE1DFC">
        <w:rPr>
          <w:rFonts w:asciiTheme="minorHAnsi" w:hAnsiTheme="minorHAnsi"/>
        </w:rPr>
        <w:t>realokace uvnitř oblasti</w:t>
      </w:r>
      <w:r w:rsidRPr="00E30CD0">
        <w:rPr>
          <w:rFonts w:asciiTheme="minorHAnsi" w:hAnsiTheme="minorHAnsi"/>
        </w:rPr>
        <w:t xml:space="preserve"> intervence 3.4 </w:t>
      </w:r>
      <w:r w:rsidR="00BE1DFC">
        <w:rPr>
          <w:rFonts w:asciiTheme="minorHAnsi" w:hAnsiTheme="minorHAnsi"/>
        </w:rPr>
        <w:t xml:space="preserve">mezi aktivitami </w:t>
      </w:r>
      <w:r w:rsidRPr="00E30CD0">
        <w:rPr>
          <w:rFonts w:asciiTheme="minorHAnsi" w:hAnsiTheme="minorHAnsi"/>
        </w:rPr>
        <w:t>a převody alokací z oblastí intervence, které mají volné finanční prostředky a hrozí jim ztráta alokace v důsledku nesplnění pravidla n+3/n+2, do oblasti intervence 3.4</w:t>
      </w:r>
      <w:r w:rsidR="00F70BFF">
        <w:rPr>
          <w:rFonts w:asciiTheme="minorHAnsi" w:hAnsiTheme="minorHAnsi"/>
        </w:rPr>
        <w:t xml:space="preserve"> ve výši 100 455 396 €</w:t>
      </w:r>
      <w:r w:rsidRPr="00E30CD0">
        <w:rPr>
          <w:rFonts w:asciiTheme="minorHAnsi" w:hAnsiTheme="minorHAnsi"/>
        </w:rPr>
        <w:t xml:space="preserve">. </w:t>
      </w:r>
      <w:r w:rsidR="00F70BFF">
        <w:rPr>
          <w:rFonts w:asciiTheme="minorHAnsi" w:hAnsiTheme="minorHAnsi"/>
        </w:rPr>
        <w:t>F</w:t>
      </w:r>
      <w:r w:rsidR="00E16D9D">
        <w:rPr>
          <w:rFonts w:asciiTheme="minorHAnsi" w:hAnsiTheme="minorHAnsi"/>
        </w:rPr>
        <w:t>inanční tabulk</w:t>
      </w:r>
      <w:r w:rsidR="00F70BFF">
        <w:rPr>
          <w:rFonts w:asciiTheme="minorHAnsi" w:hAnsiTheme="minorHAnsi"/>
        </w:rPr>
        <w:t>a změn</w:t>
      </w:r>
      <w:r w:rsidR="00E16D9D">
        <w:rPr>
          <w:rFonts w:asciiTheme="minorHAnsi" w:hAnsiTheme="minorHAnsi"/>
        </w:rPr>
        <w:t xml:space="preserve"> je uveden</w:t>
      </w:r>
      <w:r w:rsidR="00F70BFF">
        <w:rPr>
          <w:rFonts w:asciiTheme="minorHAnsi" w:hAnsiTheme="minorHAnsi"/>
        </w:rPr>
        <w:t>a</w:t>
      </w:r>
      <w:r w:rsidR="00E16D9D">
        <w:rPr>
          <w:rFonts w:asciiTheme="minorHAnsi" w:hAnsiTheme="minorHAnsi"/>
        </w:rPr>
        <w:t xml:space="preserve"> v příloze č. 3. </w:t>
      </w:r>
      <w:r w:rsidRPr="00E30CD0">
        <w:rPr>
          <w:rFonts w:asciiTheme="minorHAnsi" w:hAnsiTheme="minorHAnsi"/>
        </w:rPr>
        <w:t xml:space="preserve">Adekvátně zvýšení alokace v oblasti intervence 3.4 a snížení alokací dalších oblastí intervence se zvyšují, resp. snižují, cílové hodnoty </w:t>
      </w:r>
      <w:r w:rsidR="00E16D9D">
        <w:rPr>
          <w:rFonts w:asciiTheme="minorHAnsi" w:hAnsiTheme="minorHAnsi"/>
        </w:rPr>
        <w:t xml:space="preserve">některých monitorovacích indikátorů. Nejedná se o přidání nové aktivity do oblasti intervence 3.4, protože velké projekty budou realizovány </w:t>
      </w:r>
      <w:r w:rsidR="00F70BFF">
        <w:rPr>
          <w:rFonts w:asciiTheme="minorHAnsi" w:hAnsiTheme="minorHAnsi"/>
        </w:rPr>
        <w:t>v</w:t>
      </w:r>
      <w:r w:rsidR="00E16D9D">
        <w:rPr>
          <w:rFonts w:asciiTheme="minorHAnsi" w:hAnsiTheme="minorHAnsi"/>
        </w:rPr>
        <w:t>e stávajících aktivit</w:t>
      </w:r>
      <w:r w:rsidR="00F70BFF">
        <w:rPr>
          <w:rFonts w:asciiTheme="minorHAnsi" w:hAnsiTheme="minorHAnsi"/>
        </w:rPr>
        <w:t>ách</w:t>
      </w:r>
      <w:r w:rsidR="00E16D9D">
        <w:rPr>
          <w:rFonts w:asciiTheme="minorHAnsi" w:hAnsiTheme="minorHAnsi"/>
        </w:rPr>
        <w:t xml:space="preserve"> b) a d).</w:t>
      </w:r>
    </w:p>
    <w:p w:rsidR="00F67F6C" w:rsidRPr="00E30CD0" w:rsidRDefault="00F67F6C" w:rsidP="00F67F6C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Výzvu pro předložení žádostí o dotaci na realizaci velkých projektů předpokládá ŘO IOP během října 2013 a výzva bude zaměřená pouze na aktivity uvedených dvou velkých </w:t>
      </w:r>
      <w:r w:rsidRPr="00E30CD0">
        <w:rPr>
          <w:rFonts w:asciiTheme="minorHAnsi" w:hAnsiTheme="minorHAnsi"/>
        </w:rPr>
        <w:lastRenderedPageBreak/>
        <w:t>projektů. P</w:t>
      </w:r>
      <w:r w:rsidR="00E845A0">
        <w:rPr>
          <w:rFonts w:asciiTheme="minorHAnsi" w:hAnsiTheme="minorHAnsi"/>
        </w:rPr>
        <w:t>o</w:t>
      </w:r>
      <w:r w:rsidRPr="00E30CD0">
        <w:rPr>
          <w:rFonts w:asciiTheme="minorHAnsi" w:hAnsiTheme="minorHAnsi"/>
        </w:rPr>
        <w:t xml:space="preserve"> předložen</w:t>
      </w:r>
      <w:r w:rsidR="00E845A0">
        <w:rPr>
          <w:rFonts w:asciiTheme="minorHAnsi" w:hAnsiTheme="minorHAnsi"/>
        </w:rPr>
        <w:t>í</w:t>
      </w:r>
      <w:r w:rsidRPr="00E30CD0">
        <w:rPr>
          <w:rFonts w:asciiTheme="minorHAnsi" w:hAnsiTheme="minorHAnsi"/>
        </w:rPr>
        <w:t xml:space="preserve"> žádostí o dotaci proběhne standardní hodnocení přijatelnosti, formálních náležitostí, analýza rizik ex-ante a kontrola na místě ex-ante. Projekty nemají soutěžní charakter, smyslem a cílem hodnocení je dosáhnout vysoké kvality zpracovaných projektů a povinných příloh, zejména studie proveditelnosti, </w:t>
      </w:r>
      <w:proofErr w:type="spellStart"/>
      <w:r w:rsidRPr="00E30CD0">
        <w:rPr>
          <w:rFonts w:asciiTheme="minorHAnsi" w:hAnsiTheme="minorHAnsi"/>
        </w:rPr>
        <w:t>Cost</w:t>
      </w:r>
      <w:proofErr w:type="spellEnd"/>
      <w:r w:rsidRPr="00E30CD0">
        <w:rPr>
          <w:rFonts w:asciiTheme="minorHAnsi" w:hAnsiTheme="minorHAnsi"/>
        </w:rPr>
        <w:t xml:space="preserve"> </w:t>
      </w:r>
      <w:proofErr w:type="spellStart"/>
      <w:r w:rsidRPr="00E30CD0">
        <w:rPr>
          <w:rFonts w:asciiTheme="minorHAnsi" w:hAnsiTheme="minorHAnsi"/>
        </w:rPr>
        <w:t>Benefit</w:t>
      </w:r>
      <w:proofErr w:type="spellEnd"/>
      <w:r w:rsidRPr="00E30CD0">
        <w:rPr>
          <w:rFonts w:asciiTheme="minorHAnsi" w:hAnsiTheme="minorHAnsi"/>
        </w:rPr>
        <w:t xml:space="preserve"> Analýzy a finančního plánu. Proto nebude probíhat </w:t>
      </w:r>
      <w:r w:rsidR="00E845A0">
        <w:rPr>
          <w:rFonts w:asciiTheme="minorHAnsi" w:hAnsiTheme="minorHAnsi"/>
        </w:rPr>
        <w:t xml:space="preserve">bodování </w:t>
      </w:r>
      <w:r w:rsidRPr="00E30CD0">
        <w:rPr>
          <w:rFonts w:asciiTheme="minorHAnsi" w:hAnsiTheme="minorHAnsi"/>
        </w:rPr>
        <w:t>projektů podle kritérií</w:t>
      </w:r>
      <w:r w:rsidR="00CD11FE">
        <w:rPr>
          <w:rFonts w:asciiTheme="minorHAnsi" w:hAnsiTheme="minorHAnsi"/>
        </w:rPr>
        <w:t xml:space="preserve"> schválených pro oblast intervence 3.4</w:t>
      </w:r>
      <w:r w:rsidRPr="00E30CD0">
        <w:rPr>
          <w:rFonts w:asciiTheme="minorHAnsi" w:hAnsiTheme="minorHAnsi"/>
        </w:rPr>
        <w:t>.</w:t>
      </w:r>
    </w:p>
    <w:p w:rsidR="00F67F6C" w:rsidRDefault="00494F90" w:rsidP="00F67F6C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Hodnocení velkých projektů provádí Evropská komise podle Nařízení 1828/2006, příloha 21 a 22.</w:t>
      </w:r>
    </w:p>
    <w:p w:rsidR="00B63EB6" w:rsidRPr="00E30CD0" w:rsidRDefault="00B63EB6" w:rsidP="00F67F6C">
      <w:pPr>
        <w:spacing w:after="240"/>
        <w:jc w:val="both"/>
        <w:rPr>
          <w:rFonts w:asciiTheme="minorHAnsi" w:hAnsiTheme="minorHAnsi"/>
        </w:rPr>
      </w:pPr>
    </w:p>
    <w:p w:rsidR="00E845A0" w:rsidRDefault="00E845A0" w:rsidP="00F67F6C">
      <w:pPr>
        <w:pStyle w:val="Zkladntext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Realokace zdrojů do </w:t>
      </w:r>
      <w:proofErr w:type="gramStart"/>
      <w:r>
        <w:rPr>
          <w:rFonts w:asciiTheme="minorHAnsi" w:hAnsiTheme="minorHAnsi"/>
          <w:b/>
          <w:sz w:val="24"/>
          <w:szCs w:val="24"/>
        </w:rPr>
        <w:t>OP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Praha Konkurenceschopnost</w:t>
      </w:r>
    </w:p>
    <w:p w:rsidR="00B63EB6" w:rsidRDefault="00E845A0" w:rsidP="00E845A0">
      <w:pPr>
        <w:pStyle w:val="Zkladntext3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E845A0">
        <w:rPr>
          <w:rFonts w:asciiTheme="minorHAnsi" w:hAnsiTheme="minorHAnsi"/>
          <w:sz w:val="24"/>
          <w:szCs w:val="24"/>
        </w:rPr>
        <w:t xml:space="preserve">Pro eliminaci rizika ztráty alokace </w:t>
      </w:r>
      <w:r>
        <w:rPr>
          <w:rFonts w:asciiTheme="minorHAnsi" w:hAnsiTheme="minorHAnsi"/>
          <w:sz w:val="24"/>
          <w:szCs w:val="24"/>
        </w:rPr>
        <w:t xml:space="preserve">navrhuje </w:t>
      </w:r>
      <w:r w:rsidRPr="00E845A0">
        <w:rPr>
          <w:rFonts w:asciiTheme="minorHAnsi" w:hAnsiTheme="minorHAnsi"/>
          <w:sz w:val="24"/>
          <w:szCs w:val="24"/>
        </w:rPr>
        <w:t>Řídící orgán IOP</w:t>
      </w:r>
      <w:r>
        <w:rPr>
          <w:rFonts w:asciiTheme="minorHAnsi" w:hAnsiTheme="minorHAnsi"/>
          <w:sz w:val="24"/>
          <w:szCs w:val="24"/>
        </w:rPr>
        <w:t xml:space="preserve"> vnitřní realokace z</w:t>
      </w:r>
      <w:r w:rsidR="00457CA3">
        <w:rPr>
          <w:rFonts w:asciiTheme="minorHAnsi" w:hAnsiTheme="minorHAnsi"/>
          <w:sz w:val="24"/>
          <w:szCs w:val="24"/>
        </w:rPr>
        <w:t> </w:t>
      </w:r>
      <w:proofErr w:type="spellStart"/>
      <w:r w:rsidR="00457CA3">
        <w:rPr>
          <w:rFonts w:asciiTheme="minorHAnsi" w:hAnsiTheme="minorHAnsi"/>
          <w:sz w:val="24"/>
          <w:szCs w:val="24"/>
        </w:rPr>
        <w:t>dvou</w:t>
      </w:r>
      <w:r w:rsidR="00F70BFF">
        <w:rPr>
          <w:rFonts w:asciiTheme="minorHAnsi" w:hAnsiTheme="minorHAnsi"/>
          <w:sz w:val="24"/>
          <w:szCs w:val="24"/>
        </w:rPr>
        <w:t>c</w:t>
      </w:r>
      <w:r w:rsidR="00457CA3">
        <w:rPr>
          <w:rFonts w:asciiTheme="minorHAnsi" w:hAnsiTheme="minorHAnsi"/>
          <w:sz w:val="24"/>
          <w:szCs w:val="24"/>
        </w:rPr>
        <w:t>ílových</w:t>
      </w:r>
      <w:proofErr w:type="spellEnd"/>
      <w:r w:rsidR="00457CA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oblastí intervence </w:t>
      </w:r>
      <w:r w:rsidR="00F70BFF">
        <w:rPr>
          <w:rFonts w:asciiTheme="minorHAnsi" w:hAnsiTheme="minorHAnsi"/>
          <w:sz w:val="24"/>
          <w:szCs w:val="24"/>
        </w:rPr>
        <w:t xml:space="preserve">1.1a), 1.1b) a 6.2b) </w:t>
      </w:r>
      <w:r>
        <w:rPr>
          <w:rFonts w:asciiTheme="minorHAnsi" w:hAnsiTheme="minorHAnsi"/>
          <w:sz w:val="24"/>
          <w:szCs w:val="24"/>
        </w:rPr>
        <w:t>do oblasti intervence 3.4. Protože je nutné zachovat v nich poměr alokací pro Cíl 1 a Cíl 2</w:t>
      </w:r>
      <w:r w:rsidR="00457CA3">
        <w:rPr>
          <w:rFonts w:asciiTheme="minorHAnsi" w:hAnsiTheme="minorHAnsi"/>
          <w:sz w:val="24"/>
          <w:szCs w:val="24"/>
        </w:rPr>
        <w:t xml:space="preserve">, projednal ŘO IOP </w:t>
      </w:r>
      <w:r w:rsidR="00B63EB6">
        <w:rPr>
          <w:rFonts w:asciiTheme="minorHAnsi" w:hAnsiTheme="minorHAnsi"/>
          <w:sz w:val="24"/>
          <w:szCs w:val="24"/>
        </w:rPr>
        <w:t xml:space="preserve">s Řídícím orgánem OP Praha Konkurenceschopnost </w:t>
      </w:r>
      <w:r w:rsidR="00457CA3">
        <w:rPr>
          <w:rFonts w:asciiTheme="minorHAnsi" w:hAnsiTheme="minorHAnsi"/>
          <w:sz w:val="24"/>
          <w:szCs w:val="24"/>
        </w:rPr>
        <w:t xml:space="preserve">návrh realokace </w:t>
      </w:r>
      <w:r w:rsidR="00B63EB6">
        <w:rPr>
          <w:rFonts w:asciiTheme="minorHAnsi" w:hAnsiTheme="minorHAnsi"/>
          <w:sz w:val="24"/>
          <w:szCs w:val="24"/>
        </w:rPr>
        <w:t xml:space="preserve">ve výši </w:t>
      </w:r>
      <w:r w:rsidR="00085D6A">
        <w:rPr>
          <w:rFonts w:asciiTheme="minorHAnsi" w:hAnsiTheme="minorHAnsi"/>
          <w:sz w:val="24"/>
          <w:szCs w:val="24"/>
        </w:rPr>
        <w:t>1 713 877</w:t>
      </w:r>
      <w:r w:rsidR="00B63EB6">
        <w:rPr>
          <w:rFonts w:asciiTheme="minorHAnsi" w:hAnsiTheme="minorHAnsi"/>
          <w:sz w:val="24"/>
          <w:szCs w:val="24"/>
        </w:rPr>
        <w:t xml:space="preserve"> €</w:t>
      </w:r>
      <w:r w:rsidR="00457CA3">
        <w:rPr>
          <w:rFonts w:asciiTheme="minorHAnsi" w:hAnsiTheme="minorHAnsi"/>
          <w:sz w:val="24"/>
          <w:szCs w:val="24"/>
        </w:rPr>
        <w:t xml:space="preserve">. </w:t>
      </w:r>
    </w:p>
    <w:p w:rsidR="00E845A0" w:rsidRDefault="00457CA3" w:rsidP="00E845A0">
      <w:pPr>
        <w:pStyle w:val="Zkladntext3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Pokud členové Monitorovacího výboru IOP schválí</w:t>
      </w:r>
      <w:r w:rsidR="00E845A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realokaci do tohoto programu, ŘO OP Praha Konkurenceschopnost zahájí písemnou proceduru na schválení realokace z IOP.</w:t>
      </w:r>
      <w:r w:rsidR="00E845A0">
        <w:rPr>
          <w:rFonts w:asciiTheme="minorHAnsi" w:hAnsiTheme="minorHAnsi"/>
          <w:sz w:val="24"/>
          <w:szCs w:val="24"/>
        </w:rPr>
        <w:t xml:space="preserve">    </w:t>
      </w:r>
    </w:p>
    <w:p w:rsidR="00B63EB6" w:rsidRPr="00E845A0" w:rsidRDefault="00B63EB6" w:rsidP="00E845A0">
      <w:pPr>
        <w:pStyle w:val="Zkladntext3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67F6C" w:rsidRPr="00E30CD0" w:rsidRDefault="00F67F6C" w:rsidP="00F67F6C">
      <w:pPr>
        <w:pStyle w:val="Zkladntext3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30CD0">
        <w:rPr>
          <w:rFonts w:asciiTheme="minorHAnsi" w:hAnsiTheme="minorHAnsi"/>
          <w:b/>
          <w:sz w:val="24"/>
          <w:szCs w:val="24"/>
        </w:rPr>
        <w:t xml:space="preserve">Vyčlenění Pověřeného </w:t>
      </w:r>
      <w:proofErr w:type="spellStart"/>
      <w:r w:rsidRPr="00E30CD0">
        <w:rPr>
          <w:rFonts w:asciiTheme="minorHAnsi" w:hAnsiTheme="minorHAnsi"/>
          <w:b/>
          <w:sz w:val="24"/>
          <w:szCs w:val="24"/>
        </w:rPr>
        <w:t>auditního</w:t>
      </w:r>
      <w:proofErr w:type="spellEnd"/>
      <w:r w:rsidRPr="00E30CD0">
        <w:rPr>
          <w:rFonts w:asciiTheme="minorHAnsi" w:hAnsiTheme="minorHAnsi"/>
          <w:b/>
          <w:sz w:val="24"/>
          <w:szCs w:val="24"/>
        </w:rPr>
        <w:t xml:space="preserve"> subjektu z implementační struktury IOP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Na základě usnesení vlády České republiky ze dne 12. září 2012 č. 671 se soustřeďuje auditní činnost operačních programů na Ministerstvu financí ČR.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V návaznosti na usnesení vlády ČR </w:t>
      </w:r>
      <w:r w:rsidRPr="00E30CD0">
        <w:rPr>
          <w:rFonts w:asciiTheme="minorHAnsi" w:hAnsiTheme="minorHAnsi"/>
          <w:b/>
        </w:rPr>
        <w:t>od 1. ledna 2013 ukončil výkon činnosti Pověřený auditní subjekt pro IOP</w:t>
      </w:r>
      <w:r w:rsidRPr="00E30CD0">
        <w:rPr>
          <w:rFonts w:asciiTheme="minorHAnsi" w:hAnsiTheme="minorHAnsi"/>
        </w:rPr>
        <w:t>. Spolu s tím došlo k úpravě organizační struktury Integrovaného operačního programu.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Změnu implementační struktury zohlednil ŘO IOP v revizi Operačního manuálu IOP, platné od 2. ledna 2013. Změna implementace se týká i textu Programového dokumentu IOP, ale jedná se o změnu nepodstatné povahy, proto ji ŘO IOP navrhuje s dalšími, podstatnými změnami. </w:t>
      </w:r>
    </w:p>
    <w:p w:rsidR="00F67F6C" w:rsidRDefault="00F67F6C" w:rsidP="00F67F6C">
      <w:pPr>
        <w:jc w:val="both"/>
        <w:rPr>
          <w:rFonts w:asciiTheme="minorHAnsi" w:hAnsiTheme="minorHAnsi"/>
        </w:rPr>
      </w:pPr>
    </w:p>
    <w:p w:rsidR="00CD11FE" w:rsidRDefault="00CD11FE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E30CD0">
        <w:rPr>
          <w:rFonts w:asciiTheme="minorHAnsi" w:hAnsiTheme="minorHAnsi"/>
          <w:b/>
        </w:rPr>
        <w:t>Doplnění holdingového fondu do implementace finančního nástroje JESSICA</w:t>
      </w:r>
    </w:p>
    <w:p w:rsidR="00F67F6C" w:rsidRPr="00E30CD0" w:rsidRDefault="00F67F6C" w:rsidP="00F67F6C">
      <w:pPr>
        <w:jc w:val="both"/>
        <w:rPr>
          <w:rFonts w:asciiTheme="minorHAnsi" w:hAnsiTheme="minorHAnsi"/>
          <w:b/>
        </w:rPr>
      </w:pP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V revizi Programového dokumentu IOP, schválené v prosinci 20011, se v kapitole Realizace IPRM uvádí, že při realizaci IPRM dojde k pilotnímu ověření implementace finančního nástroje JESSICA na modelu, který zahrne vytvoření jednoho fondu rozvoje měst (FRM) a jednoho správce FRM. Nástroj JESSICA nebude uskutečňován prostřednictvím podílového fondu.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lastRenderedPageBreak/>
        <w:t xml:space="preserve">Od 6. 9. 2012 je účinná novela zákona č. 211/2000 Sb., o Státním fondu rozvoje bydlení, která reaguje na potřebu aplikace rozvíjejícího se finančního nástroje JESSICA v České republice. 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Podle § 1 tohoto zákona se Státní fond rozvoje bydlení zřizuje s veřejným posláním podporovat rozvoj bydlení v České republice v souladu s koncepcí bytové politiky, schválenou vládou České republiky, a udržitelný rozvoj obcí, měst a regionů v souladu s veřejným zájmem. 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Fond je právnickou osobou v působnosti </w:t>
      </w:r>
      <w:r w:rsidR="00E30CD0">
        <w:rPr>
          <w:rFonts w:asciiTheme="minorHAnsi" w:hAnsiTheme="minorHAnsi"/>
        </w:rPr>
        <w:t>M</w:t>
      </w:r>
      <w:r w:rsidRPr="00E30CD0">
        <w:rPr>
          <w:rFonts w:asciiTheme="minorHAnsi" w:hAnsiTheme="minorHAnsi"/>
        </w:rPr>
        <w:t>inisterstva pro místní rozvoj</w:t>
      </w:r>
      <w:r w:rsidR="00E30CD0">
        <w:rPr>
          <w:rFonts w:asciiTheme="minorHAnsi" w:hAnsiTheme="minorHAnsi"/>
        </w:rPr>
        <w:t xml:space="preserve"> ČR</w:t>
      </w:r>
      <w:r w:rsidRPr="00E30CD0">
        <w:rPr>
          <w:rFonts w:asciiTheme="minorHAnsi" w:hAnsiTheme="minorHAnsi"/>
        </w:rPr>
        <w:t>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V důvodové zprávě k novele zákona o SFRB se uvádí, že nejvhodnější institucí, která by mohla zastřešovat finanční nástroj JESSICA na centrální úrovni s vytvořením holdingového fondu, byl identifikován Státní fond rozvoje bydlení. 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Na základě novely zákona o SFRB zahájil ŘO IOP přípravu konceptu zřízení holdingového fondu, projednal jej s Platebním a certifikačním orgánem a Národním orgánem pro koordinaci NSRR. K ustanovení holdingového fondu jako samostatné účetní jednotky v rámci organizační struktury SFRB došlo 12. července 2012.</w:t>
      </w:r>
    </w:p>
    <w:p w:rsidR="00F67F6C" w:rsidRPr="00E30CD0" w:rsidRDefault="00F67F6C" w:rsidP="00F67F6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E30CD0">
        <w:rPr>
          <w:rFonts w:asciiTheme="minorHAnsi" w:hAnsiTheme="minorHAnsi"/>
          <w:color w:val="000000"/>
        </w:rPr>
        <w:t xml:space="preserve">  </w:t>
      </w:r>
    </w:p>
    <w:p w:rsidR="00F67F6C" w:rsidRPr="00E30CD0" w:rsidRDefault="00F67F6C" w:rsidP="00F67F6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F67F6C" w:rsidRPr="00E30CD0" w:rsidRDefault="00F67F6C" w:rsidP="00F67F6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  <w:b/>
          <w:color w:val="000000"/>
        </w:rPr>
        <w:t>Oblast intervence 5.1</w:t>
      </w:r>
      <w:r w:rsidRPr="00E30CD0">
        <w:rPr>
          <w:rFonts w:asciiTheme="minorHAnsi" w:hAnsiTheme="minorHAnsi"/>
          <w:i/>
        </w:rPr>
        <w:t xml:space="preserve"> </w:t>
      </w:r>
      <w:r w:rsidRPr="00E30CD0">
        <w:rPr>
          <w:rFonts w:asciiTheme="minorHAnsi" w:hAnsiTheme="minorHAnsi"/>
          <w:b/>
        </w:rPr>
        <w:t xml:space="preserve">Národní podpora využití potenciálu kulturního dědictví, </w:t>
      </w:r>
      <w:r w:rsidRPr="00E30CD0">
        <w:rPr>
          <w:rFonts w:asciiTheme="minorHAnsi" w:hAnsiTheme="minorHAnsi"/>
          <w:b/>
          <w:color w:val="000000"/>
        </w:rPr>
        <w:t xml:space="preserve">upřesnění podpory </w:t>
      </w:r>
      <w:r w:rsidRPr="00E30CD0">
        <w:rPr>
          <w:rFonts w:asciiTheme="minorHAnsi" w:hAnsiTheme="minorHAnsi"/>
          <w:b/>
        </w:rPr>
        <w:t>památek, doložených zápisem v Seznamu světového kulturního a přírodního dědictví UNESCO a Seznamu kandidátů na zápis do tohoto seznamu nebo zápisem v Ústředním seznamu kulturních památek jako národní kulturní památka</w:t>
      </w:r>
    </w:p>
    <w:p w:rsidR="00F67F6C" w:rsidRPr="00E30CD0" w:rsidRDefault="00F67F6C" w:rsidP="00F67F6C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color w:val="000000"/>
        </w:rPr>
      </w:pP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V Programovém dokumentu IOP je nutné přesněji specifikovat směrování podpory, aby byl naplněn cíl oblasti intervence při zachování pravidel památkové ochrany. Kromě památek uvedených na Seznamu světového kulturního a přírodního dědictví UNESCO a Seznamu kandidátů na zápis do tohoto seznamu nebo zapsaných v Ústředním seznamu kulturních památek jako národní kulturní památka je v některých případech nutné podpořit objekty, nepodléhající památkové ochraně. Je nutné, aby pravidla programu zajistila příjemcům prostor pro naplnění cílů projektu a kromě obnovy památek umožnila vytvořit podmínky pro jejich oživení a poskytování kulturních služeb.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Ve vymezení oblasti intervence 5.1 Národní podpora využití potenciálu kulturního dědictví se v Programovém dokumentu IOP uvádí podpora projektů na obnovu a využití památkových objektů či souborů zapsaných na Seznamu světového kulturního a přírodního dědictví UNESCO a Seznamu kandidátů na zápis do tohoto seznamu nebo zapsaných v Ústředním seznamu kulturních památek jako národní kulturní památka. 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Podpora je koncipována, aby kromě bezprostředního přínosu v podobě obnovených a efektivně využitých památek a vybudovaných či modernizovaných zařízení infrastruktury pro kulturní služby a kulturní průmysl přinášela sekundární dopady</w:t>
      </w:r>
      <w:r w:rsidR="00E30CD0">
        <w:rPr>
          <w:rFonts w:asciiTheme="minorHAnsi" w:hAnsiTheme="minorHAnsi"/>
        </w:rPr>
        <w:t xml:space="preserve"> v </w:t>
      </w:r>
      <w:r w:rsidRPr="00E30CD0">
        <w:rPr>
          <w:rFonts w:asciiTheme="minorHAnsi" w:hAnsiTheme="minorHAnsi"/>
        </w:rPr>
        <w:t>podobě stimulace vzniku dalších projektů obnovy a využití kulturního dědictví a budování infrastruktury pro kulturní služby a kulturní průmysl.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lastRenderedPageBreak/>
        <w:t>Projekty musejí mít prokazatelné dopady na sociální a ekonomický růst a na zvýšení atraktivity prostředí státu.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Cílem projektů a celého programu není samotná rekonstrukce objektů, ale prostřednictvím vyšší přidané hodnoty jejich oživení a navrácení do života společnosti je nezbytné pro dosažení cílů projektu do realizace zahrnout i objekty nespadající Seznamu světového kulturního a přírodního dědictví UNESCO a Seznamu kandidátů na zápis do tohoto seznamu nebo zapsaných v Ústředním seznamu kulturních památek jako národní kulturní památka.  </w:t>
      </w:r>
    </w:p>
    <w:p w:rsidR="00F67F6C" w:rsidRPr="00E30CD0" w:rsidRDefault="00F67F6C" w:rsidP="00E30CD0">
      <w:pPr>
        <w:spacing w:after="240"/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Jedná se zejména o financování technologického zázemí a nemovitostí, kde žadatel jasně prokáže jejich nezbytnost a přímou vazbu na cíle projektu. Dále se posoudí, zda uvedené nemovitosti jsou umístěny v téže památkové rezervaci, v téže památkové zóně nebo v tomtéž ochranném pásmu nemovité kulturní památky, nemovité národní kulturní památky, památkové rezervace nebo památkové zóny (podle zákona č. 20/1987 Sb., o státní památkové péči, ve znění pozdějších předpisů). Výjimku tvoří liniové stavby, které lze v souvislosti s projektem realizovat i mimo ochranné pásmo nebo zónu. </w:t>
      </w: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Default="00F67F6C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Default="00B63EB6" w:rsidP="00F67F6C">
      <w:pPr>
        <w:jc w:val="both"/>
        <w:rPr>
          <w:rFonts w:asciiTheme="minorHAnsi" w:hAnsiTheme="minorHAnsi"/>
        </w:rPr>
      </w:pPr>
    </w:p>
    <w:p w:rsidR="00B63EB6" w:rsidRPr="00E30CD0" w:rsidRDefault="00B63EB6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</w:p>
    <w:p w:rsidR="00F67F6C" w:rsidRPr="00E30CD0" w:rsidRDefault="00F67F6C" w:rsidP="00F67F6C">
      <w:p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Přílohy</w:t>
      </w:r>
    </w:p>
    <w:p w:rsidR="00F67F6C" w:rsidRPr="00E30CD0" w:rsidRDefault="00F67F6C" w:rsidP="00F67F6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Harmonogram změn Programového dokumentu IOP – 2013</w:t>
      </w:r>
    </w:p>
    <w:p w:rsidR="00205CC3" w:rsidRDefault="00205CC3" w:rsidP="00205CC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>Finanční tabulk</w:t>
      </w:r>
      <w:r>
        <w:rPr>
          <w:rFonts w:asciiTheme="minorHAnsi" w:hAnsiTheme="minorHAnsi"/>
        </w:rPr>
        <w:t>a</w:t>
      </w:r>
    </w:p>
    <w:p w:rsidR="00F67F6C" w:rsidRPr="00E30CD0" w:rsidRDefault="00F67F6C" w:rsidP="00F67F6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 w:rsidRPr="00E30CD0">
        <w:rPr>
          <w:rFonts w:asciiTheme="minorHAnsi" w:hAnsiTheme="minorHAnsi"/>
        </w:rPr>
        <w:t xml:space="preserve">Projektové </w:t>
      </w:r>
      <w:proofErr w:type="spellStart"/>
      <w:r w:rsidRPr="00E30CD0">
        <w:rPr>
          <w:rFonts w:asciiTheme="minorHAnsi" w:hAnsiTheme="minorHAnsi"/>
        </w:rPr>
        <w:t>fiše</w:t>
      </w:r>
      <w:proofErr w:type="spellEnd"/>
      <w:r w:rsidRPr="00E30CD0">
        <w:rPr>
          <w:rFonts w:asciiTheme="minorHAnsi" w:hAnsiTheme="minorHAnsi"/>
        </w:rPr>
        <w:t xml:space="preserve"> velkých projektů</w:t>
      </w:r>
      <w:r w:rsidR="00205CC3">
        <w:rPr>
          <w:rFonts w:asciiTheme="minorHAnsi" w:hAnsiTheme="minorHAnsi"/>
        </w:rPr>
        <w:t xml:space="preserve"> </w:t>
      </w:r>
    </w:p>
    <w:p w:rsidR="00205CC3" w:rsidRDefault="00205CC3" w:rsidP="00205CC3">
      <w:pPr>
        <w:jc w:val="both"/>
        <w:rPr>
          <w:rFonts w:asciiTheme="minorHAnsi" w:hAnsiTheme="minorHAnsi"/>
        </w:rPr>
      </w:pPr>
    </w:p>
    <w:p w:rsidR="00494F90" w:rsidRPr="00205CC3" w:rsidRDefault="00494F90" w:rsidP="00494F90">
      <w:pPr>
        <w:jc w:val="center"/>
        <w:rPr>
          <w:rFonts w:asciiTheme="minorHAnsi" w:hAnsiTheme="minorHAnsi"/>
          <w:b/>
          <w:sz w:val="28"/>
        </w:rPr>
      </w:pPr>
      <w:r w:rsidRPr="00205CC3">
        <w:rPr>
          <w:rFonts w:asciiTheme="minorHAnsi" w:hAnsiTheme="minorHAnsi"/>
          <w:b/>
          <w:sz w:val="28"/>
        </w:rPr>
        <w:lastRenderedPageBreak/>
        <w:t>Příloha č. 1 - Harmonogram změn Programového dokumentu IOP – 2013</w:t>
      </w:r>
    </w:p>
    <w:p w:rsidR="00494F90" w:rsidRDefault="00494F90" w:rsidP="00494F90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/>
      </w:tblPr>
      <w:tblGrid>
        <w:gridCol w:w="1123"/>
        <w:gridCol w:w="6073"/>
        <w:gridCol w:w="2092"/>
      </w:tblGrid>
      <w:tr w:rsidR="00494F90" w:rsidRPr="00B322CC" w:rsidTr="00BB0EC1">
        <w:trPr>
          <w:trHeight w:val="674"/>
        </w:trPr>
        <w:tc>
          <w:tcPr>
            <w:tcW w:w="1123" w:type="dxa"/>
            <w:tcBorders>
              <w:bottom w:val="double" w:sz="4" w:space="0" w:color="auto"/>
            </w:tcBorders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73" w:type="dxa"/>
            <w:tcBorders>
              <w:bottom w:val="double" w:sz="4" w:space="0" w:color="auto"/>
            </w:tcBorders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  <w:rPr>
                <w:b/>
              </w:rPr>
            </w:pPr>
            <w:r w:rsidRPr="00B322CC">
              <w:rPr>
                <w:b/>
              </w:rPr>
              <w:t>Činnost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  <w:rPr>
                <w:b/>
              </w:rPr>
            </w:pPr>
            <w:r w:rsidRPr="00B322CC">
              <w:rPr>
                <w:b/>
              </w:rPr>
              <w:t>Termín</w:t>
            </w:r>
          </w:p>
        </w:tc>
      </w:tr>
      <w:tr w:rsidR="00494F90" w:rsidRPr="00B322CC" w:rsidTr="00BB0EC1"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  <w:bookmarkStart w:id="0" w:name="_GoBack"/>
          </w:p>
        </w:tc>
        <w:tc>
          <w:tcPr>
            <w:tcW w:w="6073" w:type="dxa"/>
            <w:tcBorders>
              <w:top w:val="double" w:sz="4" w:space="0" w:color="auto"/>
            </w:tcBorders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>
              <w:t>Konzultace s Národním orgánem pro koordinaci</w:t>
            </w: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494F90" w:rsidRPr="004E5060" w:rsidRDefault="00494F90" w:rsidP="00B14253">
            <w:pPr>
              <w:pStyle w:val="Odstavecseseznamem"/>
              <w:spacing w:beforeLines="40" w:afterLines="40" w:line="60" w:lineRule="atLeast"/>
              <w:ind w:left="0"/>
            </w:pPr>
            <w:r>
              <w:t xml:space="preserve">           6.</w:t>
            </w:r>
            <w:r w:rsidRPr="004E5060">
              <w:t xml:space="preserve"> 8. 2013</w:t>
            </w:r>
          </w:p>
        </w:tc>
      </w:tr>
      <w:bookmarkEnd w:id="0"/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Zaslání podkladů pro MoV IOP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12. 9. 2013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Zadání/objednávka na „Zpracování oznámení dle zákona číslo 100/2001 Sb., ke změnám IOP“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13. 9. 2013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Prezentace návrhu změn na mimořádném zasedání MoV IOP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26. 9. 2013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Jednání MoV IOP – schválení návrhu revize PD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26. 9. 2013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 xml:space="preserve">Rozeslání oznámení dle zákona číslo 100/2001 Sb., ke změnám IOP - zahájení </w:t>
            </w:r>
            <w:proofErr w:type="spellStart"/>
            <w:r w:rsidRPr="00B322CC">
              <w:t>screeningu</w:t>
            </w:r>
            <w:proofErr w:type="spellEnd"/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27. 9. 2013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 xml:space="preserve">Vypracování změnové verze PD IOP dle schválených změn 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30. 9. 2013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Zpracování Návrhů na revizi podle tabulky číslo 2 MP pro revize OP se zahrnutými požadavky ŘO IOP, NOK a MoV</w:t>
            </w:r>
            <w:r>
              <w:t xml:space="preserve"> IOP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30. 9. 2013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 xml:space="preserve">Připomínky </w:t>
            </w:r>
            <w:r>
              <w:t xml:space="preserve">PCO a NOK </w:t>
            </w:r>
            <w:r w:rsidRPr="00B322CC">
              <w:t xml:space="preserve">k návrhu změn PD IOP 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>
              <w:t xml:space="preserve">   </w:t>
            </w:r>
            <w:r w:rsidRPr="00B322CC">
              <w:t>do 15.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Odeslání změnové verze PD a žádosti o vyjádření na MŽP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15. 10. 2013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Odeslání změnové verze PD</w:t>
            </w:r>
            <w:r>
              <w:t xml:space="preserve"> ke schválení členům MoV IOP v proceduře per-</w:t>
            </w:r>
            <w:proofErr w:type="spellStart"/>
            <w:r>
              <w:t>rollam</w:t>
            </w:r>
            <w:proofErr w:type="spellEnd"/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proofErr w:type="gramStart"/>
            <w:r>
              <w:t>15.10.2013</w:t>
            </w:r>
            <w:proofErr w:type="gramEnd"/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Stanovisko MŽP podle zákona (SEA)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>
              <w:t xml:space="preserve">   </w:t>
            </w:r>
            <w:r w:rsidRPr="00B322CC">
              <w:t>do 20.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Finální verze návrhů na revizi IOP podle tabulky číslo 2 MP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20. 10. 2013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Průvodní dopis EK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 xml:space="preserve"> 20. 10. 2013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Zpracování připomínek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  <w:jc w:val="center"/>
            </w:pPr>
            <w:r w:rsidRPr="00B322CC">
              <w:t>20. 10. 2013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Vložení požadavku na změnu PO IOP do MSC2007</w:t>
            </w:r>
            <w:r w:rsidRPr="00B322CC">
              <w:rPr>
                <w:rStyle w:val="Znakapoznpodarou"/>
              </w:rPr>
              <w:footnoteReference w:id="1"/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do 30.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Autorizace žádosti o revizi IOP v MSC2007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do 30.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Zaslání žádosti o revizi IOP do SFC2007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do 30. 10. 2013</w:t>
            </w:r>
          </w:p>
        </w:tc>
      </w:tr>
      <w:tr w:rsidR="00494F90" w:rsidRPr="00B322CC" w:rsidTr="00BB0EC1">
        <w:tc>
          <w:tcPr>
            <w:tcW w:w="1123" w:type="dxa"/>
            <w:vAlign w:val="center"/>
          </w:tcPr>
          <w:p w:rsidR="00494F90" w:rsidRPr="00B322CC" w:rsidRDefault="00494F90" w:rsidP="00B14253">
            <w:pPr>
              <w:pStyle w:val="Odstavecseseznamem"/>
              <w:numPr>
                <w:ilvl w:val="0"/>
                <w:numId w:val="13"/>
              </w:numPr>
              <w:spacing w:beforeLines="40" w:afterLines="40" w:line="60" w:lineRule="atLeast"/>
            </w:pPr>
          </w:p>
        </w:tc>
        <w:tc>
          <w:tcPr>
            <w:tcW w:w="6073" w:type="dxa"/>
            <w:vAlign w:val="center"/>
          </w:tcPr>
          <w:p w:rsidR="00494F90" w:rsidRPr="00B322CC" w:rsidRDefault="00494F90" w:rsidP="00B14253">
            <w:pPr>
              <w:spacing w:beforeLines="40" w:afterLines="40" w:line="60" w:lineRule="atLeast"/>
            </w:pPr>
            <w:r w:rsidRPr="00B322CC">
              <w:t>Schválení 3. verze PD IOP</w:t>
            </w:r>
          </w:p>
        </w:tc>
        <w:tc>
          <w:tcPr>
            <w:tcW w:w="2092" w:type="dxa"/>
            <w:vAlign w:val="center"/>
          </w:tcPr>
          <w:p w:rsidR="00494F90" w:rsidRPr="00B322CC" w:rsidRDefault="00494F90" w:rsidP="00B14253">
            <w:pPr>
              <w:tabs>
                <w:tab w:val="left" w:pos="1451"/>
              </w:tabs>
              <w:spacing w:beforeLines="40" w:afterLines="40" w:line="60" w:lineRule="atLeast"/>
            </w:pPr>
            <w:r w:rsidRPr="00B322CC">
              <w:t xml:space="preserve">   prosinec 2013</w:t>
            </w:r>
          </w:p>
        </w:tc>
      </w:tr>
    </w:tbl>
    <w:p w:rsidR="00494F90" w:rsidRDefault="00494F90" w:rsidP="00494F90">
      <w:pPr>
        <w:jc w:val="both"/>
        <w:rPr>
          <w:rFonts w:asciiTheme="minorHAnsi" w:hAnsiTheme="minorHAnsi"/>
        </w:rPr>
      </w:pPr>
    </w:p>
    <w:p w:rsidR="00494F90" w:rsidRDefault="00494F90" w:rsidP="00494F9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94F90" w:rsidRDefault="00494F90" w:rsidP="00494F9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Příloha č. 2</w:t>
      </w:r>
      <w:r w:rsidRPr="00205CC3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–</w:t>
      </w:r>
      <w:r w:rsidRPr="00205CC3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Finanční tabulka </w:t>
      </w:r>
      <w:r w:rsidRPr="00205CC3">
        <w:rPr>
          <w:rFonts w:asciiTheme="minorHAnsi" w:hAnsiTheme="minorHAnsi"/>
          <w:b/>
          <w:sz w:val="28"/>
        </w:rPr>
        <w:t>změn Programového dokumentu IOP – 2013</w:t>
      </w:r>
    </w:p>
    <w:p w:rsidR="00494F90" w:rsidRPr="00085D6A" w:rsidRDefault="00494F90" w:rsidP="00085D6A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8560" w:type="dxa"/>
        <w:tblCellMar>
          <w:left w:w="0" w:type="dxa"/>
          <w:right w:w="0" w:type="dxa"/>
        </w:tblCellMar>
        <w:tblLook w:val="04A0"/>
      </w:tblPr>
      <w:tblGrid>
        <w:gridCol w:w="2462"/>
        <w:gridCol w:w="1827"/>
        <w:gridCol w:w="2066"/>
        <w:gridCol w:w="2205"/>
      </w:tblGrid>
      <w:tr w:rsidR="00085D6A" w:rsidRPr="00085D6A" w:rsidTr="00085D6A">
        <w:trPr>
          <w:trHeight w:val="273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Finanční tabulka změn Programového dokumentu IOP - 2013</w:t>
            </w:r>
          </w:p>
        </w:tc>
      </w:tr>
      <w:tr w:rsidR="00085D6A" w:rsidRPr="00085D6A" w:rsidTr="00085D6A">
        <w:trPr>
          <w:trHeight w:val="273"/>
        </w:trPr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Oblast intervence/Cíl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Původní alokace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Přesun prostředků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Alokace po přesunu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1.1 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310 602 133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-19 660 050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290 942 083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1.1 b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23 892 472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-1 512 311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22 380 161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170 831 173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-22 320 306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148 510 867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79 203 544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-24 560 310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54 643 234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248 481 706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248 481 706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46 590 320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-6 383 769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40 206 551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170 831 173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100 455 396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271 286 569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4.1 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60 567 416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60 567 416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4.1 b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4 659 032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4 659 032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230 303 850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-16 568 439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213 735 411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213 377 956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213 377 956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15 530 107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15 530 107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6.1 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27 177 687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27 177 687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6.2 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17 859 622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-10 962 522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6 897 100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6.1 b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499 612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499 612</w:t>
            </w:r>
          </w:p>
        </w:tc>
      </w:tr>
      <w:tr w:rsidR="00085D6A" w:rsidRPr="00085D6A" w:rsidTr="00085D6A">
        <w:trPr>
          <w:trHeight w:val="209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8A5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6.2 b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328 382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-201 566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126 816</w:t>
            </w:r>
          </w:p>
        </w:tc>
      </w:tr>
      <w:tr w:rsidR="00085D6A" w:rsidRPr="00085D6A" w:rsidTr="00085D6A">
        <w:trPr>
          <w:trHeight w:val="209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1 620 736 185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-1 713 877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1 619 022 308</w:t>
            </w:r>
          </w:p>
        </w:tc>
      </w:tr>
      <w:tr w:rsidR="00085D6A" w:rsidRPr="00085D6A" w:rsidTr="00085D6A">
        <w:trPr>
          <w:trHeight w:val="209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Konvergence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1 591 356 687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1 591 356 687</w:t>
            </w:r>
          </w:p>
        </w:tc>
      </w:tr>
      <w:tr w:rsidR="00085D6A" w:rsidRPr="00085D6A" w:rsidTr="00085D6A">
        <w:trPr>
          <w:trHeight w:val="220"/>
        </w:trPr>
        <w:tc>
          <w:tcPr>
            <w:tcW w:w="24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RKaZ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29 379 498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-1 713 877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9452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bCs/>
                <w:sz w:val="22"/>
                <w:szCs w:val="22"/>
              </w:rPr>
              <w:t>27 665 621</w:t>
            </w:r>
          </w:p>
        </w:tc>
      </w:tr>
      <w:tr w:rsidR="00085D6A" w:rsidRPr="00085D6A" w:rsidTr="00085D6A">
        <w:trPr>
          <w:trHeight w:val="195"/>
        </w:trPr>
        <w:tc>
          <w:tcPr>
            <w:tcW w:w="24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5D6A" w:rsidRPr="00085D6A" w:rsidTr="00085D6A">
        <w:trPr>
          <w:trHeight w:val="20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sz w:val="22"/>
                <w:szCs w:val="22"/>
              </w:rPr>
              <w:t>Měna: EUR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5D6A" w:rsidRPr="00085D6A" w:rsidTr="00085D6A">
        <w:trPr>
          <w:trHeight w:val="209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1DA5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  <w:r w:rsidRPr="00085D6A">
              <w:rPr>
                <w:rFonts w:asciiTheme="minorHAnsi" w:hAnsiTheme="minorHAnsi"/>
                <w:b/>
                <w:sz w:val="22"/>
                <w:szCs w:val="22"/>
              </w:rPr>
              <w:t>Zdroj: příspěvek EU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5D6A" w:rsidRPr="00085D6A" w:rsidRDefault="00085D6A" w:rsidP="00085D6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85D6A" w:rsidRPr="00085D6A" w:rsidRDefault="00085D6A" w:rsidP="00085D6A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085D6A" w:rsidRPr="00085D6A" w:rsidSect="00EB389D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B6" w:rsidRDefault="00B63EB6">
      <w:r>
        <w:separator/>
      </w:r>
    </w:p>
  </w:endnote>
  <w:endnote w:type="continuationSeparator" w:id="0">
    <w:p w:rsidR="00B63EB6" w:rsidRDefault="00B6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6" w:rsidRPr="001F774C" w:rsidRDefault="00B63EB6">
    <w:pPr>
      <w:pStyle w:val="Zpat"/>
      <w:rPr>
        <w:rFonts w:ascii="Arial" w:hAnsi="Arial" w:cs="Arial"/>
        <w:sz w:val="20"/>
        <w:szCs w:val="20"/>
      </w:rPr>
    </w:pPr>
    <w:r>
      <w:rPr>
        <w:rStyle w:val="slostrnky"/>
        <w:rFonts w:ascii="Arial" w:hAnsi="Arial" w:cs="Arial"/>
        <w:sz w:val="20"/>
        <w:szCs w:val="20"/>
      </w:rPr>
      <w:t>Návrhy úprav PD IOP</w:t>
    </w:r>
    <w:r>
      <w:rPr>
        <w:rStyle w:val="slostrnky"/>
        <w:rFonts w:ascii="Arial" w:hAnsi="Arial" w:cs="Arial"/>
        <w:sz w:val="20"/>
        <w:szCs w:val="20"/>
      </w:rPr>
      <w:tab/>
    </w:r>
    <w:r w:rsidR="00911DA5" w:rsidRPr="001F774C">
      <w:rPr>
        <w:rStyle w:val="slostrnky"/>
        <w:rFonts w:ascii="Arial" w:hAnsi="Arial" w:cs="Arial"/>
        <w:sz w:val="20"/>
        <w:szCs w:val="20"/>
      </w:rPr>
      <w:fldChar w:fldCharType="begin"/>
    </w:r>
    <w:r w:rsidRPr="001F774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911DA5" w:rsidRPr="001F774C">
      <w:rPr>
        <w:rStyle w:val="slostrnky"/>
        <w:rFonts w:ascii="Arial" w:hAnsi="Arial" w:cs="Arial"/>
        <w:sz w:val="20"/>
        <w:szCs w:val="20"/>
      </w:rPr>
      <w:fldChar w:fldCharType="separate"/>
    </w:r>
    <w:r w:rsidR="00B14253">
      <w:rPr>
        <w:rStyle w:val="slostrnky"/>
        <w:rFonts w:ascii="Arial" w:hAnsi="Arial" w:cs="Arial"/>
        <w:noProof/>
        <w:sz w:val="20"/>
        <w:szCs w:val="20"/>
      </w:rPr>
      <w:t>1</w:t>
    </w:r>
    <w:r w:rsidR="00911DA5" w:rsidRPr="001F774C">
      <w:rPr>
        <w:rStyle w:val="slostrnky"/>
        <w:rFonts w:ascii="Arial" w:hAnsi="Arial" w:cs="Arial"/>
        <w:sz w:val="20"/>
        <w:szCs w:val="20"/>
      </w:rPr>
      <w:fldChar w:fldCharType="end"/>
    </w:r>
    <w:r w:rsidRPr="001F774C">
      <w:rPr>
        <w:rStyle w:val="slostrnky"/>
        <w:rFonts w:ascii="Arial" w:hAnsi="Arial" w:cs="Arial"/>
        <w:sz w:val="20"/>
        <w:szCs w:val="20"/>
      </w:rPr>
      <w:t>/</w:t>
    </w:r>
    <w:r w:rsidR="00911DA5" w:rsidRPr="001F774C">
      <w:rPr>
        <w:rStyle w:val="slostrnky"/>
        <w:rFonts w:ascii="Arial" w:hAnsi="Arial" w:cs="Arial"/>
        <w:sz w:val="20"/>
        <w:szCs w:val="20"/>
      </w:rPr>
      <w:fldChar w:fldCharType="begin"/>
    </w:r>
    <w:r w:rsidRPr="001F774C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911DA5" w:rsidRPr="001F774C">
      <w:rPr>
        <w:rStyle w:val="slostrnky"/>
        <w:rFonts w:ascii="Arial" w:hAnsi="Arial" w:cs="Arial"/>
        <w:sz w:val="20"/>
        <w:szCs w:val="20"/>
      </w:rPr>
      <w:fldChar w:fldCharType="separate"/>
    </w:r>
    <w:r w:rsidR="00B14253">
      <w:rPr>
        <w:rStyle w:val="slostrnky"/>
        <w:rFonts w:ascii="Arial" w:hAnsi="Arial" w:cs="Arial"/>
        <w:noProof/>
        <w:sz w:val="20"/>
        <w:szCs w:val="20"/>
      </w:rPr>
      <w:t>7</w:t>
    </w:r>
    <w:r w:rsidR="00911DA5" w:rsidRPr="001F774C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ab/>
      <w:t>Podklad pro mimořádné jednání MoV IOP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B6" w:rsidRDefault="00B63EB6">
      <w:r>
        <w:separator/>
      </w:r>
    </w:p>
  </w:footnote>
  <w:footnote w:type="continuationSeparator" w:id="0">
    <w:p w:rsidR="00B63EB6" w:rsidRDefault="00B63EB6">
      <w:r>
        <w:continuationSeparator/>
      </w:r>
    </w:p>
  </w:footnote>
  <w:footnote w:id="1">
    <w:p w:rsidR="00494F90" w:rsidRDefault="00494F90" w:rsidP="00494F90">
      <w:pPr>
        <w:pStyle w:val="Textpoznpodarou"/>
      </w:pPr>
      <w:r w:rsidRPr="00B322CC">
        <w:rPr>
          <w:rStyle w:val="Znakapoznpodarou"/>
          <w:rFonts w:asciiTheme="minorHAnsi" w:hAnsiTheme="minorHAnsi"/>
        </w:rPr>
        <w:footnoteRef/>
      </w:r>
      <w:r w:rsidRPr="00B322CC">
        <w:rPr>
          <w:rFonts w:asciiTheme="minorHAnsi" w:hAnsiTheme="minorHAnsi"/>
        </w:rPr>
        <w:t xml:space="preserve"> Posouzení MŽP lze vložit do MSC dodatečně (EK bez něj změnu neschválí).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6" w:rsidRDefault="00B63EB6">
    <w:pPr>
      <w:pStyle w:val="Zhlav"/>
    </w:pPr>
    <w:r>
      <w:rPr>
        <w:noProof/>
      </w:rPr>
      <w:drawing>
        <wp:inline distT="0" distB="0" distL="0" distR="0">
          <wp:extent cx="5743575" cy="409575"/>
          <wp:effectExtent l="19050" t="0" r="9525" b="0"/>
          <wp:docPr id="1" name="Obrázek 1" descr="logolink_ul_EU_MM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ul_EU_MM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BE"/>
    <w:multiLevelType w:val="hybridMultilevel"/>
    <w:tmpl w:val="088AFEC4"/>
    <w:lvl w:ilvl="0" w:tplc="289EA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F7D"/>
    <w:multiLevelType w:val="hybridMultilevel"/>
    <w:tmpl w:val="02281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BCF"/>
    <w:multiLevelType w:val="hybridMultilevel"/>
    <w:tmpl w:val="CD18BA98"/>
    <w:lvl w:ilvl="0" w:tplc="3224FEC8">
      <w:start w:val="1"/>
      <w:numFmt w:val="lowerLetter"/>
      <w:pStyle w:val="slovnzaa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3636C"/>
    <w:multiLevelType w:val="multilevel"/>
    <w:tmpl w:val="EA5C5A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E3F5A92"/>
    <w:multiLevelType w:val="hybridMultilevel"/>
    <w:tmpl w:val="8B920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3998"/>
    <w:multiLevelType w:val="multilevel"/>
    <w:tmpl w:val="117C072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36"/>
        <w:szCs w:val="36"/>
      </w:rPr>
    </w:lvl>
    <w:lvl w:ilvl="1">
      <w:start w:val="1"/>
      <w:numFmt w:val="decimal"/>
      <w:suff w:val="space"/>
      <w:lvlText w:val="%2.1"/>
      <w:lvlJc w:val="left"/>
      <w:pPr>
        <w:ind w:left="964" w:hanging="964"/>
      </w:pPr>
      <w:rPr>
        <w:rFonts w:ascii="Times New Roman" w:hAnsi="Times New Roman" w:cs="Times New Roman" w:hint="default"/>
        <w:b/>
        <w:bCs/>
        <w:i w:val="0"/>
        <w:iCs w:val="0"/>
        <w:spacing w:val="20"/>
        <w:sz w:val="32"/>
        <w:szCs w:val="32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28"/>
        <w:szCs w:val="28"/>
      </w:rPr>
    </w:lvl>
    <w:lvl w:ilvl="3">
      <w:start w:val="1"/>
      <w:numFmt w:val="decimal"/>
      <w:pStyle w:val="Nadpis4"/>
      <w:suff w:val="space"/>
      <w:lvlText w:val="%1.%2.%3.%4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6">
    <w:nsid w:val="3C3B66BA"/>
    <w:multiLevelType w:val="hybridMultilevel"/>
    <w:tmpl w:val="55E24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4FCE"/>
    <w:multiLevelType w:val="hybridMultilevel"/>
    <w:tmpl w:val="327ABC2C"/>
    <w:lvl w:ilvl="0" w:tplc="7EE45920">
      <w:start w:val="1"/>
      <w:numFmt w:val="decimal"/>
      <w:pStyle w:val="slovnjednoduch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66491"/>
    <w:multiLevelType w:val="hybridMultilevel"/>
    <w:tmpl w:val="B9CC6592"/>
    <w:lvl w:ilvl="0" w:tplc="B40E18F8">
      <w:start w:val="1"/>
      <w:numFmt w:val="bullet"/>
      <w:pStyle w:val="Odrkyjednoduch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5696928"/>
    <w:multiLevelType w:val="hybridMultilevel"/>
    <w:tmpl w:val="E1E4A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F5DBD"/>
    <w:multiLevelType w:val="hybridMultilevel"/>
    <w:tmpl w:val="54CC9E98"/>
    <w:lvl w:ilvl="0" w:tplc="A1E68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E6DBC"/>
    <w:multiLevelType w:val="multilevel"/>
    <w:tmpl w:val="0FFE0AD6"/>
    <w:lvl w:ilvl="0">
      <w:start w:val="1"/>
      <w:numFmt w:val="decimal"/>
      <w:pStyle w:val="slovnvcerovov1a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>
    <w:nsid w:val="673829CA"/>
    <w:multiLevelType w:val="hybridMultilevel"/>
    <w:tmpl w:val="8B920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B5CC6"/>
    <w:rsid w:val="00004E11"/>
    <w:rsid w:val="00005CB2"/>
    <w:rsid w:val="000218EB"/>
    <w:rsid w:val="000436B5"/>
    <w:rsid w:val="00043901"/>
    <w:rsid w:val="00072F95"/>
    <w:rsid w:val="00085D6A"/>
    <w:rsid w:val="00090449"/>
    <w:rsid w:val="000B59BB"/>
    <w:rsid w:val="000B6724"/>
    <w:rsid w:val="000C3F64"/>
    <w:rsid w:val="000C5CBE"/>
    <w:rsid w:val="000E1FE8"/>
    <w:rsid w:val="00101C2A"/>
    <w:rsid w:val="00110ED1"/>
    <w:rsid w:val="00113C02"/>
    <w:rsid w:val="001141FA"/>
    <w:rsid w:val="001156D8"/>
    <w:rsid w:val="001237AB"/>
    <w:rsid w:val="001307BA"/>
    <w:rsid w:val="0013763C"/>
    <w:rsid w:val="00152329"/>
    <w:rsid w:val="00183AE8"/>
    <w:rsid w:val="00187AA8"/>
    <w:rsid w:val="00192931"/>
    <w:rsid w:val="0019427E"/>
    <w:rsid w:val="00194B5E"/>
    <w:rsid w:val="001A146E"/>
    <w:rsid w:val="001A7E2C"/>
    <w:rsid w:val="001D1587"/>
    <w:rsid w:val="001F774C"/>
    <w:rsid w:val="00205CC3"/>
    <w:rsid w:val="00235B17"/>
    <w:rsid w:val="002420BD"/>
    <w:rsid w:val="00257466"/>
    <w:rsid w:val="002637D4"/>
    <w:rsid w:val="0029094C"/>
    <w:rsid w:val="002A076E"/>
    <w:rsid w:val="002A1E09"/>
    <w:rsid w:val="002A25DB"/>
    <w:rsid w:val="002B206A"/>
    <w:rsid w:val="002B5CC6"/>
    <w:rsid w:val="002D2DF3"/>
    <w:rsid w:val="002D712D"/>
    <w:rsid w:val="002E17A8"/>
    <w:rsid w:val="002F59A1"/>
    <w:rsid w:val="003054BA"/>
    <w:rsid w:val="00320C5B"/>
    <w:rsid w:val="00321623"/>
    <w:rsid w:val="00334BEC"/>
    <w:rsid w:val="00350FEA"/>
    <w:rsid w:val="00371ADC"/>
    <w:rsid w:val="00375EB3"/>
    <w:rsid w:val="0038342F"/>
    <w:rsid w:val="00393D92"/>
    <w:rsid w:val="003C2A94"/>
    <w:rsid w:val="00400002"/>
    <w:rsid w:val="004032B7"/>
    <w:rsid w:val="00404997"/>
    <w:rsid w:val="00426A08"/>
    <w:rsid w:val="00427AF6"/>
    <w:rsid w:val="004430F6"/>
    <w:rsid w:val="00451D48"/>
    <w:rsid w:val="00457CA3"/>
    <w:rsid w:val="004641C0"/>
    <w:rsid w:val="00480BF9"/>
    <w:rsid w:val="004825FA"/>
    <w:rsid w:val="00494F90"/>
    <w:rsid w:val="004A770D"/>
    <w:rsid w:val="004E5060"/>
    <w:rsid w:val="004F338A"/>
    <w:rsid w:val="00502470"/>
    <w:rsid w:val="00523508"/>
    <w:rsid w:val="00557D7C"/>
    <w:rsid w:val="00567B60"/>
    <w:rsid w:val="005802DF"/>
    <w:rsid w:val="005821A6"/>
    <w:rsid w:val="00585003"/>
    <w:rsid w:val="005C348A"/>
    <w:rsid w:val="005C46EB"/>
    <w:rsid w:val="005D0A4E"/>
    <w:rsid w:val="005D7A7D"/>
    <w:rsid w:val="005E3292"/>
    <w:rsid w:val="005F2C50"/>
    <w:rsid w:val="0060333E"/>
    <w:rsid w:val="00603968"/>
    <w:rsid w:val="00620C2A"/>
    <w:rsid w:val="00621AC9"/>
    <w:rsid w:val="006235AF"/>
    <w:rsid w:val="00626047"/>
    <w:rsid w:val="006316C8"/>
    <w:rsid w:val="00637E4C"/>
    <w:rsid w:val="00642E5F"/>
    <w:rsid w:val="00651DE7"/>
    <w:rsid w:val="00654544"/>
    <w:rsid w:val="0065469A"/>
    <w:rsid w:val="00663CC7"/>
    <w:rsid w:val="00665C7C"/>
    <w:rsid w:val="00673515"/>
    <w:rsid w:val="00674E62"/>
    <w:rsid w:val="006929D1"/>
    <w:rsid w:val="006A53B7"/>
    <w:rsid w:val="006A6BD1"/>
    <w:rsid w:val="006B18DE"/>
    <w:rsid w:val="006B2A46"/>
    <w:rsid w:val="006B34C2"/>
    <w:rsid w:val="006C4052"/>
    <w:rsid w:val="006D4470"/>
    <w:rsid w:val="006D6C06"/>
    <w:rsid w:val="006E786E"/>
    <w:rsid w:val="006F2B2B"/>
    <w:rsid w:val="007030E6"/>
    <w:rsid w:val="00726DA9"/>
    <w:rsid w:val="00731071"/>
    <w:rsid w:val="00732AFD"/>
    <w:rsid w:val="0074520C"/>
    <w:rsid w:val="0075382B"/>
    <w:rsid w:val="0076404A"/>
    <w:rsid w:val="00767FB6"/>
    <w:rsid w:val="0077576E"/>
    <w:rsid w:val="00790BBD"/>
    <w:rsid w:val="007D3BE9"/>
    <w:rsid w:val="007E1DEE"/>
    <w:rsid w:val="008169F7"/>
    <w:rsid w:val="008219CB"/>
    <w:rsid w:val="008329E3"/>
    <w:rsid w:val="008528AF"/>
    <w:rsid w:val="00885D11"/>
    <w:rsid w:val="00894C2A"/>
    <w:rsid w:val="008B307E"/>
    <w:rsid w:val="008B42DB"/>
    <w:rsid w:val="008D62CC"/>
    <w:rsid w:val="008E0C75"/>
    <w:rsid w:val="008E667F"/>
    <w:rsid w:val="0090221C"/>
    <w:rsid w:val="0090427C"/>
    <w:rsid w:val="00910FEA"/>
    <w:rsid w:val="00911DA5"/>
    <w:rsid w:val="0091767A"/>
    <w:rsid w:val="00944AA8"/>
    <w:rsid w:val="00961ECC"/>
    <w:rsid w:val="00966343"/>
    <w:rsid w:val="00971C60"/>
    <w:rsid w:val="00986C0A"/>
    <w:rsid w:val="009C6405"/>
    <w:rsid w:val="009C68B0"/>
    <w:rsid w:val="009E3EB7"/>
    <w:rsid w:val="009E434D"/>
    <w:rsid w:val="009F0594"/>
    <w:rsid w:val="00A000C6"/>
    <w:rsid w:val="00A0206D"/>
    <w:rsid w:val="00A14260"/>
    <w:rsid w:val="00A210A7"/>
    <w:rsid w:val="00A27592"/>
    <w:rsid w:val="00A36FE2"/>
    <w:rsid w:val="00A41561"/>
    <w:rsid w:val="00A61049"/>
    <w:rsid w:val="00A6703E"/>
    <w:rsid w:val="00A865B5"/>
    <w:rsid w:val="00A9179D"/>
    <w:rsid w:val="00A97DA7"/>
    <w:rsid w:val="00AA24C1"/>
    <w:rsid w:val="00AA3589"/>
    <w:rsid w:val="00AC2B35"/>
    <w:rsid w:val="00AC5C80"/>
    <w:rsid w:val="00AE1502"/>
    <w:rsid w:val="00AE343B"/>
    <w:rsid w:val="00AE7595"/>
    <w:rsid w:val="00B0347C"/>
    <w:rsid w:val="00B14253"/>
    <w:rsid w:val="00B15532"/>
    <w:rsid w:val="00B34874"/>
    <w:rsid w:val="00B45CBE"/>
    <w:rsid w:val="00B5342D"/>
    <w:rsid w:val="00B63EB6"/>
    <w:rsid w:val="00B937A8"/>
    <w:rsid w:val="00BA0E1E"/>
    <w:rsid w:val="00BC10A8"/>
    <w:rsid w:val="00BD0C05"/>
    <w:rsid w:val="00BD3E52"/>
    <w:rsid w:val="00BD40BD"/>
    <w:rsid w:val="00BD4CD3"/>
    <w:rsid w:val="00BE1DFC"/>
    <w:rsid w:val="00BE3B82"/>
    <w:rsid w:val="00BE48BA"/>
    <w:rsid w:val="00C01CF2"/>
    <w:rsid w:val="00C13040"/>
    <w:rsid w:val="00C22D3C"/>
    <w:rsid w:val="00C25D4B"/>
    <w:rsid w:val="00C30285"/>
    <w:rsid w:val="00C46A9D"/>
    <w:rsid w:val="00C5023E"/>
    <w:rsid w:val="00C50819"/>
    <w:rsid w:val="00C6133B"/>
    <w:rsid w:val="00C7526E"/>
    <w:rsid w:val="00C779B1"/>
    <w:rsid w:val="00C95E70"/>
    <w:rsid w:val="00CA0B6A"/>
    <w:rsid w:val="00CA1F4B"/>
    <w:rsid w:val="00CB265E"/>
    <w:rsid w:val="00CB73E8"/>
    <w:rsid w:val="00CD11FE"/>
    <w:rsid w:val="00CD7C53"/>
    <w:rsid w:val="00CE0FFE"/>
    <w:rsid w:val="00D06135"/>
    <w:rsid w:val="00D066E8"/>
    <w:rsid w:val="00D14416"/>
    <w:rsid w:val="00D415EB"/>
    <w:rsid w:val="00D43935"/>
    <w:rsid w:val="00D476EA"/>
    <w:rsid w:val="00D51423"/>
    <w:rsid w:val="00D52888"/>
    <w:rsid w:val="00D60C61"/>
    <w:rsid w:val="00D67332"/>
    <w:rsid w:val="00D72038"/>
    <w:rsid w:val="00D90D7C"/>
    <w:rsid w:val="00D95BD1"/>
    <w:rsid w:val="00DA18C8"/>
    <w:rsid w:val="00DC602B"/>
    <w:rsid w:val="00DF2C15"/>
    <w:rsid w:val="00E051E8"/>
    <w:rsid w:val="00E13C49"/>
    <w:rsid w:val="00E16D9D"/>
    <w:rsid w:val="00E30BDB"/>
    <w:rsid w:val="00E30CD0"/>
    <w:rsid w:val="00E501A5"/>
    <w:rsid w:val="00E5441B"/>
    <w:rsid w:val="00E70207"/>
    <w:rsid w:val="00E7095F"/>
    <w:rsid w:val="00E73678"/>
    <w:rsid w:val="00E81833"/>
    <w:rsid w:val="00E845A0"/>
    <w:rsid w:val="00E8508B"/>
    <w:rsid w:val="00EA74F0"/>
    <w:rsid w:val="00EB177F"/>
    <w:rsid w:val="00EB389D"/>
    <w:rsid w:val="00ED0B0B"/>
    <w:rsid w:val="00ED24FD"/>
    <w:rsid w:val="00ED3D68"/>
    <w:rsid w:val="00EE042D"/>
    <w:rsid w:val="00EE720A"/>
    <w:rsid w:val="00EF1A7E"/>
    <w:rsid w:val="00F0779A"/>
    <w:rsid w:val="00F14A2B"/>
    <w:rsid w:val="00F24391"/>
    <w:rsid w:val="00F274C2"/>
    <w:rsid w:val="00F27B31"/>
    <w:rsid w:val="00F31223"/>
    <w:rsid w:val="00F341F2"/>
    <w:rsid w:val="00F41B7C"/>
    <w:rsid w:val="00F606C6"/>
    <w:rsid w:val="00F65BCB"/>
    <w:rsid w:val="00F66BAE"/>
    <w:rsid w:val="00F67F6C"/>
    <w:rsid w:val="00F70BFF"/>
    <w:rsid w:val="00FB56DB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iPriority="0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E8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uiPriority w:val="99"/>
    <w:qFormat/>
    <w:rsid w:val="00152329"/>
    <w:pPr>
      <w:keepNext/>
      <w:pageBreakBefore/>
      <w:spacing w:before="240" w:after="12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0">
    <w:name w:val="heading 2"/>
    <w:basedOn w:val="Normln"/>
    <w:next w:val="Normln"/>
    <w:link w:val="Nadpis2Char"/>
    <w:uiPriority w:val="99"/>
    <w:qFormat/>
    <w:rsid w:val="00D67332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9"/>
    <w:qFormat/>
    <w:rsid w:val="00334BEC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AE8"/>
    <w:pPr>
      <w:keepNext/>
      <w:numPr>
        <w:ilvl w:val="3"/>
        <w:numId w:val="3"/>
      </w:numPr>
      <w:spacing w:before="240"/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33C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3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3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333CE1"/>
    <w:rPr>
      <w:rFonts w:ascii="Arial" w:hAnsi="Arial" w:cs="Arial"/>
      <w:sz w:val="24"/>
      <w:szCs w:val="24"/>
    </w:rPr>
  </w:style>
  <w:style w:type="paragraph" w:customStyle="1" w:styleId="slovnjednoduch">
    <w:name w:val="*Číslování jednoduché"/>
    <w:basedOn w:val="Normln"/>
    <w:uiPriority w:val="99"/>
    <w:rsid w:val="008B307E"/>
    <w:pPr>
      <w:numPr>
        <w:numId w:val="2"/>
      </w:numPr>
      <w:spacing w:after="120"/>
    </w:pPr>
  </w:style>
  <w:style w:type="paragraph" w:styleId="Nzev">
    <w:name w:val="Title"/>
    <w:basedOn w:val="Normln"/>
    <w:link w:val="NzevChar"/>
    <w:uiPriority w:val="99"/>
    <w:qFormat/>
    <w:rsid w:val="002F59A1"/>
    <w:pPr>
      <w:pageBreakBefore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33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zevobratab">
    <w:name w:val="*Název obr. a tab."/>
    <w:basedOn w:val="Normln"/>
    <w:uiPriority w:val="99"/>
    <w:rsid w:val="00E7095F"/>
    <w:pPr>
      <w:keepNext/>
    </w:pPr>
    <w:rPr>
      <w:rFonts w:ascii="Arial" w:hAnsi="Arial" w:cs="Arial"/>
    </w:rPr>
  </w:style>
  <w:style w:type="paragraph" w:customStyle="1" w:styleId="Bntext">
    <w:name w:val="*Běžný text"/>
    <w:basedOn w:val="Normln"/>
    <w:uiPriority w:val="99"/>
    <w:rsid w:val="00C6133B"/>
    <w:pPr>
      <w:spacing w:after="120"/>
      <w:jc w:val="both"/>
    </w:pPr>
  </w:style>
  <w:style w:type="paragraph" w:styleId="Titulek">
    <w:name w:val="caption"/>
    <w:basedOn w:val="Normln"/>
    <w:next w:val="Normln"/>
    <w:uiPriority w:val="99"/>
    <w:qFormat/>
    <w:rsid w:val="00966343"/>
    <w:pPr>
      <w:keepNext/>
    </w:pPr>
    <w:rPr>
      <w:b/>
      <w:bCs/>
      <w:sz w:val="20"/>
      <w:szCs w:val="20"/>
    </w:rPr>
  </w:style>
  <w:style w:type="character" w:customStyle="1" w:styleId="lut">
    <w:name w:val="*Žluté"/>
    <w:basedOn w:val="Standardnpsmoodstavce"/>
    <w:uiPriority w:val="99"/>
    <w:rsid w:val="005D7A7D"/>
    <w:rPr>
      <w:color w:val="FFFF00"/>
    </w:rPr>
  </w:style>
  <w:style w:type="paragraph" w:customStyle="1" w:styleId="slovnzaa">
    <w:name w:val="*Číslování za a"/>
    <w:aliases w:val="b,c"/>
    <w:basedOn w:val="Normln"/>
    <w:uiPriority w:val="99"/>
    <w:rsid w:val="008D62CC"/>
    <w:pPr>
      <w:numPr>
        <w:numId w:val="1"/>
      </w:numPr>
      <w:tabs>
        <w:tab w:val="clear" w:pos="737"/>
        <w:tab w:val="num" w:pos="432"/>
      </w:tabs>
      <w:spacing w:line="360" w:lineRule="auto"/>
      <w:ind w:left="432" w:hanging="432"/>
    </w:pPr>
  </w:style>
  <w:style w:type="paragraph" w:customStyle="1" w:styleId="Obsah">
    <w:name w:val="*Obsah"/>
    <w:basedOn w:val="Nadpis10"/>
    <w:next w:val="Bntext"/>
    <w:uiPriority w:val="99"/>
    <w:rsid w:val="008D62CC"/>
    <w:pPr>
      <w:keepLines/>
      <w:suppressLineNumbers/>
      <w:suppressAutoHyphens/>
      <w:spacing w:after="240" w:line="360" w:lineRule="auto"/>
    </w:pPr>
    <w:rPr>
      <w:sz w:val="40"/>
      <w:szCs w:val="40"/>
    </w:rPr>
  </w:style>
  <w:style w:type="paragraph" w:customStyle="1" w:styleId="Odrkyjednoduch">
    <w:name w:val="*Odrážky jednoduché"/>
    <w:basedOn w:val="Normln"/>
    <w:uiPriority w:val="99"/>
    <w:rsid w:val="006235AF"/>
    <w:pPr>
      <w:numPr>
        <w:numId w:val="6"/>
      </w:numPr>
      <w:spacing w:after="120"/>
    </w:pPr>
  </w:style>
  <w:style w:type="paragraph" w:customStyle="1" w:styleId="Poznmka">
    <w:name w:val="*Poznámka"/>
    <w:basedOn w:val="Textkomente"/>
    <w:next w:val="Bntext"/>
    <w:uiPriority w:val="99"/>
    <w:rsid w:val="008D62CC"/>
    <w:pPr>
      <w:spacing w:after="240"/>
    </w:pPr>
  </w:style>
  <w:style w:type="paragraph" w:styleId="Textkomente">
    <w:name w:val="annotation text"/>
    <w:basedOn w:val="Normln"/>
    <w:link w:val="TextkomenteChar"/>
    <w:semiHidden/>
    <w:rsid w:val="008D6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E1"/>
    <w:rPr>
      <w:sz w:val="20"/>
      <w:szCs w:val="20"/>
    </w:rPr>
  </w:style>
  <w:style w:type="character" w:customStyle="1" w:styleId="Zvraznnarialem">
    <w:name w:val="*Zvýraznění arialem"/>
    <w:basedOn w:val="Standardnpsmoodstavce"/>
    <w:uiPriority w:val="99"/>
    <w:rsid w:val="008D62CC"/>
    <w:rPr>
      <w:rFonts w:ascii="Arial" w:hAnsi="Arial" w:cs="Arial"/>
    </w:rPr>
  </w:style>
  <w:style w:type="character" w:customStyle="1" w:styleId="lutzvrazova">
    <w:name w:val="*Žlutý zvýrazňovač"/>
    <w:basedOn w:val="Standardnpsmoodstavce"/>
    <w:uiPriority w:val="99"/>
    <w:rsid w:val="008D62CC"/>
    <w:rPr>
      <w:color w:val="auto"/>
      <w:shd w:val="clear" w:color="auto" w:fill="FFFF00"/>
    </w:rPr>
  </w:style>
  <w:style w:type="paragraph" w:customStyle="1" w:styleId="slovnvcerovov1a0">
    <w:name w:val="*číslování víceúrovňové 1 a"/>
    <w:basedOn w:val="Bntext"/>
    <w:uiPriority w:val="99"/>
    <w:rsid w:val="00961ECC"/>
  </w:style>
  <w:style w:type="paragraph" w:customStyle="1" w:styleId="slovnvcerovov1a">
    <w:name w:val="*Číslování víceúrovňové 1 a"/>
    <w:basedOn w:val="Bntext"/>
    <w:uiPriority w:val="99"/>
    <w:rsid w:val="009E3EB7"/>
    <w:pPr>
      <w:keepNext/>
      <w:keepLines/>
      <w:numPr>
        <w:numId w:val="4"/>
      </w:numPr>
    </w:pPr>
  </w:style>
  <w:style w:type="paragraph" w:customStyle="1" w:styleId="Nzevkapitoly">
    <w:name w:val="*Název kapitoly"/>
    <w:basedOn w:val="Zkladntext"/>
    <w:uiPriority w:val="99"/>
    <w:rsid w:val="00557D7C"/>
    <w:pPr>
      <w:spacing w:before="120"/>
      <w:jc w:val="both"/>
      <w:outlineLvl w:val="0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3216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CE1"/>
    <w:rPr>
      <w:sz w:val="24"/>
      <w:szCs w:val="24"/>
    </w:rPr>
  </w:style>
  <w:style w:type="paragraph" w:customStyle="1" w:styleId="SROPzkladn">
    <w:name w:val="*SROP základní"/>
    <w:basedOn w:val="Normln"/>
    <w:uiPriority w:val="99"/>
    <w:rsid w:val="00187A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Nadpis3">
    <w:name w:val="*Nadpis 3"/>
    <w:basedOn w:val="Normln"/>
    <w:uiPriority w:val="99"/>
    <w:rsid w:val="002F59A1"/>
    <w:pPr>
      <w:numPr>
        <w:ilvl w:val="2"/>
        <w:numId w:val="5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Nadpis1">
    <w:name w:val="*Nadpis 1"/>
    <w:basedOn w:val="Normln"/>
    <w:uiPriority w:val="99"/>
    <w:rsid w:val="002F59A1"/>
    <w:pPr>
      <w:numPr>
        <w:numId w:val="5"/>
      </w:numPr>
      <w:spacing w:before="120"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Nadpis2">
    <w:name w:val="*Nadpis 2"/>
    <w:basedOn w:val="Normln"/>
    <w:uiPriority w:val="99"/>
    <w:rsid w:val="002F59A1"/>
    <w:pPr>
      <w:numPr>
        <w:ilvl w:val="1"/>
        <w:numId w:val="5"/>
      </w:numPr>
      <w:spacing w:before="120" w:after="24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harChar">
    <w:name w:val="Char Char"/>
    <w:basedOn w:val="Normln"/>
    <w:uiPriority w:val="99"/>
    <w:rsid w:val="00BD0C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CharChar">
    <w:name w:val="Char4 Char Char"/>
    <w:basedOn w:val="Normln"/>
    <w:uiPriority w:val="99"/>
    <w:rsid w:val="00BD0C0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Char">
    <w:name w:val="*odstavec Char"/>
    <w:basedOn w:val="Normln"/>
    <w:link w:val="odstavecCharChar"/>
    <w:uiPriority w:val="99"/>
    <w:rsid w:val="00AC2B35"/>
    <w:pPr>
      <w:spacing w:before="60" w:after="120"/>
      <w:jc w:val="both"/>
    </w:pPr>
    <w:rPr>
      <w:rFonts w:ascii="Arial" w:hAnsi="Arial" w:cs="Arial"/>
      <w:spacing w:val="8"/>
    </w:rPr>
  </w:style>
  <w:style w:type="character" w:customStyle="1" w:styleId="odstavecCharChar">
    <w:name w:val="*odstavec Char Char"/>
    <w:basedOn w:val="Standardnpsmoodstavce"/>
    <w:link w:val="odstavecChar"/>
    <w:uiPriority w:val="99"/>
    <w:rsid w:val="00AC2B35"/>
    <w:rPr>
      <w:rFonts w:ascii="Arial" w:hAnsi="Arial" w:cs="Arial"/>
      <w:spacing w:val="8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semiHidden/>
    <w:rsid w:val="006D6C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E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D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E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C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3CE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F774C"/>
  </w:style>
  <w:style w:type="paragraph" w:styleId="Odstavecseseznamem">
    <w:name w:val="List Paragraph"/>
    <w:basedOn w:val="Normln"/>
    <w:uiPriority w:val="34"/>
    <w:qFormat/>
    <w:rsid w:val="004F338A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F67F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67F6C"/>
    <w:rPr>
      <w:sz w:val="16"/>
      <w:szCs w:val="16"/>
    </w:rPr>
  </w:style>
  <w:style w:type="paragraph" w:customStyle="1" w:styleId="Default">
    <w:name w:val="Default"/>
    <w:rsid w:val="00F67F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05CC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5C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5C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5C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1924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Evaluační plán IOP pro rok 2009</vt:lpstr>
    </vt:vector>
  </TitlesOfParts>
  <Company>MMR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Evaluační plán IOP pro rok 2009</dc:title>
  <dc:creator>Miloslav Žiak</dc:creator>
  <cp:lastModifiedBy>Helena Vachoutová</cp:lastModifiedBy>
  <cp:revision>21</cp:revision>
  <cp:lastPrinted>2013-09-25T13:40:00Z</cp:lastPrinted>
  <dcterms:created xsi:type="dcterms:W3CDTF">2013-09-12T11:13:00Z</dcterms:created>
  <dcterms:modified xsi:type="dcterms:W3CDTF">2013-09-25T13:41:00Z</dcterms:modified>
</cp:coreProperties>
</file>