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2E10EF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CF362B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A87EFF">
        <w:rPr>
          <w:rFonts w:cs="Arial"/>
          <w:sz w:val="21"/>
          <w:szCs w:val="21"/>
        </w:rPr>
        <w:t>18</w:t>
      </w:r>
      <w:r w:rsidR="002E45E1">
        <w:rPr>
          <w:rFonts w:cs="Arial"/>
          <w:sz w:val="21"/>
          <w:szCs w:val="21"/>
        </w:rPr>
        <w:t>. 2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06B2D" w:rsidRPr="00406B2D" w:rsidRDefault="007349EF" w:rsidP="00406B2D">
      <w:pPr>
        <w:spacing w:line="360" w:lineRule="auto"/>
        <w:ind w:left="2832" w:hanging="2832"/>
        <w:jc w:val="left"/>
        <w:rPr>
          <w:rFonts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proofErr w:type="spellStart"/>
      <w:r w:rsidR="00406B2D" w:rsidRPr="00406B2D">
        <w:rPr>
          <w:rFonts w:cs="Arial"/>
          <w:b/>
          <w:sz w:val="21"/>
          <w:szCs w:val="21"/>
        </w:rPr>
        <w:t>Clarion</w:t>
      </w:r>
      <w:proofErr w:type="spellEnd"/>
      <w:r w:rsidR="00406B2D">
        <w:rPr>
          <w:rFonts w:cs="Arial"/>
          <w:sz w:val="21"/>
          <w:szCs w:val="21"/>
        </w:rPr>
        <w:t xml:space="preserve"> </w:t>
      </w:r>
      <w:proofErr w:type="spellStart"/>
      <w:r w:rsidR="00406B2D" w:rsidRPr="00406B2D">
        <w:rPr>
          <w:rFonts w:cs="Arial"/>
          <w:b/>
          <w:sz w:val="21"/>
          <w:szCs w:val="21"/>
        </w:rPr>
        <w:t>Congress</w:t>
      </w:r>
      <w:proofErr w:type="spellEnd"/>
      <w:r w:rsidR="00406B2D" w:rsidRPr="00406B2D">
        <w:rPr>
          <w:rFonts w:cs="Arial"/>
          <w:b/>
          <w:sz w:val="21"/>
          <w:szCs w:val="21"/>
        </w:rPr>
        <w:t xml:space="preserve"> Hotel</w:t>
      </w:r>
      <w:r w:rsidR="00406B2D">
        <w:rPr>
          <w:rFonts w:cs="Arial"/>
          <w:sz w:val="21"/>
          <w:szCs w:val="21"/>
        </w:rPr>
        <w:t xml:space="preserve"> České Budějovice</w:t>
      </w:r>
      <w:r w:rsidR="00406B2D">
        <w:rPr>
          <w:rFonts w:cs="Arial"/>
          <w:b/>
          <w:sz w:val="21"/>
          <w:szCs w:val="21"/>
        </w:rPr>
        <w:t xml:space="preserve">, </w:t>
      </w:r>
      <w:r w:rsidR="00406B2D" w:rsidRPr="00406B2D">
        <w:rPr>
          <w:rFonts w:cs="Arial"/>
          <w:sz w:val="21"/>
          <w:szCs w:val="21"/>
        </w:rPr>
        <w:t>České Budějovice,</w:t>
      </w:r>
      <w:r w:rsidR="00406B2D">
        <w:rPr>
          <w:rFonts w:cs="Arial"/>
          <w:b/>
          <w:sz w:val="21"/>
          <w:szCs w:val="21"/>
        </w:rPr>
        <w:t xml:space="preserve"> Pražská třída 14, Kongresový sál, Rožmberk</w:t>
      </w:r>
    </w:p>
    <w:p w:rsidR="007349EF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A87EFF">
        <w:rPr>
          <w:rFonts w:cs="Arial"/>
          <w:b/>
          <w:sz w:val="21"/>
          <w:szCs w:val="21"/>
        </w:rPr>
        <w:t>18</w:t>
      </w:r>
      <w:r w:rsidR="002E45E1">
        <w:rPr>
          <w:rFonts w:cs="Arial"/>
          <w:b/>
          <w:sz w:val="21"/>
          <w:szCs w:val="21"/>
        </w:rPr>
        <w:t>. 2</w:t>
      </w:r>
      <w:r w:rsidR="008F5503">
        <w:rPr>
          <w:rFonts w:cs="Arial"/>
          <w:b/>
          <w:sz w:val="21"/>
          <w:szCs w:val="21"/>
        </w:rPr>
        <w:t>.</w:t>
      </w:r>
      <w:r w:rsidR="001B3069">
        <w:rPr>
          <w:rFonts w:cs="Arial"/>
          <w:b/>
          <w:sz w:val="21"/>
          <w:szCs w:val="21"/>
        </w:rPr>
        <w:t xml:space="preserve"> 2015</w:t>
      </w:r>
      <w:r w:rsidR="00B5263F">
        <w:rPr>
          <w:rFonts w:cs="Arial"/>
          <w:b/>
          <w:sz w:val="21"/>
          <w:szCs w:val="21"/>
        </w:rPr>
        <w:t>, 9</w:t>
      </w:r>
      <w:r w:rsidRPr="00462092">
        <w:rPr>
          <w:rFonts w:cs="Arial"/>
          <w:b/>
          <w:sz w:val="21"/>
          <w:szCs w:val="21"/>
        </w:rPr>
        <w:t>:</w:t>
      </w:r>
      <w:r>
        <w:rPr>
          <w:rFonts w:cs="Arial"/>
          <w:b/>
          <w:sz w:val="21"/>
          <w:szCs w:val="21"/>
        </w:rPr>
        <w:t>3</w:t>
      </w:r>
      <w:r w:rsidRPr="00462092">
        <w:rPr>
          <w:rFonts w:cs="Arial"/>
          <w:b/>
          <w:sz w:val="21"/>
          <w:szCs w:val="21"/>
        </w:rPr>
        <w:t>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2E10EF" w:rsidRDefault="002E10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87EFF" w:rsidRDefault="00B5263F" w:rsidP="00A87EF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A87EFF">
        <w:rPr>
          <w:rFonts w:cs="Arial"/>
          <w:sz w:val="21"/>
          <w:szCs w:val="21"/>
        </w:rPr>
        <w:tab/>
      </w:r>
      <w:r w:rsidR="00A87EFF">
        <w:rPr>
          <w:rFonts w:cs="Arial"/>
          <w:b/>
          <w:sz w:val="21"/>
          <w:szCs w:val="21"/>
        </w:rPr>
        <w:t xml:space="preserve">Představení Integrovaného regionálního operačního programu pro období </w:t>
      </w:r>
      <w:r w:rsidR="00A87EFF" w:rsidRPr="00B5263F">
        <w:rPr>
          <w:rFonts w:cs="Arial"/>
          <w:b/>
          <w:sz w:val="21"/>
          <w:szCs w:val="21"/>
        </w:rPr>
        <w:t>2014-2020</w:t>
      </w:r>
      <w:r w:rsidR="00A87EFF">
        <w:rPr>
          <w:rFonts w:cs="Arial"/>
          <w:b/>
          <w:sz w:val="21"/>
          <w:szCs w:val="21"/>
        </w:rPr>
        <w:t xml:space="preserve"> </w:t>
      </w:r>
      <w:r w:rsidR="00A87EFF" w:rsidRPr="00BF4B07">
        <w:rPr>
          <w:rFonts w:cs="Arial"/>
          <w:sz w:val="21"/>
          <w:szCs w:val="21"/>
        </w:rPr>
        <w:t>(podporované aktivity</w:t>
      </w:r>
      <w:r w:rsidR="00A87EFF">
        <w:rPr>
          <w:rFonts w:cs="Arial"/>
          <w:b/>
          <w:sz w:val="21"/>
          <w:szCs w:val="21"/>
        </w:rPr>
        <w:t xml:space="preserve">, </w:t>
      </w:r>
      <w:r w:rsidR="00A87EFF" w:rsidRPr="00BF4B07">
        <w:rPr>
          <w:rFonts w:cs="Arial"/>
          <w:sz w:val="21"/>
          <w:szCs w:val="21"/>
        </w:rPr>
        <w:t>kritéria přijatelnosti projektů</w:t>
      </w:r>
      <w:r w:rsidR="00A87EFF" w:rsidRPr="00BF4B07">
        <w:rPr>
          <w:rFonts w:cs="Arial"/>
          <w:b/>
          <w:sz w:val="21"/>
          <w:szCs w:val="21"/>
        </w:rPr>
        <w:t xml:space="preserve">, </w:t>
      </w:r>
      <w:r w:rsidR="00A87EFF" w:rsidRPr="007B5D4A">
        <w:rPr>
          <w:rFonts w:cs="Arial"/>
          <w:sz w:val="21"/>
          <w:szCs w:val="21"/>
        </w:rPr>
        <w:t>typy žadatelů a</w:t>
      </w:r>
      <w:r w:rsidR="00A87EFF">
        <w:rPr>
          <w:rFonts w:cs="Arial"/>
          <w:sz w:val="21"/>
          <w:szCs w:val="21"/>
        </w:rPr>
        <w:t> </w:t>
      </w:r>
      <w:r w:rsidR="00A87EFF" w:rsidRPr="007B5D4A">
        <w:rPr>
          <w:rFonts w:cs="Arial"/>
          <w:sz w:val="21"/>
          <w:szCs w:val="21"/>
        </w:rPr>
        <w:t>financování,</w:t>
      </w:r>
      <w:r w:rsidR="00A87EFF">
        <w:rPr>
          <w:rFonts w:cs="Arial"/>
          <w:sz w:val="21"/>
          <w:szCs w:val="21"/>
        </w:rPr>
        <w:t xml:space="preserve"> </w:t>
      </w:r>
      <w:r w:rsidR="00A87EFF" w:rsidRPr="007B5D4A">
        <w:rPr>
          <w:rFonts w:cs="Arial"/>
          <w:sz w:val="21"/>
          <w:szCs w:val="21"/>
        </w:rPr>
        <w:t>harmonogram výzev</w:t>
      </w:r>
      <w:r w:rsidR="00A87EFF">
        <w:rPr>
          <w:rFonts w:cs="Arial"/>
          <w:sz w:val="21"/>
          <w:szCs w:val="21"/>
        </w:rPr>
        <w:t xml:space="preserve">) </w:t>
      </w:r>
      <w:r w:rsidR="00A87EFF">
        <w:rPr>
          <w:rFonts w:cs="Arial"/>
          <w:b/>
          <w:sz w:val="21"/>
          <w:szCs w:val="21"/>
        </w:rPr>
        <w:t xml:space="preserve">– </w:t>
      </w:r>
      <w:r w:rsidR="00A87EFF" w:rsidRPr="003E541D">
        <w:rPr>
          <w:rFonts w:cs="Arial"/>
          <w:b/>
          <w:sz w:val="21"/>
          <w:szCs w:val="21"/>
        </w:rPr>
        <w:t>Ing. Anna Vilímová</w:t>
      </w:r>
      <w:r w:rsidR="00A87EFF">
        <w:rPr>
          <w:rFonts w:cs="Arial"/>
          <w:b/>
          <w:sz w:val="21"/>
          <w:szCs w:val="21"/>
        </w:rPr>
        <w:t xml:space="preserve">, </w:t>
      </w:r>
      <w:r w:rsidR="00A87EFF" w:rsidRPr="006F79EF">
        <w:rPr>
          <w:rFonts w:cs="Arial"/>
          <w:sz w:val="21"/>
          <w:szCs w:val="21"/>
        </w:rPr>
        <w:t>zástupkyně ředitele odboru a vedoucí oddělení metodiky</w:t>
      </w:r>
      <w:r w:rsidR="00A87EFF">
        <w:rPr>
          <w:rFonts w:cs="Arial"/>
          <w:b/>
          <w:sz w:val="21"/>
          <w:szCs w:val="21"/>
        </w:rPr>
        <w:t xml:space="preserve">, </w:t>
      </w:r>
      <w:r w:rsidR="00A87EFF" w:rsidRPr="002A2029">
        <w:rPr>
          <w:rFonts w:cs="Arial"/>
          <w:sz w:val="21"/>
          <w:szCs w:val="21"/>
        </w:rPr>
        <w:t>Řídicí orgán IROP,</w:t>
      </w:r>
      <w:r w:rsidR="00A87EFF">
        <w:rPr>
          <w:rFonts w:cs="Arial"/>
          <w:sz w:val="21"/>
          <w:szCs w:val="21"/>
        </w:rPr>
        <w:t xml:space="preserve"> </w:t>
      </w:r>
      <w:r w:rsidR="00A87EFF" w:rsidRPr="006F79EF">
        <w:rPr>
          <w:rFonts w:cs="Arial"/>
          <w:b/>
          <w:sz w:val="21"/>
          <w:szCs w:val="21"/>
        </w:rPr>
        <w:t>MMR</w:t>
      </w:r>
    </w:p>
    <w:p w:rsidR="005508E3" w:rsidRPr="00055A31" w:rsidRDefault="005508E3" w:rsidP="00A87EFF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F79EF" w:rsidRDefault="00A87EF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</w:t>
      </w:r>
      <w:r>
        <w:rPr>
          <w:rFonts w:cs="Arial"/>
          <w:sz w:val="21"/>
          <w:szCs w:val="21"/>
        </w:rPr>
        <w:tab/>
        <w:t>Témata:</w:t>
      </w:r>
    </w:p>
    <w:p w:rsidR="00A87EFF" w:rsidRDefault="00A87EF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51381" w:rsidRPr="00A87EFF" w:rsidRDefault="00A87EFF" w:rsidP="00A87EF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11:0</w:t>
      </w:r>
      <w:r w:rsidR="00937920">
        <w:rPr>
          <w:rFonts w:cs="Arial"/>
          <w:sz w:val="21"/>
          <w:szCs w:val="21"/>
        </w:rPr>
        <w:t>0</w:t>
      </w:r>
      <w:r w:rsidR="00EA6AD2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proofErr w:type="spellStart"/>
      <w:r w:rsidR="002E0588">
        <w:rPr>
          <w:rFonts w:eastAsia="DINPro" w:cs="Arial"/>
          <w:color w:val="231F20"/>
          <w:sz w:val="21"/>
        </w:rPr>
        <w:t>Coffeebreak</w:t>
      </w:r>
      <w:proofErr w:type="spellEnd"/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</w:t>
      </w:r>
      <w:proofErr w:type="spellStart"/>
      <w:r w:rsidRPr="00AD7A4D">
        <w:rPr>
          <w:rFonts w:eastAsia="DINPro" w:cs="Arial"/>
          <w:b/>
          <w:color w:val="231F20"/>
          <w:sz w:val="21"/>
        </w:rPr>
        <w:t>Government</w:t>
      </w:r>
      <w:proofErr w:type="spellEnd"/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395E9C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395E9C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1963B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1963BF" w:rsidRPr="001963BF">
        <w:rPr>
          <w:rFonts w:cs="Arial"/>
          <w:i/>
          <w:sz w:val="21"/>
          <w:szCs w:val="21"/>
        </w:rPr>
        <w:t xml:space="preserve"> </w:t>
      </w:r>
    </w:p>
    <w:p w:rsidR="002E10EF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ab/>
      </w:r>
    </w:p>
    <w:p w:rsidR="00B5263F" w:rsidRDefault="002E10E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A87EFF">
        <w:rPr>
          <w:rFonts w:cs="Arial"/>
          <w:b/>
          <w:sz w:val="21"/>
          <w:szCs w:val="21"/>
        </w:rPr>
        <w:t xml:space="preserve">Ing. Jaromír Polášek </w:t>
      </w:r>
      <w:r w:rsidR="009F46CA" w:rsidRPr="000366A7">
        <w:rPr>
          <w:rFonts w:cs="Arial"/>
          <w:i/>
          <w:sz w:val="21"/>
          <w:szCs w:val="21"/>
        </w:rPr>
        <w:t>– N</w:t>
      </w:r>
      <w:r w:rsidR="00BF4B07" w:rsidRPr="000366A7">
        <w:rPr>
          <w:rFonts w:cs="Arial"/>
          <w:i/>
          <w:sz w:val="21"/>
          <w:szCs w:val="21"/>
        </w:rPr>
        <w:t>árodní síť Místních akčních skupin</w:t>
      </w:r>
    </w:p>
    <w:p w:rsidR="00A87EFF" w:rsidRDefault="002E10EF" w:rsidP="002E10EF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A87EFF" w:rsidRPr="001963BF">
        <w:rPr>
          <w:rFonts w:cs="Arial"/>
          <w:b/>
          <w:sz w:val="21"/>
          <w:szCs w:val="21"/>
        </w:rPr>
        <w:t>Ing.</w:t>
      </w:r>
      <w:r>
        <w:rPr>
          <w:rFonts w:cs="Arial"/>
          <w:b/>
          <w:sz w:val="21"/>
          <w:szCs w:val="21"/>
        </w:rPr>
        <w:t xml:space="preserve"> Petr </w:t>
      </w:r>
      <w:proofErr w:type="spellStart"/>
      <w:r w:rsidRPr="002E10EF">
        <w:rPr>
          <w:rFonts w:cs="Arial"/>
          <w:b/>
          <w:sz w:val="21"/>
          <w:szCs w:val="21"/>
        </w:rPr>
        <w:t>Käfer</w:t>
      </w:r>
      <w:proofErr w:type="spellEnd"/>
      <w:r w:rsidR="00201AAA">
        <w:rPr>
          <w:rFonts w:cs="Arial"/>
          <w:b/>
          <w:sz w:val="21"/>
          <w:szCs w:val="21"/>
        </w:rPr>
        <w:t xml:space="preserve"> </w:t>
      </w:r>
      <w:r w:rsidR="00A87EFF" w:rsidRPr="00201AAA">
        <w:rPr>
          <w:rFonts w:cs="Arial"/>
          <w:sz w:val="21"/>
          <w:szCs w:val="21"/>
        </w:rPr>
        <w:t>–</w:t>
      </w:r>
      <w:r w:rsidR="00A87EFF">
        <w:rPr>
          <w:rFonts w:cs="Arial"/>
          <w:i/>
          <w:sz w:val="21"/>
          <w:szCs w:val="21"/>
        </w:rPr>
        <w:t xml:space="preserve"> (IPRÚ) </w:t>
      </w:r>
      <w:r w:rsidR="00A87EFF" w:rsidRPr="001963BF">
        <w:rPr>
          <w:rFonts w:cs="Arial"/>
          <w:i/>
          <w:sz w:val="21"/>
          <w:szCs w:val="21"/>
        </w:rPr>
        <w:t xml:space="preserve">Magistrát </w:t>
      </w:r>
      <w:r w:rsidR="00A87EFF">
        <w:rPr>
          <w:rFonts w:cs="Arial"/>
          <w:i/>
          <w:sz w:val="21"/>
          <w:szCs w:val="21"/>
        </w:rPr>
        <w:t xml:space="preserve">statutárního města </w:t>
      </w:r>
      <w:r w:rsidR="003443E5">
        <w:rPr>
          <w:rFonts w:cs="Arial"/>
          <w:i/>
          <w:sz w:val="21"/>
          <w:szCs w:val="21"/>
        </w:rPr>
        <w:t>České</w:t>
      </w:r>
      <w:r>
        <w:rPr>
          <w:rFonts w:cs="Arial"/>
          <w:i/>
          <w:sz w:val="21"/>
          <w:szCs w:val="21"/>
        </w:rPr>
        <w:t xml:space="preserve"> </w:t>
      </w:r>
      <w:r w:rsidR="00395E9C">
        <w:rPr>
          <w:rFonts w:cs="Arial"/>
          <w:i/>
          <w:sz w:val="21"/>
          <w:szCs w:val="21"/>
        </w:rPr>
        <w:t>Budějovice</w:t>
      </w:r>
      <w:bookmarkStart w:id="0" w:name="_GoBack"/>
      <w:bookmarkEnd w:id="0"/>
    </w:p>
    <w:p w:rsidR="009E0C8E" w:rsidRDefault="007B4D2F" w:rsidP="002E10EF">
      <w:pPr>
        <w:tabs>
          <w:tab w:val="left" w:pos="2000"/>
        </w:tabs>
        <w:spacing w:line="324" w:lineRule="auto"/>
        <w:jc w:val="left"/>
        <w:rPr>
          <w:rFonts w:cs="Arial"/>
          <w:i/>
          <w:sz w:val="21"/>
          <w:szCs w:val="21"/>
        </w:rPr>
      </w:pPr>
      <w:r w:rsidRPr="007B4D2F">
        <w:rPr>
          <w:rFonts w:cs="Arial"/>
          <w:b/>
          <w:sz w:val="21"/>
          <w:szCs w:val="21"/>
        </w:rPr>
        <w:t xml:space="preserve"> 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8"/>
      <w:headerReference w:type="first" r:id="rId9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2B" w:rsidRDefault="00CF362B">
      <w:pPr>
        <w:spacing w:line="240" w:lineRule="auto"/>
      </w:pPr>
      <w:r>
        <w:separator/>
      </w:r>
    </w:p>
  </w:endnote>
  <w:endnote w:type="continuationSeparator" w:id="0">
    <w:p w:rsidR="00CF362B" w:rsidRDefault="00CF3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2B" w:rsidRDefault="00CF362B">
      <w:pPr>
        <w:spacing w:line="240" w:lineRule="auto"/>
      </w:pPr>
      <w:r>
        <w:separator/>
      </w:r>
    </w:p>
  </w:footnote>
  <w:footnote w:type="continuationSeparator" w:id="0">
    <w:p w:rsidR="00CF362B" w:rsidRDefault="00CF3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27675"/>
    <w:rsid w:val="000366A7"/>
    <w:rsid w:val="000461B1"/>
    <w:rsid w:val="00055A31"/>
    <w:rsid w:val="00081C54"/>
    <w:rsid w:val="00094A3B"/>
    <w:rsid w:val="000A42E8"/>
    <w:rsid w:val="000B09A6"/>
    <w:rsid w:val="000B6738"/>
    <w:rsid w:val="000F7478"/>
    <w:rsid w:val="001003C9"/>
    <w:rsid w:val="00101634"/>
    <w:rsid w:val="001241BE"/>
    <w:rsid w:val="00134789"/>
    <w:rsid w:val="00136645"/>
    <w:rsid w:val="00140AEC"/>
    <w:rsid w:val="001838A4"/>
    <w:rsid w:val="00186283"/>
    <w:rsid w:val="001963BF"/>
    <w:rsid w:val="001B10DC"/>
    <w:rsid w:val="001B3069"/>
    <w:rsid w:val="001E3C77"/>
    <w:rsid w:val="001E55F2"/>
    <w:rsid w:val="00201AAA"/>
    <w:rsid w:val="00254A19"/>
    <w:rsid w:val="00256920"/>
    <w:rsid w:val="002721D3"/>
    <w:rsid w:val="00281AC5"/>
    <w:rsid w:val="00290713"/>
    <w:rsid w:val="002A2029"/>
    <w:rsid w:val="002A7480"/>
    <w:rsid w:val="002B385D"/>
    <w:rsid w:val="002C6BF5"/>
    <w:rsid w:val="002E0588"/>
    <w:rsid w:val="002E0A6E"/>
    <w:rsid w:val="002E10EF"/>
    <w:rsid w:val="002E45E1"/>
    <w:rsid w:val="00302CC3"/>
    <w:rsid w:val="00304D4F"/>
    <w:rsid w:val="00306267"/>
    <w:rsid w:val="003443E5"/>
    <w:rsid w:val="00346F1F"/>
    <w:rsid w:val="00365924"/>
    <w:rsid w:val="00377B1E"/>
    <w:rsid w:val="00381CC4"/>
    <w:rsid w:val="003837DC"/>
    <w:rsid w:val="0038668B"/>
    <w:rsid w:val="00395E9C"/>
    <w:rsid w:val="0039603B"/>
    <w:rsid w:val="003A2EE6"/>
    <w:rsid w:val="003A61B9"/>
    <w:rsid w:val="003E541D"/>
    <w:rsid w:val="003E7218"/>
    <w:rsid w:val="003F3FC9"/>
    <w:rsid w:val="003F704E"/>
    <w:rsid w:val="00406B2D"/>
    <w:rsid w:val="0041509A"/>
    <w:rsid w:val="0043241A"/>
    <w:rsid w:val="00445DED"/>
    <w:rsid w:val="00462092"/>
    <w:rsid w:val="00486C86"/>
    <w:rsid w:val="004B2766"/>
    <w:rsid w:val="004C05E9"/>
    <w:rsid w:val="004C1F0C"/>
    <w:rsid w:val="004D5107"/>
    <w:rsid w:val="004D633B"/>
    <w:rsid w:val="004E2B30"/>
    <w:rsid w:val="00506FD9"/>
    <w:rsid w:val="005354AF"/>
    <w:rsid w:val="005508E3"/>
    <w:rsid w:val="00551381"/>
    <w:rsid w:val="00553253"/>
    <w:rsid w:val="00555DC8"/>
    <w:rsid w:val="00581E90"/>
    <w:rsid w:val="005856C1"/>
    <w:rsid w:val="005C553B"/>
    <w:rsid w:val="005D258D"/>
    <w:rsid w:val="005D5831"/>
    <w:rsid w:val="005E4B27"/>
    <w:rsid w:val="00600FAE"/>
    <w:rsid w:val="00623A3C"/>
    <w:rsid w:val="00625A2F"/>
    <w:rsid w:val="00663518"/>
    <w:rsid w:val="006662D9"/>
    <w:rsid w:val="00697CBE"/>
    <w:rsid w:val="006C2CD5"/>
    <w:rsid w:val="006F79EF"/>
    <w:rsid w:val="00706006"/>
    <w:rsid w:val="0072651A"/>
    <w:rsid w:val="007349EF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5303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E53E8"/>
    <w:rsid w:val="008F5503"/>
    <w:rsid w:val="00921A80"/>
    <w:rsid w:val="00932668"/>
    <w:rsid w:val="00937920"/>
    <w:rsid w:val="00972BD8"/>
    <w:rsid w:val="00991C59"/>
    <w:rsid w:val="009A4987"/>
    <w:rsid w:val="009E0C8E"/>
    <w:rsid w:val="009E1E4B"/>
    <w:rsid w:val="009E4095"/>
    <w:rsid w:val="009F46CA"/>
    <w:rsid w:val="00A06AE0"/>
    <w:rsid w:val="00A20052"/>
    <w:rsid w:val="00A21F81"/>
    <w:rsid w:val="00A24C6F"/>
    <w:rsid w:val="00A4421E"/>
    <w:rsid w:val="00A52A60"/>
    <w:rsid w:val="00A81D72"/>
    <w:rsid w:val="00A87EFF"/>
    <w:rsid w:val="00AB4FD6"/>
    <w:rsid w:val="00AD7A4D"/>
    <w:rsid w:val="00B16798"/>
    <w:rsid w:val="00B43838"/>
    <w:rsid w:val="00B5263F"/>
    <w:rsid w:val="00B717CA"/>
    <w:rsid w:val="00B82E02"/>
    <w:rsid w:val="00B8668D"/>
    <w:rsid w:val="00BC1C5B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E45A6"/>
    <w:rsid w:val="00CF3313"/>
    <w:rsid w:val="00CF362B"/>
    <w:rsid w:val="00CF669D"/>
    <w:rsid w:val="00D263AF"/>
    <w:rsid w:val="00D6138E"/>
    <w:rsid w:val="00D623D0"/>
    <w:rsid w:val="00D62766"/>
    <w:rsid w:val="00DA13FB"/>
    <w:rsid w:val="00DD6114"/>
    <w:rsid w:val="00DE2697"/>
    <w:rsid w:val="00DE6C9C"/>
    <w:rsid w:val="00DF1946"/>
    <w:rsid w:val="00DF7A66"/>
    <w:rsid w:val="00E13714"/>
    <w:rsid w:val="00E15C9F"/>
    <w:rsid w:val="00E67D7D"/>
    <w:rsid w:val="00E739F1"/>
    <w:rsid w:val="00E8437A"/>
    <w:rsid w:val="00EA4DBF"/>
    <w:rsid w:val="00EA6AD2"/>
    <w:rsid w:val="00EB2E51"/>
    <w:rsid w:val="00EC6DB8"/>
    <w:rsid w:val="00EE6683"/>
    <w:rsid w:val="00F11A13"/>
    <w:rsid w:val="00F177BE"/>
    <w:rsid w:val="00F46955"/>
    <w:rsid w:val="00F51DD0"/>
    <w:rsid w:val="00F61C4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2015-01-29T14:51:00Z</cp:lastPrinted>
  <dcterms:created xsi:type="dcterms:W3CDTF">2015-02-17T09:25:00Z</dcterms:created>
  <dcterms:modified xsi:type="dcterms:W3CDTF">2015-02-17T09:25:00Z</dcterms:modified>
</cp:coreProperties>
</file>