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9B" w:rsidRPr="00F701FC" w:rsidRDefault="00E9149B" w:rsidP="00E9149B">
      <w:pPr>
        <w:jc w:val="both"/>
      </w:pPr>
    </w:p>
    <w:p w:rsidR="00E9149B" w:rsidRDefault="00E9149B" w:rsidP="00E9149B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D54541">
        <w:rPr>
          <w:sz w:val="40"/>
          <w:szCs w:val="40"/>
        </w:rPr>
        <w:t>Ministerstvo pro místní rozvoj ČR</w:t>
      </w:r>
    </w:p>
    <w:p w:rsidR="00E9149B" w:rsidRPr="007B1CF0" w:rsidRDefault="00E9149B" w:rsidP="00E9149B">
      <w:pPr>
        <w:autoSpaceDE w:val="0"/>
        <w:autoSpaceDN w:val="0"/>
        <w:adjustRightInd w:val="0"/>
        <w:jc w:val="center"/>
        <w:rPr>
          <w:b/>
          <w:bCs/>
        </w:rPr>
      </w:pPr>
    </w:p>
    <w:p w:rsidR="00E9149B" w:rsidRPr="007B1CF0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Pr="007B1CF0">
        <w:rPr>
          <w:b/>
          <w:bCs/>
          <w:sz w:val="32"/>
          <w:szCs w:val="32"/>
        </w:rPr>
        <w:t>yhlašuje</w:t>
      </w:r>
      <w:r>
        <w:rPr>
          <w:b/>
          <w:bCs/>
          <w:sz w:val="32"/>
          <w:szCs w:val="32"/>
        </w:rPr>
        <w:t xml:space="preserve"> </w:t>
      </w:r>
      <w:r w:rsidRPr="007B1CF0">
        <w:rPr>
          <w:b/>
          <w:bCs/>
          <w:sz w:val="32"/>
          <w:szCs w:val="32"/>
        </w:rPr>
        <w:t xml:space="preserve">od </w:t>
      </w:r>
      <w:r w:rsidR="00621523">
        <w:rPr>
          <w:b/>
          <w:bCs/>
          <w:sz w:val="32"/>
          <w:szCs w:val="32"/>
        </w:rPr>
        <w:t>25</w:t>
      </w:r>
      <w:r w:rsidRPr="007B1CF0">
        <w:rPr>
          <w:b/>
          <w:bCs/>
          <w:sz w:val="32"/>
          <w:szCs w:val="32"/>
        </w:rPr>
        <w:t>. června 201</w:t>
      </w:r>
      <w:r>
        <w:rPr>
          <w:b/>
          <w:bCs/>
          <w:sz w:val="32"/>
          <w:szCs w:val="32"/>
        </w:rPr>
        <w:t>4</w:t>
      </w:r>
      <w:r w:rsidRPr="007B1CF0">
        <w:rPr>
          <w:b/>
          <w:bCs/>
          <w:sz w:val="32"/>
          <w:szCs w:val="32"/>
        </w:rPr>
        <w:t xml:space="preserve"> do </w:t>
      </w:r>
      <w:r w:rsidR="00621523">
        <w:rPr>
          <w:b/>
          <w:bCs/>
          <w:sz w:val="32"/>
          <w:szCs w:val="32"/>
        </w:rPr>
        <w:t>1</w:t>
      </w:r>
      <w:r w:rsidRPr="007B1CF0">
        <w:rPr>
          <w:b/>
          <w:bCs/>
          <w:sz w:val="32"/>
          <w:szCs w:val="32"/>
        </w:rPr>
        <w:t xml:space="preserve">. </w:t>
      </w:r>
      <w:r w:rsidR="00621523">
        <w:rPr>
          <w:b/>
          <w:bCs/>
          <w:sz w:val="32"/>
          <w:szCs w:val="32"/>
        </w:rPr>
        <w:t>října</w:t>
      </w:r>
      <w:r w:rsidR="00621523" w:rsidRPr="007B1CF0">
        <w:rPr>
          <w:b/>
          <w:bCs/>
          <w:sz w:val="32"/>
          <w:szCs w:val="32"/>
        </w:rPr>
        <w:t xml:space="preserve"> </w:t>
      </w:r>
      <w:r w:rsidRPr="007B1CF0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4</w:t>
      </w:r>
    </w:p>
    <w:p w:rsidR="00E9149B" w:rsidRPr="007B1CF0" w:rsidRDefault="00E9149B" w:rsidP="00E9149B">
      <w:pPr>
        <w:autoSpaceDE w:val="0"/>
        <w:autoSpaceDN w:val="0"/>
        <w:adjustRightInd w:val="0"/>
        <w:jc w:val="center"/>
        <w:rPr>
          <w:b/>
          <w:bCs/>
        </w:rPr>
      </w:pPr>
    </w:p>
    <w:p w:rsidR="00E9149B" w:rsidRPr="00F701FC" w:rsidRDefault="00E9149B" w:rsidP="00E9149B">
      <w:pPr>
        <w:autoSpaceDE w:val="0"/>
        <w:autoSpaceDN w:val="0"/>
        <w:adjustRightInd w:val="0"/>
        <w:jc w:val="center"/>
      </w:pPr>
      <w:r>
        <w:rPr>
          <w:b/>
          <w:bCs/>
          <w:sz w:val="40"/>
          <w:szCs w:val="40"/>
        </w:rPr>
        <w:t>25</w:t>
      </w:r>
      <w:r w:rsidRPr="007B1CF0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 xml:space="preserve">KONTINUÁLNÍ </w:t>
      </w:r>
      <w:r w:rsidRPr="007B1CF0">
        <w:rPr>
          <w:b/>
          <w:bCs/>
          <w:sz w:val="40"/>
          <w:szCs w:val="40"/>
        </w:rPr>
        <w:t xml:space="preserve">VÝZVU </w:t>
      </w: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D54541">
        <w:rPr>
          <w:sz w:val="32"/>
          <w:szCs w:val="32"/>
        </w:rPr>
        <w:t>k podávání žádostí o poskytnutí podpory v rámci</w:t>
      </w:r>
    </w:p>
    <w:p w:rsidR="00E9149B" w:rsidRPr="00F701FC" w:rsidRDefault="00E9149B" w:rsidP="00E9149B">
      <w:pPr>
        <w:autoSpaceDE w:val="0"/>
        <w:autoSpaceDN w:val="0"/>
        <w:adjustRightInd w:val="0"/>
        <w:jc w:val="center"/>
      </w:pPr>
    </w:p>
    <w:p w:rsidR="00E9149B" w:rsidRPr="00CE028E" w:rsidRDefault="00E9149B" w:rsidP="00E9149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E028E">
        <w:rPr>
          <w:b/>
          <w:bCs/>
          <w:sz w:val="40"/>
          <w:szCs w:val="40"/>
        </w:rPr>
        <w:t>INTEGROVANÉHO OPERA</w:t>
      </w:r>
      <w:r w:rsidRPr="00CE028E">
        <w:rPr>
          <w:b/>
          <w:sz w:val="40"/>
          <w:szCs w:val="40"/>
        </w:rPr>
        <w:t>Č</w:t>
      </w:r>
      <w:r w:rsidRPr="00CE028E">
        <w:rPr>
          <w:b/>
          <w:bCs/>
          <w:sz w:val="40"/>
          <w:szCs w:val="40"/>
        </w:rPr>
        <w:t>NÍHO PROGRAMU</w:t>
      </w:r>
    </w:p>
    <w:p w:rsidR="00E9149B" w:rsidRPr="00F701FC" w:rsidRDefault="00E9149B" w:rsidP="00E9149B">
      <w:pPr>
        <w:autoSpaceDE w:val="0"/>
        <w:autoSpaceDN w:val="0"/>
        <w:adjustRightInd w:val="0"/>
        <w:jc w:val="center"/>
      </w:pP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4541">
        <w:rPr>
          <w:b/>
          <w:bCs/>
          <w:sz w:val="32"/>
          <w:szCs w:val="32"/>
        </w:rPr>
        <w:t>Prioritní osa 4 a Národní podpora cestovního ruchu</w:t>
      </w: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4541">
        <w:rPr>
          <w:b/>
          <w:bCs/>
          <w:sz w:val="32"/>
          <w:szCs w:val="32"/>
        </w:rPr>
        <w:t>Cíl Konvergence</w:t>
      </w: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4541">
        <w:rPr>
          <w:b/>
          <w:bCs/>
          <w:sz w:val="32"/>
          <w:szCs w:val="32"/>
        </w:rPr>
        <w:t>Prioritní osa 4 b Národní podpora cestovního ruchu</w:t>
      </w:r>
    </w:p>
    <w:p w:rsidR="00E9149B" w:rsidRPr="00D54541" w:rsidRDefault="00E9149B" w:rsidP="00E9149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4541">
        <w:rPr>
          <w:b/>
          <w:bCs/>
          <w:sz w:val="32"/>
          <w:szCs w:val="32"/>
        </w:rPr>
        <w:t>Cíl Regionální konkurenceschopnost a zam</w:t>
      </w:r>
      <w:r w:rsidRPr="00D54541">
        <w:rPr>
          <w:sz w:val="32"/>
          <w:szCs w:val="32"/>
        </w:rPr>
        <w:t>ě</w:t>
      </w:r>
      <w:r w:rsidRPr="00D54541">
        <w:rPr>
          <w:b/>
          <w:bCs/>
          <w:sz w:val="32"/>
          <w:szCs w:val="32"/>
        </w:rPr>
        <w:t>stnanost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01FC">
        <w:rPr>
          <w:b/>
          <w:bCs/>
        </w:rPr>
        <w:t xml:space="preserve">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149B" w:rsidRPr="00F701FC" w:rsidRDefault="00E9149B" w:rsidP="00E9149B">
      <w:pPr>
        <w:autoSpaceDE w:val="0"/>
        <w:autoSpaceDN w:val="0"/>
        <w:adjustRightInd w:val="0"/>
        <w:spacing w:after="120"/>
        <w:jc w:val="both"/>
      </w:pPr>
      <w:r w:rsidRPr="007B1CF0">
        <w:rPr>
          <w:b/>
          <w:bCs/>
          <w:sz w:val="28"/>
          <w:szCs w:val="28"/>
        </w:rPr>
        <w:t>Oprávn</w:t>
      </w:r>
      <w:r w:rsidRPr="007B1CF0">
        <w:rPr>
          <w:b/>
          <w:sz w:val="28"/>
          <w:szCs w:val="28"/>
        </w:rPr>
        <w:t>ě</w:t>
      </w:r>
      <w:r w:rsidRPr="007B1CF0">
        <w:rPr>
          <w:b/>
          <w:bCs/>
          <w:sz w:val="28"/>
          <w:szCs w:val="28"/>
        </w:rPr>
        <w:t>ní žadatelé</w:t>
      </w:r>
      <w:r w:rsidRPr="007B1CF0">
        <w:rPr>
          <w:b/>
          <w:sz w:val="28"/>
          <w:szCs w:val="28"/>
        </w:rPr>
        <w:t xml:space="preserve">: </w:t>
      </w:r>
      <w:r w:rsidRPr="00F701FC">
        <w:t xml:space="preserve">    </w:t>
      </w:r>
    </w:p>
    <w:p w:rsidR="00E9149B" w:rsidRPr="003D4FE9" w:rsidRDefault="00E9149B" w:rsidP="00E9149B">
      <w:pPr>
        <w:numPr>
          <w:ilvl w:val="0"/>
          <w:numId w:val="10"/>
        </w:numPr>
        <w:spacing w:before="120"/>
        <w:jc w:val="both"/>
      </w:pPr>
      <w:r w:rsidRPr="003D4FE9">
        <w:rPr>
          <w:b/>
        </w:rPr>
        <w:t>Nestátní neziskové organizace</w:t>
      </w:r>
      <w:r w:rsidRPr="003D4FE9">
        <w:t xml:space="preserve"> (NNO) s celorepublikovou působností v cestovním ruchu: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spolky</w:t>
      </w:r>
      <w:r w:rsidRPr="003D4FE9">
        <w:t xml:space="preserve"> podle § 214 a násl. zákona č. 89/2012 Sb., občanský zákoník,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nadace</w:t>
      </w:r>
      <w:r w:rsidRPr="003D4FE9">
        <w:t xml:space="preserve"> podle § 306 a násl. zákona č. 89/2012 Sb., občanský zákoník,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nadační fondy</w:t>
      </w:r>
      <w:r w:rsidRPr="003D4FE9">
        <w:t xml:space="preserve"> podle § 394 a násl. zákona č. 89/2012 Sb., občanský zákoník,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ústavy</w:t>
      </w:r>
      <w:r w:rsidRPr="003D4FE9">
        <w:t xml:space="preserve"> podle § 402 a násl. zákona č. 89/2012 Sb., občanský zákoník,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sociální družstva</w:t>
      </w:r>
      <w:r w:rsidRPr="003D4FE9">
        <w:t xml:space="preserve"> podle § 758 a násl. zákona č. 90/2012 Sb., o obchodních korporacích,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církve a náboženské společnosti a další právnické osoby</w:t>
      </w:r>
      <w:r w:rsidRPr="003D4FE9">
        <w:t xml:space="preserve"> podle zákona č. 3/2002 Sb., o církvích a náboženských společnostech, ve znění pozdějších předpisů, </w:t>
      </w:r>
    </w:p>
    <w:p w:rsidR="00E9149B" w:rsidRPr="003D4FE9" w:rsidRDefault="00E9149B" w:rsidP="00E9149B">
      <w:pPr>
        <w:numPr>
          <w:ilvl w:val="0"/>
          <w:numId w:val="9"/>
        </w:numPr>
        <w:spacing w:before="60"/>
        <w:jc w:val="both"/>
      </w:pPr>
      <w:r w:rsidRPr="003D4FE9">
        <w:rPr>
          <w:b/>
        </w:rPr>
        <w:t>obecně prospěšné společnosti</w:t>
      </w:r>
      <w:r w:rsidRPr="003D4FE9">
        <w:t xml:space="preserve"> </w:t>
      </w:r>
      <w:r w:rsidRPr="003D4FE9">
        <w:rPr>
          <w:b/>
        </w:rPr>
        <w:t>(založené do 31. 12. 2013)</w:t>
      </w:r>
      <w:r w:rsidRPr="003D4FE9">
        <w:t xml:space="preserve"> podle zákona č. 248/1995 Sb., o obecně prospěšných společnostech, ve znění pozdějších předpisů;</w:t>
      </w:r>
    </w:p>
    <w:p w:rsidR="00E9149B" w:rsidRDefault="00E9149B" w:rsidP="00E9149B">
      <w:pPr>
        <w:numPr>
          <w:ilvl w:val="0"/>
          <w:numId w:val="10"/>
        </w:numPr>
        <w:spacing w:before="180"/>
        <w:ind w:left="351" w:hanging="357"/>
        <w:jc w:val="both"/>
      </w:pPr>
      <w:r w:rsidRPr="003D4FE9">
        <w:rPr>
          <w:b/>
        </w:rPr>
        <w:t>Zájmová sdružení právnických osob</w:t>
      </w:r>
      <w:r w:rsidRPr="003D4FE9">
        <w:t xml:space="preserve"> s celorepublikovou působností v cestovním ruchu (založená do 31. 12. 2013), vytvořená v souladu s § </w:t>
      </w:r>
      <w:smartTag w:uri="urn:schemas-microsoft-com:office:smarttags" w:element="metricconverter">
        <w:smartTagPr>
          <w:attr w:name="ProductID" w:val="20f"/>
        </w:smartTagPr>
        <w:r w:rsidRPr="003D4FE9">
          <w:t>20f</w:t>
        </w:r>
      </w:smartTag>
      <w:r w:rsidRPr="003D4FE9">
        <w:t xml:space="preserve"> až § 20j zákona č. 40/1964</w:t>
      </w:r>
      <w:smartTag w:uri="urn:schemas-microsoft-com:office:smarttags" w:element="PersonName">
        <w:r w:rsidRPr="003D4FE9">
          <w:t xml:space="preserve"> </w:t>
        </w:r>
      </w:smartTag>
      <w:r w:rsidRPr="003D4FE9">
        <w:t>Sb.,</w:t>
      </w:r>
      <w:smartTag w:uri="urn:schemas-microsoft-com:office:smarttags" w:element="PersonName">
        <w:r w:rsidRPr="003D4FE9">
          <w:t xml:space="preserve"> </w:t>
        </w:r>
      </w:smartTag>
      <w:r w:rsidRPr="003D4FE9">
        <w:t>občanský</w:t>
      </w:r>
      <w:smartTag w:uri="urn:schemas-microsoft-com:office:smarttags" w:element="PersonName">
        <w:r w:rsidRPr="003D4FE9">
          <w:t xml:space="preserve"> </w:t>
        </w:r>
      </w:smartTag>
      <w:r w:rsidRPr="003D4FE9">
        <w:t xml:space="preserve">zákoník, ve znění pozdějších předpisů. </w:t>
      </w:r>
    </w:p>
    <w:p w:rsidR="000D46FC" w:rsidRDefault="000D46FC" w:rsidP="00440F1F">
      <w:pPr>
        <w:spacing w:before="180"/>
        <w:ind w:left="-6"/>
        <w:jc w:val="both"/>
      </w:pPr>
      <w:r>
        <w:t xml:space="preserve">Celorepubliková působnost žadatele bude prokázána tím, že aktivity předkládaného projektového záměru budou realizovány v min. 4 regionech NUTS II.  </w:t>
      </w:r>
      <w:r w:rsidRPr="00273D60">
        <w:t xml:space="preserve"> </w:t>
      </w:r>
    </w:p>
    <w:p w:rsidR="00AA71B1" w:rsidRDefault="00AA71B1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E9149B" w:rsidRPr="00A7195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Podporovaná aktivita</w:t>
      </w:r>
      <w:r w:rsidRPr="00A71959">
        <w:rPr>
          <w:b/>
          <w:bCs/>
          <w:sz w:val="28"/>
          <w:szCs w:val="28"/>
        </w:rPr>
        <w:t xml:space="preserve">: </w:t>
      </w:r>
    </w:p>
    <w:p w:rsidR="00E9149B" w:rsidRPr="00F701FC" w:rsidRDefault="00E9149B" w:rsidP="00E9149B">
      <w:pPr>
        <w:autoSpaceDE w:val="0"/>
        <w:autoSpaceDN w:val="0"/>
        <w:adjustRightInd w:val="0"/>
        <w:jc w:val="both"/>
      </w:pPr>
      <w:r>
        <w:t xml:space="preserve">d) </w:t>
      </w:r>
      <w:r w:rsidRPr="00F701FC">
        <w:t xml:space="preserve">Prezentace a propagace kulturního a přírodního bohatství, kulturního průmyslu a služeb s využitím pro cestovní ruch na národní úrovni. </w:t>
      </w:r>
    </w:p>
    <w:p w:rsidR="00E9149B" w:rsidRPr="00BD2F3F" w:rsidRDefault="00E9149B" w:rsidP="00E9149B">
      <w:pPr>
        <w:autoSpaceDE w:val="0"/>
        <w:autoSpaceDN w:val="0"/>
        <w:adjustRightInd w:val="0"/>
        <w:jc w:val="both"/>
        <w:rPr>
          <w:b/>
          <w:bCs/>
        </w:rPr>
      </w:pPr>
    </w:p>
    <w:p w:rsidR="00E9149B" w:rsidRPr="00BD2F3F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BD2F3F">
        <w:rPr>
          <w:b/>
          <w:bCs/>
          <w:sz w:val="28"/>
          <w:szCs w:val="28"/>
        </w:rPr>
        <w:lastRenderedPageBreak/>
        <w:t xml:space="preserve">Specifické zaměření výzvy: </w:t>
      </w:r>
    </w:p>
    <w:p w:rsidR="00E9149B" w:rsidRPr="00F77F87" w:rsidRDefault="00E9149B" w:rsidP="00E9149B">
      <w:pPr>
        <w:pStyle w:val="Prosttex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</w:pPr>
      <w:r w:rsidRPr="00F77F87">
        <w:t xml:space="preserve">Žadatel předloží projekt formou dvou oddělených identicky zaměřených žádostí, obě se všemi povinnými přílohami. Jednu žádost vypracuje pro cíl Konvergence a druhou pro cíl Regionální konkurenceschopnost a zaměstnanost. </w:t>
      </w:r>
    </w:p>
    <w:p w:rsidR="00E9149B" w:rsidRPr="00F77F87" w:rsidRDefault="00E9149B" w:rsidP="00E9149B">
      <w:pPr>
        <w:pStyle w:val="Prosttext"/>
        <w:numPr>
          <w:ilvl w:val="0"/>
          <w:numId w:val="7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F77F87">
        <w:t xml:space="preserve">Projekty musí být zaměřeny na využití kulturně-historického dědictví, přírodního bohatství, kulturního průmyslu a služeb za účelem vytvoření </w:t>
      </w:r>
      <w:r>
        <w:t xml:space="preserve">národního </w:t>
      </w:r>
      <w:r w:rsidRPr="00F77F87">
        <w:t xml:space="preserve">produktu cestovního ruchu </w:t>
      </w:r>
      <w:r w:rsidR="00680BAB">
        <w:t xml:space="preserve">alespoň </w:t>
      </w:r>
      <w:r w:rsidR="00680BAB" w:rsidRPr="00CE5A43">
        <w:t>v</w:t>
      </w:r>
      <w:r w:rsidR="00680BAB">
        <w:t xml:space="preserve"> jedné z</w:t>
      </w:r>
      <w:r w:rsidR="00680BAB" w:rsidRPr="00CE5A43">
        <w:t xml:space="preserve"> těchto for</w:t>
      </w:r>
      <w:r w:rsidR="00680BAB">
        <w:t>em</w:t>
      </w:r>
      <w:r w:rsidRPr="00F77F87">
        <w:t xml:space="preserve">: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městský cestovní ruch,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kulturní cestovní ruch (festivaly, folklor, tradice a gastronomie),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dovolená v přírodě,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>sportovní a aktivní dovolená,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lázeňský cestovní ruch,  </w:t>
      </w:r>
    </w:p>
    <w:p w:rsidR="00E9149B" w:rsidRPr="00F77F87" w:rsidRDefault="00E9149B" w:rsidP="00E9149B">
      <w:pPr>
        <w:pStyle w:val="odrky"/>
        <w:tabs>
          <w:tab w:val="clear" w:pos="1440"/>
          <w:tab w:val="num" w:pos="426"/>
          <w:tab w:val="num" w:pos="709"/>
        </w:tabs>
        <w:spacing w:before="60"/>
        <w:ind w:left="426" w:firstLine="0"/>
        <w:jc w:val="both"/>
      </w:pPr>
      <w:r w:rsidRPr="00F77F87">
        <w:t xml:space="preserve">kongresový a incentivní cestovní ruch.  </w:t>
      </w:r>
    </w:p>
    <w:p w:rsidR="00E9149B" w:rsidRPr="00F77F87" w:rsidRDefault="00E9149B" w:rsidP="00E9149B">
      <w:pPr>
        <w:pStyle w:val="Prosttext"/>
        <w:numPr>
          <w:ilvl w:val="0"/>
          <w:numId w:val="7"/>
        </w:numPr>
        <w:tabs>
          <w:tab w:val="clear" w:pos="1080"/>
          <w:tab w:val="num" w:pos="426"/>
        </w:tabs>
        <w:spacing w:before="120"/>
        <w:ind w:left="426" w:hanging="426"/>
        <w:jc w:val="both"/>
      </w:pPr>
      <w:r w:rsidRPr="00F77F87">
        <w:t xml:space="preserve">Nabídka atraktivit, služeb nebo zážitků ve vytvořeném produktu se musí nacházet v min. 4 regionech soudržnosti NUTS II. V každém z těchto regionů soudržnosti </w:t>
      </w:r>
      <w:r>
        <w:t xml:space="preserve"> </w:t>
      </w:r>
      <w:r w:rsidRPr="00F77F87">
        <w:t>NUTS II se musí nacházet minimálně j</w:t>
      </w:r>
      <w:r>
        <w:t>e</w:t>
      </w:r>
      <w:r w:rsidRPr="00F77F87">
        <w:t>dna atraktivita či služba, která bude částí celého produktu.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149B" w:rsidRPr="00886432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886432">
        <w:rPr>
          <w:b/>
          <w:bCs/>
          <w:sz w:val="28"/>
          <w:szCs w:val="28"/>
        </w:rPr>
        <w:t xml:space="preserve">Finanční objem výzvy:  </w:t>
      </w:r>
    </w:p>
    <w:tbl>
      <w:tblPr>
        <w:tblW w:w="9784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690"/>
        <w:gridCol w:w="1835"/>
        <w:gridCol w:w="1652"/>
        <w:gridCol w:w="1652"/>
        <w:gridCol w:w="1468"/>
      </w:tblGrid>
      <w:tr w:rsidR="00E9149B" w:rsidRPr="00886432" w:rsidTr="00AD0CF8">
        <w:trPr>
          <w:trHeight w:val="594"/>
        </w:trPr>
        <w:tc>
          <w:tcPr>
            <w:tcW w:w="31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Objem výzvy</w:t>
            </w:r>
          </w:p>
        </w:tc>
        <w:tc>
          <w:tcPr>
            <w:tcW w:w="51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Veřejné zdroje (95 %)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 xml:space="preserve">Vlastní zdroje žadatele </w:t>
            </w:r>
            <w:r w:rsidRPr="00886432">
              <w:rPr>
                <w:b/>
                <w:bCs/>
              </w:rPr>
              <w:br/>
              <w:t>(5 %)</w:t>
            </w:r>
          </w:p>
        </w:tc>
      </w:tr>
      <w:tr w:rsidR="00E9149B" w:rsidRPr="00886432" w:rsidTr="00AD0CF8">
        <w:trPr>
          <w:trHeight w:val="289"/>
        </w:trPr>
        <w:tc>
          <w:tcPr>
            <w:tcW w:w="31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Celkem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ERDF (85 %)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SR (15 %)</w:t>
            </w: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</w:p>
        </w:tc>
      </w:tr>
      <w:tr w:rsidR="00E9149B" w:rsidRPr="00886432" w:rsidTr="00AD0CF8">
        <w:trPr>
          <w:trHeight w:val="33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proofErr w:type="spellStart"/>
            <w:r w:rsidRPr="00886432">
              <w:rPr>
                <w:b/>
                <w:bCs/>
              </w:rPr>
              <w:t>RKaZ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</w:pPr>
            <w:r>
              <w:t>11 278 195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10 714 286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9 107 143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1 607 143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563 910</w:t>
            </w:r>
          </w:p>
        </w:tc>
      </w:tr>
      <w:tr w:rsidR="00E9149B" w:rsidRPr="00886432" w:rsidTr="00AD0CF8">
        <w:trPr>
          <w:trHeight w:val="369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Konvergence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</w:pPr>
            <w:r>
              <w:t>146 616 541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139 285 714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118 392 857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20 892 857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7 330 827</w:t>
            </w:r>
          </w:p>
        </w:tc>
      </w:tr>
      <w:tr w:rsidR="00E9149B" w:rsidRPr="00886432" w:rsidTr="00AD0CF8">
        <w:trPr>
          <w:trHeight w:val="353"/>
        </w:trPr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  <w:rPr>
                <w:b/>
                <w:bCs/>
              </w:rPr>
            </w:pPr>
            <w:r w:rsidRPr="00886432">
              <w:rPr>
                <w:b/>
                <w:bCs/>
              </w:rPr>
              <w:t>Celkem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149B" w:rsidRPr="00886432" w:rsidRDefault="00E9149B" w:rsidP="00AD0CF8">
            <w:pPr>
              <w:jc w:val="center"/>
            </w:pPr>
            <w:r>
              <w:t>157 894 737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150 000 000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127 500 000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22 500 000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49B" w:rsidRPr="00886432" w:rsidRDefault="00E9149B" w:rsidP="00AD0CF8">
            <w:pPr>
              <w:jc w:val="center"/>
            </w:pPr>
            <w:r>
              <w:t>7 894 737</w:t>
            </w:r>
          </w:p>
        </w:tc>
      </w:tr>
    </w:tbl>
    <w:p w:rsidR="00E9149B" w:rsidRPr="00886432" w:rsidRDefault="00E9149B" w:rsidP="00E9149B">
      <w:pPr>
        <w:autoSpaceDE w:val="0"/>
        <w:autoSpaceDN w:val="0"/>
        <w:adjustRightInd w:val="0"/>
        <w:jc w:val="both"/>
      </w:pP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Forma podpory: </w:t>
      </w:r>
    </w:p>
    <w:p w:rsidR="00E9149B" w:rsidRPr="00F701FC" w:rsidRDefault="00E9149B" w:rsidP="00E9149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701FC">
        <w:t xml:space="preserve">Dotace.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</w:rPr>
      </w:pPr>
    </w:p>
    <w:p w:rsidR="0023635A" w:rsidRDefault="0023635A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Výše podpory: </w:t>
      </w:r>
    </w:p>
    <w:p w:rsidR="00E9149B" w:rsidRDefault="00E9149B" w:rsidP="00E9149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701FC">
        <w:t xml:space="preserve">Podíl </w:t>
      </w:r>
      <w:r>
        <w:t xml:space="preserve">veřejných zdrojů činí 95 % celkových způsobilých výdajů (z toho 85 % tvoří ERDF a 15 % činí státní rozpočet ČR). </w:t>
      </w:r>
    </w:p>
    <w:p w:rsidR="00E9149B" w:rsidRDefault="00E9149B" w:rsidP="00E9149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Podíl financování ze zdrojů žadatele činí 5 % celkových způsobilých výdajů.</w:t>
      </w:r>
    </w:p>
    <w:p w:rsidR="00E9149B" w:rsidRPr="00F701FC" w:rsidRDefault="00E9149B" w:rsidP="00E9149B">
      <w:pPr>
        <w:autoSpaceDE w:val="0"/>
        <w:autoSpaceDN w:val="0"/>
        <w:adjustRightInd w:val="0"/>
        <w:jc w:val="both"/>
      </w:pPr>
      <w:r w:rsidRPr="00F701FC">
        <w:t xml:space="preserve">  </w:t>
      </w:r>
    </w:p>
    <w:p w:rsidR="0023635A" w:rsidRDefault="0023635A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Hranice celkových způsobilých výdajů projektu: </w:t>
      </w:r>
    </w:p>
    <w:p w:rsidR="00E9149B" w:rsidRPr="00F701FC" w:rsidRDefault="00E9149B" w:rsidP="00E9149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701FC">
        <w:t xml:space="preserve">Minimální výše celkových způsobilých výdajů celkem za obě projektové žádosti </w:t>
      </w:r>
      <w:r>
        <w:br/>
      </w:r>
      <w:r w:rsidRPr="00F701FC">
        <w:t xml:space="preserve">je </w:t>
      </w:r>
      <w:r w:rsidRPr="005239D3">
        <w:rPr>
          <w:b/>
        </w:rPr>
        <w:t>20 000 000</w:t>
      </w:r>
      <w:r w:rsidR="00AD0CF8">
        <w:t>,- Kč.</w:t>
      </w:r>
    </w:p>
    <w:p w:rsidR="00E9149B" w:rsidRPr="00CA2EAF" w:rsidRDefault="00E9149B" w:rsidP="00E9149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CA2EAF">
        <w:t xml:space="preserve">Maximální výše celkových způsobilých výdajů celkem za obě projektové žádosti </w:t>
      </w:r>
      <w:r w:rsidRPr="00CA2EAF">
        <w:br/>
      </w:r>
      <w:r w:rsidRPr="005239D3">
        <w:rPr>
          <w:b/>
        </w:rPr>
        <w:t>není stanovena</w:t>
      </w:r>
      <w:r>
        <w:t>.</w:t>
      </w:r>
    </w:p>
    <w:p w:rsidR="00E9149B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Ukončení realizace projektu: </w:t>
      </w:r>
    </w:p>
    <w:p w:rsidR="00E9149B" w:rsidRPr="00A30F01" w:rsidRDefault="00E9149B" w:rsidP="00E9149B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A30F01">
        <w:t xml:space="preserve">Realizace projektu musí být ukončena </w:t>
      </w:r>
      <w:r w:rsidRPr="00886432">
        <w:t xml:space="preserve">nejpozději </w:t>
      </w:r>
      <w:r w:rsidRPr="005239D3">
        <w:rPr>
          <w:b/>
        </w:rPr>
        <w:t xml:space="preserve">31. </w:t>
      </w:r>
      <w:r w:rsidR="0023635A">
        <w:rPr>
          <w:b/>
        </w:rPr>
        <w:t>prosince</w:t>
      </w:r>
      <w:r w:rsidRPr="005239D3">
        <w:rPr>
          <w:b/>
        </w:rPr>
        <w:t xml:space="preserve"> 2015</w:t>
      </w:r>
      <w:r w:rsidRPr="00A30F01">
        <w:t xml:space="preserve">. </w:t>
      </w:r>
    </w:p>
    <w:p w:rsidR="00E9149B" w:rsidRPr="00F701FC" w:rsidRDefault="00E9149B" w:rsidP="00E9149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F701FC">
        <w:t xml:space="preserve">Realizace projektu nesmí být ukončena před vydáním </w:t>
      </w:r>
      <w:r>
        <w:t xml:space="preserve">prvního </w:t>
      </w:r>
      <w:r w:rsidRPr="00F701FC">
        <w:t>Rozhodnutí o poskytnutí dotace.</w:t>
      </w:r>
    </w:p>
    <w:p w:rsidR="00E9149B" w:rsidRPr="00F701FC" w:rsidRDefault="00E9149B" w:rsidP="00E9149B">
      <w:pPr>
        <w:jc w:val="both"/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Územní zaměření podpory: </w:t>
      </w:r>
    </w:p>
    <w:p w:rsidR="00E9149B" w:rsidRPr="00F701FC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t xml:space="preserve">Projekty budou realizovány na území České republiky, avšak některé jeho aktivity mohou být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t xml:space="preserve">realizovány i v zahraničí (např. účast na veletrzích, propagační kampaně apod.) s cílem zabezpečit propagaci ČR jako destinace cestovního ruchu. 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proofErr w:type="spellStart"/>
      <w:r w:rsidRPr="000A7B29">
        <w:rPr>
          <w:b/>
          <w:bCs/>
          <w:sz w:val="28"/>
          <w:szCs w:val="28"/>
        </w:rPr>
        <w:t>Vícecílovost</w:t>
      </w:r>
      <w:proofErr w:type="spellEnd"/>
      <w:r w:rsidRPr="000A7B29">
        <w:rPr>
          <w:b/>
          <w:bCs/>
          <w:sz w:val="28"/>
          <w:szCs w:val="28"/>
        </w:rPr>
        <w:t>:</w:t>
      </w:r>
    </w:p>
    <w:p w:rsidR="00E9149B" w:rsidRDefault="00E9149B" w:rsidP="00E9149B">
      <w:pPr>
        <w:autoSpaceDE w:val="0"/>
        <w:autoSpaceDN w:val="0"/>
        <w:adjustRightInd w:val="0"/>
        <w:jc w:val="both"/>
      </w:pPr>
      <w:r>
        <w:t xml:space="preserve">Aktivita, podporovaná v této výzvě, </w:t>
      </w:r>
      <w:r w:rsidRPr="009C7004">
        <w:t>bud</w:t>
      </w:r>
      <w:r>
        <w:t>e</w:t>
      </w:r>
      <w:r w:rsidRPr="009C7004">
        <w:t xml:space="preserve"> realizován</w:t>
      </w:r>
      <w:r>
        <w:t>a</w:t>
      </w:r>
      <w:r w:rsidR="00B76247">
        <w:t xml:space="preserve"> na celém území ČR</w:t>
      </w:r>
      <w:r w:rsidR="00B76247">
        <w:t xml:space="preserve"> (včetně možnosti realizace aktivit projektu na území hl. m. Prahy</w:t>
      </w:r>
      <w:r w:rsidR="00B76247">
        <w:t>)</w:t>
      </w:r>
      <w:r w:rsidRPr="009C7004">
        <w:t xml:space="preserve">. </w:t>
      </w:r>
      <w:r>
        <w:t>Aktivita</w:t>
      </w:r>
      <w:r w:rsidRPr="0089229A">
        <w:t xml:space="preserve"> </w:t>
      </w:r>
      <w:r>
        <w:t xml:space="preserve">bude </w:t>
      </w:r>
      <w:r w:rsidRPr="0089229A">
        <w:t>realizován</w:t>
      </w:r>
      <w:r>
        <w:t>a</w:t>
      </w:r>
      <w:r w:rsidRPr="0089229A">
        <w:t xml:space="preserve"> prostřednictvím </w:t>
      </w:r>
      <w:r w:rsidRPr="00772ADB">
        <w:rPr>
          <w:b/>
        </w:rPr>
        <w:t xml:space="preserve">dvou identicky zaměřených oddělených projektů </w:t>
      </w:r>
      <w:r w:rsidRPr="0089229A">
        <w:t xml:space="preserve">za cíl Konvergence a za cíl </w:t>
      </w:r>
      <w:proofErr w:type="spellStart"/>
      <w:r w:rsidRPr="0089229A">
        <w:t>RKaZ</w:t>
      </w:r>
      <w:proofErr w:type="spellEnd"/>
      <w:r>
        <w:t>.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149B" w:rsidRPr="00237F9E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>Typ podpory:</w:t>
      </w:r>
      <w:r w:rsidRPr="00237F9E">
        <w:rPr>
          <w:b/>
          <w:bCs/>
          <w:sz w:val="28"/>
          <w:szCs w:val="28"/>
        </w:rPr>
        <w:t xml:space="preserve">  </w:t>
      </w:r>
    </w:p>
    <w:p w:rsidR="00E9149B" w:rsidRPr="00F701FC" w:rsidRDefault="00E9149B" w:rsidP="00E9149B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Individuální projekty.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149B" w:rsidRPr="000A7B29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Způsobilé výdaje: </w:t>
      </w:r>
    </w:p>
    <w:p w:rsidR="00AD0CF8" w:rsidRPr="00670C3C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BB2EDF">
        <w:t>pořízení drobného hmotného a nehmotného majetku so</w:t>
      </w:r>
      <w:r>
        <w:t>uvisejícího s aktivitami projektu</w:t>
      </w:r>
      <w:r w:rsidRPr="00BB2EDF">
        <w:t xml:space="preserve"> (HW a SW),</w:t>
      </w:r>
    </w:p>
    <w:p w:rsidR="00AD0CF8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BB2EDF">
        <w:t>nákup služeb bezprostředně souvisejících s realizací</w:t>
      </w:r>
      <w:r w:rsidRPr="00D40D7D">
        <w:t xml:space="preserve"> projektu</w:t>
      </w:r>
      <w:r>
        <w:t>:</w:t>
      </w:r>
    </w:p>
    <w:p w:rsidR="00AD0CF8" w:rsidRDefault="00AD0CF8" w:rsidP="0023635A">
      <w:pPr>
        <w:numPr>
          <w:ilvl w:val="1"/>
          <w:numId w:val="1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60"/>
        <w:ind w:left="709" w:hanging="283"/>
        <w:jc w:val="both"/>
        <w:textAlignment w:val="baseline"/>
      </w:pPr>
      <w:r>
        <w:t>podklady pro hodnocení kvality projektu,</w:t>
      </w:r>
    </w:p>
    <w:p w:rsidR="00AD0CF8" w:rsidRDefault="00AD0CF8" w:rsidP="0023635A">
      <w:pPr>
        <w:numPr>
          <w:ilvl w:val="1"/>
          <w:numId w:val="1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60"/>
        <w:ind w:left="709" w:hanging="283"/>
        <w:jc w:val="both"/>
        <w:textAlignment w:val="baseline"/>
      </w:pPr>
      <w:r w:rsidRPr="00E11347">
        <w:t>zadávací/výběrová řízení (zpracování předmětu zakázky, poradenství ve věci zadávacích/výběrových řízení, uveřejnění zadávacího/výběrového řízení),</w:t>
      </w:r>
    </w:p>
    <w:p w:rsidR="00AD0CF8" w:rsidRDefault="00AD0CF8" w:rsidP="0023635A">
      <w:pPr>
        <w:numPr>
          <w:ilvl w:val="1"/>
          <w:numId w:val="12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60"/>
        <w:ind w:left="709" w:hanging="283"/>
        <w:jc w:val="both"/>
        <w:textAlignment w:val="baseline"/>
      </w:pPr>
      <w:r w:rsidRPr="00E11347">
        <w:t>vytvoření produktu CR</w:t>
      </w:r>
      <w:r>
        <w:t>,</w:t>
      </w:r>
    </w:p>
    <w:p w:rsidR="00AD0CF8" w:rsidRPr="00670C3C" w:rsidRDefault="00AD0CF8" w:rsidP="0023635A">
      <w:pPr>
        <w:pStyle w:val="Odstavecseseznamem"/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 výroby</w:t>
      </w:r>
      <w:r w:rsidRPr="00E5472C">
        <w:rPr>
          <w:rFonts w:ascii="Times New Roman" w:hAnsi="Times New Roman" w:cs="Times New Roman"/>
          <w:sz w:val="24"/>
          <w:szCs w:val="24"/>
        </w:rPr>
        <w:t xml:space="preserve"> nebo pořízení filmových produktů a n</w:t>
      </w:r>
      <w:r>
        <w:rPr>
          <w:rFonts w:ascii="Times New Roman" w:hAnsi="Times New Roman" w:cs="Times New Roman"/>
          <w:sz w:val="24"/>
          <w:szCs w:val="24"/>
        </w:rPr>
        <w:t>ásledném nákupu vysílacího času</w:t>
      </w:r>
      <w:r w:rsidRPr="00E5472C">
        <w:rPr>
          <w:rFonts w:ascii="Times New Roman" w:hAnsi="Times New Roman" w:cs="Times New Roman"/>
          <w:sz w:val="24"/>
          <w:szCs w:val="24"/>
        </w:rPr>
        <w:t xml:space="preserve"> je možné uplatnit výjimku dle §18 odst. 2 písm. d) zákona 137/200</w:t>
      </w:r>
      <w:r w:rsidR="00440F1F">
        <w:rPr>
          <w:rFonts w:ascii="Times New Roman" w:hAnsi="Times New Roman" w:cs="Times New Roman"/>
          <w:sz w:val="24"/>
          <w:szCs w:val="24"/>
        </w:rPr>
        <w:t>6</w:t>
      </w:r>
      <w:r w:rsidRPr="00E5472C">
        <w:rPr>
          <w:rFonts w:ascii="Times New Roman" w:hAnsi="Times New Roman" w:cs="Times New Roman"/>
          <w:sz w:val="24"/>
          <w:szCs w:val="24"/>
        </w:rPr>
        <w:t xml:space="preserve"> Sb. pouze na samotný nákup vysílacího času v daném médiu. Pořízení a výroba filmového materiálu podléhá pravidlům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5472C">
        <w:rPr>
          <w:rFonts w:ascii="Times New Roman" w:hAnsi="Times New Roman" w:cs="Times New Roman"/>
          <w:sz w:val="24"/>
          <w:szCs w:val="24"/>
        </w:rPr>
        <w:t>ostup</w:t>
      </w:r>
      <w:r>
        <w:rPr>
          <w:rFonts w:ascii="Times New Roman" w:hAnsi="Times New Roman" w:cs="Times New Roman"/>
          <w:sz w:val="24"/>
          <w:szCs w:val="24"/>
        </w:rPr>
        <w:t>ům</w:t>
      </w:r>
      <w:r w:rsidRPr="00E5472C">
        <w:rPr>
          <w:rFonts w:ascii="Times New Roman" w:hAnsi="Times New Roman" w:cs="Times New Roman"/>
          <w:sz w:val="24"/>
          <w:szCs w:val="24"/>
        </w:rPr>
        <w:t xml:space="preserve"> pro zadávání veřejných zakázek dle zákona č. 137/2006 Sb., o veřejných zakázkách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0CF8" w:rsidRPr="00384105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E11347">
        <w:t xml:space="preserve">osobní náklady </w:t>
      </w:r>
      <w:r>
        <w:t>manažera projektu, max. 1 přepočtený pracovní úvazek, max. 2 pracovníci,</w:t>
      </w:r>
    </w:p>
    <w:p w:rsidR="006C5C9F" w:rsidRPr="00E3477F" w:rsidRDefault="006C5C9F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384105">
        <w:t>výdaje na povinnou</w:t>
      </w:r>
      <w:r>
        <w:t xml:space="preserve"> </w:t>
      </w:r>
      <w:bookmarkStart w:id="0" w:name="_GoBack"/>
      <w:bookmarkEnd w:id="0"/>
      <w:r w:rsidRPr="00384105">
        <w:t>publicitu projektů</w:t>
      </w:r>
      <w:r>
        <w:t>,</w:t>
      </w:r>
      <w:r w:rsidRPr="00384105">
        <w:t xml:space="preserve"> vyplývající z Pravidel pro provádění informačních a propagačních opatření </w:t>
      </w:r>
      <w:r>
        <w:t xml:space="preserve">(viz příloha </w:t>
      </w:r>
      <w:r w:rsidRPr="00E3477F">
        <w:t>č. 5 Pravidla pro provádění informačních a propagačních opatření a manuál vizuální identity IOP</w:t>
      </w:r>
      <w:r>
        <w:t>)</w:t>
      </w:r>
    </w:p>
    <w:p w:rsidR="00AD0CF8" w:rsidRPr="00384105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384105">
        <w:t>daň z přidané hodnoty u neplátců DPH,</w:t>
      </w:r>
    </w:p>
    <w:p w:rsidR="00AD0CF8" w:rsidRDefault="00AD0CF8" w:rsidP="0023635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</w:pPr>
      <w:r w:rsidRPr="00E00908">
        <w:t>daň z přidané hodnoty</w:t>
      </w:r>
      <w:r>
        <w:t xml:space="preserve"> u plátců DPH, </w:t>
      </w:r>
      <w:r w:rsidRPr="00021375">
        <w:t>pokud neexistuje zákonný nárok na její odpočet ve smyslu zákona č. 235/2004 Sb., o dani z přidané hodnoty</w:t>
      </w:r>
      <w:r w:rsidRPr="00693A0F">
        <w:t xml:space="preserve">.  </w:t>
      </w:r>
    </w:p>
    <w:p w:rsidR="003356B7" w:rsidRDefault="003356B7" w:rsidP="00E9149B">
      <w:pPr>
        <w:autoSpaceDE w:val="0"/>
        <w:autoSpaceDN w:val="0"/>
        <w:adjustRightInd w:val="0"/>
        <w:jc w:val="both"/>
        <w:rPr>
          <w:color w:val="000000"/>
        </w:rPr>
      </w:pPr>
    </w:p>
    <w:p w:rsidR="00E9149B" w:rsidRPr="00F701FC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t>Způsobilé výdaje musí být v souladu s příslušnými předpisy E</w:t>
      </w:r>
      <w:r>
        <w:rPr>
          <w:color w:val="000000"/>
        </w:rPr>
        <w:t>U</w:t>
      </w:r>
      <w:r w:rsidRPr="00F701FC">
        <w:rPr>
          <w:color w:val="000000"/>
        </w:rPr>
        <w:t xml:space="preserve">, např. článek 56 nařízení </w:t>
      </w:r>
      <w:r>
        <w:rPr>
          <w:color w:val="000000"/>
        </w:rPr>
        <w:br/>
      </w:r>
      <w:r w:rsidRPr="00F701FC">
        <w:rPr>
          <w:color w:val="000000"/>
        </w:rPr>
        <w:t>č. 1083/2006,</w:t>
      </w:r>
      <w:r>
        <w:rPr>
          <w:color w:val="000000"/>
        </w:rPr>
        <w:t xml:space="preserve"> </w:t>
      </w:r>
      <w:r w:rsidRPr="00F701FC">
        <w:rPr>
          <w:color w:val="000000"/>
        </w:rPr>
        <w:t>článek 7 nařízení č. 1080/2006, a Pravidly způsobilých výdajů pro programy spolufinancované ze strukturálních fondů a Fondu soudržnosti na programové období 2007–</w:t>
      </w:r>
    </w:p>
    <w:p w:rsidR="00E9149B" w:rsidRPr="00F701FC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lastRenderedPageBreak/>
        <w:t xml:space="preserve">2013“ – usnesení vlády č. 61/2007.  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</w:p>
    <w:p w:rsidR="00E9149B" w:rsidRDefault="00E9149B" w:rsidP="00E9149B">
      <w:pPr>
        <w:autoSpaceDE w:val="0"/>
        <w:autoSpaceDN w:val="0"/>
        <w:adjustRightInd w:val="0"/>
        <w:jc w:val="both"/>
        <w:rPr>
          <w:color w:val="000000"/>
        </w:rPr>
      </w:pPr>
      <w:r w:rsidRPr="00F701FC">
        <w:rPr>
          <w:color w:val="000000"/>
        </w:rPr>
        <w:t xml:space="preserve">Výdaje jsou způsobilé od </w:t>
      </w:r>
      <w:r>
        <w:rPr>
          <w:color w:val="000000"/>
        </w:rPr>
        <w:t xml:space="preserve">1. ledna </w:t>
      </w:r>
      <w:r w:rsidRPr="00F701FC">
        <w:rPr>
          <w:color w:val="000000"/>
        </w:rPr>
        <w:t>20</w:t>
      </w:r>
      <w:r>
        <w:rPr>
          <w:color w:val="000000"/>
        </w:rPr>
        <w:t>07.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>Pravidla pro zadávání veřejných zakázek:</w:t>
      </w:r>
    </w:p>
    <w:p w:rsidR="00E9149B" w:rsidRPr="00D72B6B" w:rsidRDefault="00E9149B" w:rsidP="00E9149B">
      <w:pPr>
        <w:autoSpaceDE w:val="0"/>
        <w:autoSpaceDN w:val="0"/>
        <w:adjustRightInd w:val="0"/>
        <w:spacing w:before="120"/>
        <w:jc w:val="both"/>
      </w:pPr>
      <w:r w:rsidRPr="00BC5A26">
        <w:rPr>
          <w:snapToGrid w:val="0"/>
        </w:rPr>
        <w:t>Při zadávání veřejných zakázek je žadatel/příjemce povinen se řídit zákonem č. 137/2006 Sb., o veřejných zakázkách, resp.</w:t>
      </w:r>
      <w:r>
        <w:rPr>
          <w:snapToGrid w:val="0"/>
        </w:rPr>
        <w:t xml:space="preserve"> </w:t>
      </w:r>
      <w:r w:rsidRPr="00D72B6B">
        <w:t xml:space="preserve">Závaznými postupy pro zadávání zakázek spolufinancovaných ze zdrojů EU, nespadajících pod aplikaci zákona č. 137/2006 Sb., o veřejných zakázkách, v programovém období 2007-2013. </w:t>
      </w:r>
      <w:r>
        <w:t xml:space="preserve">Bližší informace o zadávání zakázek naleznete v </w:t>
      </w:r>
      <w:r w:rsidRPr="00D72B6B">
        <w:t>Příruč</w:t>
      </w:r>
      <w:r>
        <w:t>ce</w:t>
      </w:r>
      <w:r w:rsidRPr="00D72B6B">
        <w:t xml:space="preserve"> pro žadatele a příjemce</w:t>
      </w:r>
      <w:r>
        <w:t>, kapitola 7.</w:t>
      </w:r>
      <w:r w:rsidR="00DD6913">
        <w:t>6</w:t>
      </w:r>
      <w:r>
        <w:t xml:space="preserve"> Podmínky pro zadávání zakázek</w:t>
      </w:r>
      <w:r w:rsidRPr="00D72B6B">
        <w:t>.</w:t>
      </w: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</w:rPr>
      </w:pPr>
    </w:p>
    <w:p w:rsidR="00E9149B" w:rsidRDefault="00E9149B" w:rsidP="00E9149B">
      <w:pPr>
        <w:autoSpaceDE w:val="0"/>
        <w:autoSpaceDN w:val="0"/>
        <w:adjustRightInd w:val="0"/>
        <w:jc w:val="both"/>
        <w:rPr>
          <w:b/>
        </w:rPr>
      </w:pPr>
      <w:r w:rsidRPr="000A7B29">
        <w:rPr>
          <w:b/>
          <w:bCs/>
          <w:sz w:val="28"/>
          <w:szCs w:val="28"/>
        </w:rPr>
        <w:t>Veřejná podpora:</w:t>
      </w:r>
    </w:p>
    <w:p w:rsidR="00E9149B" w:rsidRPr="00D72B6B" w:rsidRDefault="00E9149B" w:rsidP="00E9149B">
      <w:p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D72B6B">
        <w:rPr>
          <w:bCs/>
          <w:color w:val="000000"/>
        </w:rPr>
        <w:t>Podporovány budou projekty, které nezakládají nedovolenou veřejnou podporu</w:t>
      </w:r>
      <w:r w:rsidRPr="00F82E98">
        <w:rPr>
          <w:rFonts w:ascii="Garamond" w:hAnsi="Garamond" w:cs="Garamond"/>
          <w:sz w:val="22"/>
          <w:szCs w:val="22"/>
        </w:rPr>
        <w:t xml:space="preserve"> </w:t>
      </w:r>
      <w:r>
        <w:t xml:space="preserve">(viz </w:t>
      </w:r>
      <w:r w:rsidRPr="00F82E98">
        <w:rPr>
          <w:bCs/>
          <w:color w:val="000000"/>
        </w:rPr>
        <w:t xml:space="preserve">čl. </w:t>
      </w:r>
      <w:r w:rsidR="00447919">
        <w:rPr>
          <w:bCs/>
          <w:color w:val="000000"/>
        </w:rPr>
        <w:t>10</w:t>
      </w:r>
      <w:r w:rsidRPr="00F82E98">
        <w:rPr>
          <w:bCs/>
          <w:color w:val="000000"/>
        </w:rPr>
        <w:t xml:space="preserve">7 odst. 1 Smlouvy o </w:t>
      </w:r>
      <w:r w:rsidR="00447919">
        <w:rPr>
          <w:bCs/>
          <w:color w:val="000000"/>
        </w:rPr>
        <w:t>fungování EU</w:t>
      </w:r>
      <w:r>
        <w:rPr>
          <w:bCs/>
          <w:color w:val="000000"/>
        </w:rPr>
        <w:t>)</w:t>
      </w:r>
      <w:r w:rsidRPr="00D72B6B">
        <w:rPr>
          <w:bCs/>
          <w:color w:val="000000"/>
        </w:rPr>
        <w:t>.</w:t>
      </w: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 xml:space="preserve">Forma a způsob podání žádosti o dotaci: </w:t>
      </w:r>
    </w:p>
    <w:p w:rsidR="00E9149B" w:rsidRPr="00F701FC" w:rsidRDefault="00E9149B" w:rsidP="00E9149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F701FC">
        <w:rPr>
          <w:color w:val="000000"/>
        </w:rPr>
        <w:t xml:space="preserve">Žadatel podává projektovou žádost prostřednictvím aplikace </w:t>
      </w:r>
      <w:r w:rsidRPr="00F701FC">
        <w:rPr>
          <w:b/>
          <w:bCs/>
          <w:color w:val="000000"/>
        </w:rPr>
        <w:t>Benefit7</w:t>
      </w:r>
      <w:r w:rsidRPr="00F701FC">
        <w:rPr>
          <w:color w:val="000000"/>
        </w:rPr>
        <w:t xml:space="preserve">. Formulář projektové žádosti je k dispozici na webové adrese </w:t>
      </w:r>
      <w:hyperlink r:id="rId8" w:history="1">
        <w:r w:rsidRPr="004B4B26">
          <w:rPr>
            <w:rStyle w:val="Hypertextovodkaz"/>
            <w:b/>
            <w:bCs/>
          </w:rPr>
          <w:t>www.eu-zadost.cz</w:t>
        </w:r>
      </w:hyperlink>
      <w:r>
        <w:rPr>
          <w:b/>
          <w:bCs/>
          <w:color w:val="0000FF"/>
        </w:rPr>
        <w:t xml:space="preserve"> </w:t>
      </w:r>
      <w:r w:rsidRPr="00F701FC">
        <w:rPr>
          <w:color w:val="000000"/>
        </w:rPr>
        <w:t xml:space="preserve">.  </w:t>
      </w:r>
    </w:p>
    <w:p w:rsidR="00E9149B" w:rsidRDefault="00E9149B" w:rsidP="00E9149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F701FC">
        <w:rPr>
          <w:color w:val="000000"/>
        </w:rPr>
        <w:t>Žadatel musí vypracovat a předložit dvě oddělené identicky zaměřené žádosti, jednu pro cíl Konvergence a druhou pro cíl Regionální konkurenceschopnost a zaměstnanost.</w:t>
      </w:r>
    </w:p>
    <w:p w:rsidR="00E9149B" w:rsidRPr="003378D0" w:rsidRDefault="00E9149B" w:rsidP="00E9149B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 w:rsidRPr="003378D0">
        <w:rPr>
          <w:b/>
          <w:bCs/>
          <w:color w:val="000000"/>
        </w:rPr>
        <w:t>Tišt</w:t>
      </w:r>
      <w:r w:rsidRPr="003378D0">
        <w:rPr>
          <w:b/>
          <w:color w:val="000000"/>
        </w:rPr>
        <w:t>ě</w:t>
      </w:r>
      <w:r w:rsidRPr="003378D0">
        <w:rPr>
          <w:b/>
          <w:bCs/>
          <w:color w:val="000000"/>
        </w:rPr>
        <w:t>nou verzi projektových žádostí fináln</w:t>
      </w:r>
      <w:r w:rsidRPr="003378D0">
        <w:rPr>
          <w:b/>
          <w:color w:val="000000"/>
        </w:rPr>
        <w:t>ě</w:t>
      </w:r>
      <w:r w:rsidRPr="003378D0">
        <w:rPr>
          <w:b/>
          <w:bCs/>
          <w:color w:val="000000"/>
        </w:rPr>
        <w:t xml:space="preserve"> uložených v aplikaci Benefit7 bud</w:t>
      </w:r>
      <w:r>
        <w:rPr>
          <w:b/>
          <w:bCs/>
          <w:color w:val="000000"/>
        </w:rPr>
        <w:t>e</w:t>
      </w:r>
      <w:r w:rsidRPr="003378D0">
        <w:rPr>
          <w:b/>
          <w:color w:val="000000"/>
        </w:rPr>
        <w:t xml:space="preserve"> </w:t>
      </w:r>
      <w:r w:rsidRPr="003378D0">
        <w:rPr>
          <w:b/>
          <w:bCs/>
          <w:color w:val="000000"/>
        </w:rPr>
        <w:t xml:space="preserve">od </w:t>
      </w:r>
      <w:r w:rsidR="00AD0CF8">
        <w:rPr>
          <w:b/>
          <w:bCs/>
          <w:color w:val="000000"/>
        </w:rPr>
        <w:br/>
      </w:r>
      <w:r>
        <w:rPr>
          <w:b/>
          <w:bCs/>
          <w:color w:val="000000"/>
        </w:rPr>
        <w:t>2</w:t>
      </w:r>
      <w:r w:rsidR="0062152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června 2014 do </w:t>
      </w:r>
      <w:r w:rsidR="00621523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621523">
        <w:rPr>
          <w:b/>
          <w:bCs/>
          <w:color w:val="000000"/>
        </w:rPr>
        <w:t xml:space="preserve">října </w:t>
      </w:r>
      <w:r>
        <w:rPr>
          <w:b/>
          <w:bCs/>
          <w:color w:val="000000"/>
        </w:rPr>
        <w:t>2014 14:00 hodin</w:t>
      </w:r>
      <w:r w:rsidR="00AD0CF8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3378D0">
        <w:rPr>
          <w:b/>
          <w:bCs/>
          <w:color w:val="000000"/>
        </w:rPr>
        <w:t>p</w:t>
      </w:r>
      <w:r w:rsidRPr="003378D0">
        <w:rPr>
          <w:b/>
          <w:color w:val="000000"/>
        </w:rPr>
        <w:t>ř</w:t>
      </w:r>
      <w:r w:rsidRPr="003378D0">
        <w:rPr>
          <w:b/>
          <w:bCs/>
          <w:color w:val="000000"/>
        </w:rPr>
        <w:t xml:space="preserve">ijímat </w:t>
      </w:r>
      <w:r w:rsidRPr="001D3E8F">
        <w:rPr>
          <w:b/>
          <w:bCs/>
          <w:color w:val="000000"/>
        </w:rPr>
        <w:t>Hlavní kancelář Centra pro regionální rozvoj ČR se sídlem v Praze 2, Vinohradská 46.</w:t>
      </w:r>
      <w:r w:rsidRPr="003378D0">
        <w:rPr>
          <w:b/>
          <w:bCs/>
          <w:color w:val="000000"/>
        </w:rPr>
        <w:t xml:space="preserve"> </w:t>
      </w: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149B" w:rsidRPr="000A7B29" w:rsidRDefault="00E9149B" w:rsidP="00E914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7B29">
        <w:rPr>
          <w:b/>
          <w:bCs/>
          <w:sz w:val="28"/>
          <w:szCs w:val="28"/>
        </w:rPr>
        <w:t>Příručka pro žadatele a příjemce</w:t>
      </w:r>
      <w:r w:rsidRPr="004F7C26">
        <w:rPr>
          <w:color w:val="000000"/>
        </w:rPr>
        <w:t xml:space="preserve"> </w:t>
      </w:r>
      <w:r w:rsidRPr="004F7C26">
        <w:rPr>
          <w:b/>
          <w:bCs/>
          <w:sz w:val="28"/>
          <w:szCs w:val="28"/>
        </w:rPr>
        <w:t>pro prioritní osy 4a, 4b: Národní podpora cestovního ruchu</w:t>
      </w:r>
      <w:r w:rsidRPr="000A7B29">
        <w:rPr>
          <w:b/>
          <w:bCs/>
          <w:sz w:val="28"/>
          <w:szCs w:val="28"/>
        </w:rPr>
        <w:t xml:space="preserve">:  </w:t>
      </w:r>
    </w:p>
    <w:p w:rsidR="00E9149B" w:rsidRPr="00F701FC" w:rsidRDefault="00E9149B" w:rsidP="00E9149B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Žadatelé se musí řídit </w:t>
      </w:r>
      <w:r w:rsidR="00AD0CF8">
        <w:rPr>
          <w:color w:val="000000"/>
        </w:rPr>
        <w:t xml:space="preserve">aktuální verzí </w:t>
      </w:r>
      <w:r w:rsidRPr="00F701FC">
        <w:rPr>
          <w:color w:val="000000"/>
        </w:rPr>
        <w:t>Příručk</w:t>
      </w:r>
      <w:r w:rsidR="00AD0CF8">
        <w:rPr>
          <w:color w:val="000000"/>
        </w:rPr>
        <w:t>y</w:t>
      </w:r>
      <w:r w:rsidRPr="00F701FC">
        <w:rPr>
          <w:color w:val="000000"/>
        </w:rPr>
        <w:t xml:space="preserve"> pro žadatele a příjemce</w:t>
      </w:r>
      <w:r w:rsidRPr="0031206B">
        <w:rPr>
          <w:b/>
          <w:color w:val="000000"/>
        </w:rPr>
        <w:t xml:space="preserve"> </w:t>
      </w:r>
      <w:r w:rsidRPr="004F7C26">
        <w:rPr>
          <w:color w:val="000000"/>
        </w:rPr>
        <w:t>pro prioritní osy 4a, 4b: N</w:t>
      </w:r>
      <w:r w:rsidR="00AD0CF8">
        <w:rPr>
          <w:color w:val="000000"/>
        </w:rPr>
        <w:t>árodní podpora cestovního ruchu.</w:t>
      </w:r>
    </w:p>
    <w:p w:rsidR="00E9149B" w:rsidRPr="00F701FC" w:rsidRDefault="00E9149B" w:rsidP="00E9149B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</w:rPr>
      </w:pPr>
      <w:r w:rsidRPr="00F701FC">
        <w:rPr>
          <w:color w:val="000000"/>
        </w:rPr>
        <w:t>Další informace naleznete v</w:t>
      </w:r>
      <w:r w:rsidRPr="00F701FC">
        <w:rPr>
          <w:b/>
          <w:bCs/>
          <w:color w:val="000000"/>
        </w:rPr>
        <w:t xml:space="preserve"> </w:t>
      </w:r>
      <w:r w:rsidRPr="00BD2F3F">
        <w:rPr>
          <w:b/>
          <w:bCs/>
          <w:color w:val="000000"/>
        </w:rPr>
        <w:t>P</w:t>
      </w:r>
      <w:r w:rsidRPr="00BD2F3F">
        <w:rPr>
          <w:b/>
          <w:color w:val="000000"/>
        </w:rPr>
        <w:t>ř</w:t>
      </w:r>
      <w:r w:rsidRPr="00BD2F3F">
        <w:rPr>
          <w:b/>
          <w:bCs/>
          <w:color w:val="000000"/>
        </w:rPr>
        <w:t>íru</w:t>
      </w:r>
      <w:r w:rsidRPr="00BD2F3F">
        <w:rPr>
          <w:b/>
          <w:color w:val="000000"/>
        </w:rPr>
        <w:t>č</w:t>
      </w:r>
      <w:r w:rsidRPr="00BD2F3F">
        <w:rPr>
          <w:b/>
          <w:bCs/>
          <w:color w:val="000000"/>
        </w:rPr>
        <w:t>ce pro žadatele a p</w:t>
      </w:r>
      <w:r w:rsidRPr="00BD2F3F">
        <w:rPr>
          <w:b/>
          <w:color w:val="000000"/>
        </w:rPr>
        <w:t>ř</w:t>
      </w:r>
      <w:r w:rsidRPr="00BD2F3F">
        <w:rPr>
          <w:b/>
          <w:bCs/>
          <w:color w:val="000000"/>
        </w:rPr>
        <w:t>íjemce</w:t>
      </w:r>
      <w:r>
        <w:rPr>
          <w:b/>
          <w:color w:val="000000"/>
        </w:rPr>
        <w:t>,</w:t>
      </w:r>
      <w:r w:rsidRPr="00F701FC">
        <w:rPr>
          <w:color w:val="000000"/>
        </w:rPr>
        <w:t xml:space="preserve"> která je zveřejněna na stránkách </w:t>
      </w:r>
      <w:hyperlink r:id="rId9" w:history="1">
        <w:r w:rsidRPr="00F701FC">
          <w:rPr>
            <w:rStyle w:val="Hypertextovodkaz"/>
            <w:b/>
            <w:bCs/>
          </w:rPr>
          <w:t>http://www.strukturalni-fondy.cz/iop/4-1</w:t>
        </w:r>
      </w:hyperlink>
      <w:r w:rsidRPr="00F701FC">
        <w:rPr>
          <w:b/>
          <w:bCs/>
          <w:color w:val="000000"/>
        </w:rPr>
        <w:t>.</w:t>
      </w:r>
    </w:p>
    <w:p w:rsidR="00E9149B" w:rsidRPr="00F701FC" w:rsidRDefault="00E9149B" w:rsidP="00E9149B">
      <w:pPr>
        <w:jc w:val="both"/>
        <w:rPr>
          <w:b/>
          <w:bCs/>
          <w:color w:val="000000"/>
        </w:rPr>
      </w:pPr>
    </w:p>
    <w:p w:rsidR="00E9149B" w:rsidRPr="00BD2F3F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BD2F3F">
        <w:rPr>
          <w:b/>
          <w:bCs/>
          <w:sz w:val="28"/>
          <w:szCs w:val="28"/>
        </w:rPr>
        <w:t xml:space="preserve">Kontakty:  </w:t>
      </w:r>
    </w:p>
    <w:p w:rsidR="00E9149B" w:rsidRPr="00BD2F3F" w:rsidRDefault="00E9149B" w:rsidP="00E9149B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BD2F3F">
        <w:rPr>
          <w:b/>
          <w:bCs/>
          <w:color w:val="000000"/>
        </w:rPr>
        <w:t xml:space="preserve">Ministerstvo pro místní rozvoj </w:t>
      </w:r>
      <w:r w:rsidRPr="00BD2F3F">
        <w:rPr>
          <w:b/>
          <w:color w:val="000000"/>
        </w:rPr>
        <w:t>Č</w:t>
      </w:r>
      <w:r w:rsidRPr="00BD2F3F">
        <w:rPr>
          <w:b/>
          <w:bCs/>
          <w:color w:val="000000"/>
        </w:rPr>
        <w:t xml:space="preserve">R </w:t>
      </w:r>
    </w:p>
    <w:p w:rsidR="00E9149B" w:rsidRPr="00F701FC" w:rsidRDefault="00E9149B" w:rsidP="00E9149B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color w:val="000000"/>
        </w:rPr>
      </w:pPr>
      <w:r w:rsidRPr="00F701FC">
        <w:rPr>
          <w:b/>
          <w:bCs/>
          <w:i/>
          <w:iCs/>
          <w:color w:val="000000"/>
        </w:rPr>
        <w:t xml:space="preserve">Odbor cestovního ruchu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Staroměstské nám. 6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110 15 Praha 1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Pracoviště: Na Příkopě 3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Ing. </w:t>
      </w:r>
      <w:r>
        <w:rPr>
          <w:color w:val="000000"/>
        </w:rPr>
        <w:t>Jiří Voves</w:t>
      </w:r>
      <w:r w:rsidRPr="00F701FC">
        <w:rPr>
          <w:color w:val="000000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+ 420 224 864 </w:t>
      </w:r>
      <w:r>
        <w:rPr>
          <w:color w:val="000000"/>
        </w:rPr>
        <w:t>2</w:t>
      </w:r>
      <w:r w:rsidRPr="00F701FC">
        <w:rPr>
          <w:color w:val="000000"/>
        </w:rPr>
        <w:t>1</w:t>
      </w:r>
      <w:r>
        <w:rPr>
          <w:color w:val="000000"/>
        </w:rPr>
        <w:t>2</w:t>
      </w:r>
      <w:r w:rsidRPr="00F701FC">
        <w:rPr>
          <w:color w:val="000000"/>
        </w:rPr>
        <w:t xml:space="preserve"> </w:t>
      </w:r>
    </w:p>
    <w:p w:rsidR="00E9149B" w:rsidRPr="00F701FC" w:rsidRDefault="00075A97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FF"/>
        </w:rPr>
      </w:pPr>
      <w:hyperlink r:id="rId10" w:history="1">
        <w:r w:rsidR="00E9149B" w:rsidRPr="004B4B26">
          <w:rPr>
            <w:rStyle w:val="Hypertextovodkaz"/>
          </w:rPr>
          <w:t>jiri.voves@mmr.cz</w:t>
        </w:r>
      </w:hyperlink>
      <w:r w:rsidR="00E9149B">
        <w:rPr>
          <w:color w:val="0000FF"/>
        </w:rPr>
        <w:t xml:space="preserve"> </w:t>
      </w:r>
      <w:r w:rsidR="00E9149B" w:rsidRPr="00F701FC">
        <w:rPr>
          <w:color w:val="0000FF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FF"/>
        </w:rPr>
      </w:pPr>
      <w:r w:rsidRPr="00F701FC">
        <w:rPr>
          <w:color w:val="0000FF"/>
        </w:rPr>
        <w:t xml:space="preserve"> </w:t>
      </w:r>
    </w:p>
    <w:p w:rsidR="00E9149B" w:rsidRPr="00CC2D20" w:rsidRDefault="00E9149B" w:rsidP="00E9149B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color w:val="000000"/>
        </w:rPr>
      </w:pPr>
      <w:r w:rsidRPr="00CC2D20">
        <w:rPr>
          <w:b/>
          <w:bCs/>
          <w:i/>
          <w:iCs/>
          <w:color w:val="000000"/>
        </w:rPr>
        <w:t xml:space="preserve">Odbor </w:t>
      </w:r>
      <w:r w:rsidRPr="00CC2D20">
        <w:rPr>
          <w:b/>
          <w:i/>
          <w:color w:val="000000"/>
        </w:rPr>
        <w:t>ř</w:t>
      </w:r>
      <w:r w:rsidRPr="00CC2D20">
        <w:rPr>
          <w:b/>
          <w:bCs/>
          <w:i/>
          <w:iCs/>
          <w:color w:val="000000"/>
        </w:rPr>
        <w:t>ízení opera</w:t>
      </w:r>
      <w:r w:rsidRPr="00CC2D20">
        <w:rPr>
          <w:b/>
          <w:i/>
          <w:color w:val="000000"/>
        </w:rPr>
        <w:t>č</w:t>
      </w:r>
      <w:r w:rsidRPr="00CC2D20">
        <w:rPr>
          <w:b/>
          <w:bCs/>
          <w:i/>
          <w:iCs/>
          <w:color w:val="000000"/>
        </w:rPr>
        <w:t>ních program</w:t>
      </w:r>
      <w:r w:rsidRPr="00CC2D20">
        <w:rPr>
          <w:b/>
          <w:i/>
          <w:color w:val="000000"/>
        </w:rPr>
        <w:t>ů</w:t>
      </w:r>
      <w:r>
        <w:rPr>
          <w:b/>
          <w:i/>
          <w:color w:val="000000"/>
        </w:rPr>
        <w:t xml:space="preserve"> MMR</w:t>
      </w:r>
      <w:r w:rsidRPr="00CC2D20">
        <w:rPr>
          <w:b/>
          <w:bCs/>
          <w:i/>
          <w:iCs/>
          <w:color w:val="000000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Staroměstské nám. 6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110 15 Praha 1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 </w:t>
      </w:r>
      <w:r>
        <w:rPr>
          <w:color w:val="000000"/>
        </w:rPr>
        <w:t>Mgr. Ondřej Vejvoda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F701FC">
        <w:rPr>
          <w:color w:val="000000"/>
        </w:rPr>
        <w:t xml:space="preserve">+420 224 861 </w:t>
      </w:r>
      <w:r>
        <w:rPr>
          <w:color w:val="000000"/>
        </w:rPr>
        <w:t>828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FF"/>
        </w:rPr>
      </w:pPr>
      <w:r>
        <w:rPr>
          <w:color w:val="0000FF"/>
        </w:rPr>
        <w:lastRenderedPageBreak/>
        <w:t xml:space="preserve"> </w:t>
      </w:r>
      <w:hyperlink r:id="rId11" w:history="1">
        <w:r w:rsidRPr="00AD0CF8">
          <w:rPr>
            <w:rStyle w:val="Hypertextovodkaz"/>
          </w:rPr>
          <w:t xml:space="preserve">ondrej.vejvoda@mmr.cz </w:t>
        </w:r>
      </w:hyperlink>
      <w:r w:rsidRPr="00F701FC">
        <w:rPr>
          <w:color w:val="0000FF"/>
        </w:rPr>
        <w:t xml:space="preserve"> </w:t>
      </w:r>
    </w:p>
    <w:p w:rsidR="0008667B" w:rsidRDefault="0008667B" w:rsidP="00AD0CF8">
      <w:pPr>
        <w:autoSpaceDE w:val="0"/>
        <w:autoSpaceDN w:val="0"/>
        <w:adjustRightInd w:val="0"/>
        <w:jc w:val="both"/>
        <w:rPr>
          <w:color w:val="0000FF"/>
        </w:rPr>
      </w:pPr>
    </w:p>
    <w:p w:rsidR="00E9149B" w:rsidRPr="00F701FC" w:rsidRDefault="00E9149B" w:rsidP="00AD0C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701FC">
        <w:rPr>
          <w:color w:val="0000FF"/>
        </w:rPr>
        <w:t xml:space="preserve"> </w:t>
      </w:r>
      <w:r w:rsidRPr="00F701FC">
        <w:rPr>
          <w:b/>
          <w:bCs/>
          <w:color w:val="000000"/>
        </w:rPr>
        <w:t xml:space="preserve">Centrum pro </w:t>
      </w:r>
      <w:r w:rsidRPr="003378D0">
        <w:rPr>
          <w:b/>
          <w:bCs/>
          <w:color w:val="000000"/>
        </w:rPr>
        <w:t xml:space="preserve">regionální rozvoj </w:t>
      </w:r>
      <w:r w:rsidRPr="003378D0">
        <w:rPr>
          <w:b/>
          <w:color w:val="000000"/>
        </w:rPr>
        <w:t>Č</w:t>
      </w:r>
      <w:r w:rsidRPr="003378D0">
        <w:rPr>
          <w:b/>
          <w:bCs/>
          <w:color w:val="000000"/>
        </w:rPr>
        <w:t>R (CRR)</w:t>
      </w:r>
      <w:r w:rsidRPr="00F701FC">
        <w:rPr>
          <w:b/>
          <w:bCs/>
          <w:color w:val="000000"/>
        </w:rPr>
        <w:t xml:space="preserve"> </w:t>
      </w:r>
    </w:p>
    <w:p w:rsidR="00E9149B" w:rsidRPr="003378D0" w:rsidRDefault="00E9149B" w:rsidP="00E9149B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i/>
          <w:iCs/>
          <w:color w:val="000000"/>
        </w:rPr>
      </w:pPr>
      <w:r w:rsidRPr="003378D0">
        <w:rPr>
          <w:b/>
          <w:bCs/>
          <w:i/>
          <w:iCs/>
          <w:color w:val="000000"/>
        </w:rPr>
        <w:t>Hlavní kancelá</w:t>
      </w:r>
      <w:r w:rsidRPr="003378D0">
        <w:rPr>
          <w:b/>
          <w:i/>
          <w:color w:val="000000"/>
        </w:rPr>
        <w:t>ř</w:t>
      </w:r>
      <w:r w:rsidRPr="003378D0">
        <w:rPr>
          <w:b/>
          <w:bCs/>
          <w:i/>
          <w:iCs/>
          <w:color w:val="000000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Vinohradská 46, 120 00 Praha 2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Ing. </w:t>
      </w:r>
      <w:r>
        <w:rPr>
          <w:color w:val="000000"/>
        </w:rPr>
        <w:t xml:space="preserve">Lenka </w:t>
      </w:r>
      <w:proofErr w:type="spellStart"/>
      <w:r>
        <w:rPr>
          <w:color w:val="000000"/>
        </w:rPr>
        <w:t>Skopalíková</w:t>
      </w:r>
      <w:proofErr w:type="spellEnd"/>
      <w:r w:rsidRPr="00F701FC">
        <w:rPr>
          <w:color w:val="000000"/>
        </w:rPr>
        <w:t xml:space="preserve"> </w:t>
      </w:r>
    </w:p>
    <w:p w:rsidR="00E9149B" w:rsidRPr="00F701FC" w:rsidRDefault="00E9149B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701FC">
        <w:rPr>
          <w:color w:val="000000"/>
        </w:rPr>
        <w:t xml:space="preserve">+420 221 580 </w:t>
      </w:r>
      <w:r>
        <w:rPr>
          <w:color w:val="000000"/>
        </w:rPr>
        <w:t>218</w:t>
      </w:r>
    </w:p>
    <w:p w:rsidR="00E9149B" w:rsidRPr="00AD0CF8" w:rsidRDefault="00AD0CF8" w:rsidP="00E9149B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Style w:val="Hypertextovodkaz"/>
        </w:rPr>
      </w:pPr>
      <w:r>
        <w:fldChar w:fldCharType="begin"/>
      </w:r>
      <w:r>
        <w:instrText xml:space="preserve"> HYPERLINK "mailto:skopalikova@crr.cz" </w:instrText>
      </w:r>
      <w:r>
        <w:fldChar w:fldCharType="separate"/>
      </w:r>
      <w:r w:rsidR="00E9149B" w:rsidRPr="00AD0CF8">
        <w:rPr>
          <w:rStyle w:val="Hypertextovodkaz"/>
        </w:rPr>
        <w:t xml:space="preserve">skopalikova@crr.cz </w:t>
      </w:r>
    </w:p>
    <w:p w:rsidR="00FA7BC2" w:rsidRDefault="00AD0CF8">
      <w:r>
        <w:fldChar w:fldCharType="end"/>
      </w:r>
    </w:p>
    <w:sectPr w:rsidR="00FA7BC2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97" w:rsidRDefault="00075A97">
      <w:r>
        <w:separator/>
      </w:r>
    </w:p>
  </w:endnote>
  <w:endnote w:type="continuationSeparator" w:id="0">
    <w:p w:rsidR="00075A97" w:rsidRDefault="0007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3" w:rsidRDefault="00621523" w:rsidP="00AD0C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1523" w:rsidRDefault="00621523" w:rsidP="00AD0CF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3" w:rsidRDefault="00621523" w:rsidP="00AD0C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622A">
      <w:rPr>
        <w:rStyle w:val="slostrnky"/>
        <w:noProof/>
      </w:rPr>
      <w:t>3</w:t>
    </w:r>
    <w:r>
      <w:rPr>
        <w:rStyle w:val="slostrnky"/>
      </w:rPr>
      <w:fldChar w:fldCharType="end"/>
    </w:r>
  </w:p>
  <w:p w:rsidR="00621523" w:rsidRDefault="00621523" w:rsidP="00AD0CF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97" w:rsidRDefault="00075A97">
      <w:r>
        <w:separator/>
      </w:r>
    </w:p>
  </w:footnote>
  <w:footnote w:type="continuationSeparator" w:id="0">
    <w:p w:rsidR="00075A97" w:rsidRDefault="0007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3" w:rsidRDefault="00621523">
    <w:pPr>
      <w:pStyle w:val="Zhlav"/>
    </w:pPr>
    <w:r>
      <w:rPr>
        <w:noProof/>
      </w:rPr>
      <w:drawing>
        <wp:inline distT="0" distB="0" distL="0" distR="0">
          <wp:extent cx="5753100" cy="409575"/>
          <wp:effectExtent l="0" t="0" r="0" b="9525"/>
          <wp:docPr id="1" name="Obrázek 1" descr="Popis: 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08"/>
    <w:multiLevelType w:val="hybridMultilevel"/>
    <w:tmpl w:val="C34023BC"/>
    <w:lvl w:ilvl="0" w:tplc="54128D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FF"/>
      </w:rPr>
    </w:lvl>
    <w:lvl w:ilvl="1" w:tplc="51BC2514">
      <w:start w:val="1"/>
      <w:numFmt w:val="bullet"/>
      <w:pStyle w:val="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2F95"/>
    <w:multiLevelType w:val="hybridMultilevel"/>
    <w:tmpl w:val="255459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476C9"/>
    <w:multiLevelType w:val="hybridMultilevel"/>
    <w:tmpl w:val="5F827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F61CA"/>
    <w:multiLevelType w:val="hybridMultilevel"/>
    <w:tmpl w:val="1F683C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A1B58"/>
    <w:multiLevelType w:val="hybridMultilevel"/>
    <w:tmpl w:val="6DB67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A0941"/>
    <w:multiLevelType w:val="hybridMultilevel"/>
    <w:tmpl w:val="9426E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83E1F"/>
    <w:multiLevelType w:val="hybridMultilevel"/>
    <w:tmpl w:val="D218A1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35527"/>
    <w:multiLevelType w:val="hybridMultilevel"/>
    <w:tmpl w:val="56F46284"/>
    <w:lvl w:ilvl="0" w:tplc="BFD00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167B12"/>
    <w:multiLevelType w:val="hybridMultilevel"/>
    <w:tmpl w:val="976A3146"/>
    <w:lvl w:ilvl="0" w:tplc="973A31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D6144"/>
    <w:multiLevelType w:val="hybridMultilevel"/>
    <w:tmpl w:val="6E96F8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D38E7"/>
    <w:multiLevelType w:val="hybridMultilevel"/>
    <w:tmpl w:val="50263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94767"/>
    <w:multiLevelType w:val="hybridMultilevel"/>
    <w:tmpl w:val="DAFEC7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C54B54"/>
    <w:multiLevelType w:val="hybridMultilevel"/>
    <w:tmpl w:val="E20EBB12"/>
    <w:lvl w:ilvl="0" w:tplc="859AE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B"/>
    <w:rsid w:val="00075A97"/>
    <w:rsid w:val="0008594B"/>
    <w:rsid w:val="0008667B"/>
    <w:rsid w:val="000D46FC"/>
    <w:rsid w:val="000F11F6"/>
    <w:rsid w:val="001C0394"/>
    <w:rsid w:val="0023635A"/>
    <w:rsid w:val="00263307"/>
    <w:rsid w:val="003356B7"/>
    <w:rsid w:val="0034566F"/>
    <w:rsid w:val="00440F1F"/>
    <w:rsid w:val="00447919"/>
    <w:rsid w:val="00621523"/>
    <w:rsid w:val="00680BAB"/>
    <w:rsid w:val="006C5C9F"/>
    <w:rsid w:val="008E6C89"/>
    <w:rsid w:val="00AA71B1"/>
    <w:rsid w:val="00AD0CF8"/>
    <w:rsid w:val="00B76247"/>
    <w:rsid w:val="00C8741B"/>
    <w:rsid w:val="00DD6913"/>
    <w:rsid w:val="00E2622A"/>
    <w:rsid w:val="00E9149B"/>
    <w:rsid w:val="00EC7C62"/>
    <w:rsid w:val="00F70C16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1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91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9149B"/>
    <w:rPr>
      <w:color w:val="0000FF"/>
      <w:u w:val="single"/>
    </w:rPr>
  </w:style>
  <w:style w:type="character" w:styleId="slostrnky">
    <w:name w:val="page number"/>
    <w:basedOn w:val="Standardnpsmoodstavce"/>
    <w:rsid w:val="00E9149B"/>
  </w:style>
  <w:style w:type="character" w:styleId="Odkaznakoment">
    <w:name w:val="annotation reference"/>
    <w:aliases w:val="Značka poznámky"/>
    <w:semiHidden/>
    <w:rsid w:val="00E9149B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E9149B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E914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9149B"/>
  </w:style>
  <w:style w:type="character" w:customStyle="1" w:styleId="ProsttextChar">
    <w:name w:val="Prostý text Char"/>
    <w:basedOn w:val="Standardnpsmoodstavce"/>
    <w:link w:val="Prosttext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E9149B"/>
    <w:pPr>
      <w:numPr>
        <w:ilvl w:val="1"/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1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49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70C16"/>
    <w:pPr>
      <w:spacing w:before="120"/>
      <w:ind w:left="720"/>
      <w:contextualSpacing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1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91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9149B"/>
    <w:rPr>
      <w:color w:val="0000FF"/>
      <w:u w:val="single"/>
    </w:rPr>
  </w:style>
  <w:style w:type="character" w:styleId="slostrnky">
    <w:name w:val="page number"/>
    <w:basedOn w:val="Standardnpsmoodstavce"/>
    <w:rsid w:val="00E9149B"/>
  </w:style>
  <w:style w:type="character" w:styleId="Odkaznakoment">
    <w:name w:val="annotation reference"/>
    <w:aliases w:val="Značka poznámky"/>
    <w:semiHidden/>
    <w:rsid w:val="00E9149B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E9149B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E914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E9149B"/>
  </w:style>
  <w:style w:type="character" w:customStyle="1" w:styleId="ProsttextChar">
    <w:name w:val="Prostý text Char"/>
    <w:basedOn w:val="Standardnpsmoodstavce"/>
    <w:link w:val="Prosttext"/>
    <w:rsid w:val="00E914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E9149B"/>
    <w:pPr>
      <w:numPr>
        <w:ilvl w:val="1"/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1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49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70C16"/>
    <w:pPr>
      <w:spacing w:before="120"/>
      <w:ind w:left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zadost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drej.Vejvoda@mm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voves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iop/4-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Vejvoda</dc:creator>
  <cp:lastModifiedBy>Ondřej Vejvoda</cp:lastModifiedBy>
  <cp:revision>3</cp:revision>
  <cp:lastPrinted>2014-06-18T14:37:00Z</cp:lastPrinted>
  <dcterms:created xsi:type="dcterms:W3CDTF">2014-07-10T11:11:00Z</dcterms:created>
  <dcterms:modified xsi:type="dcterms:W3CDTF">2014-07-10T11:15:00Z</dcterms:modified>
</cp:coreProperties>
</file>