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9D" w:rsidRPr="001A7E2C" w:rsidRDefault="00EB389D" w:rsidP="00BC10A8">
      <w:pPr>
        <w:pStyle w:val="Nzev"/>
        <w:rPr>
          <w:rFonts w:ascii="Calibri" w:hAnsi="Calibri" w:cs="Calibri"/>
          <w:sz w:val="36"/>
          <w:szCs w:val="36"/>
        </w:rPr>
      </w:pPr>
      <w:r w:rsidRPr="001A7E2C">
        <w:rPr>
          <w:rFonts w:ascii="Calibri" w:hAnsi="Calibri" w:cs="Calibri"/>
          <w:sz w:val="36"/>
          <w:szCs w:val="36"/>
        </w:rPr>
        <w:t>Evaluační plán IOP pro rok 2013</w:t>
      </w:r>
    </w:p>
    <w:p w:rsidR="00EB389D" w:rsidRPr="001A7E2C" w:rsidRDefault="00EB389D" w:rsidP="00BC10A8">
      <w:pPr>
        <w:pStyle w:val="Bntext"/>
        <w:rPr>
          <w:rFonts w:ascii="Calibri" w:hAnsi="Calibri" w:cs="Calibri"/>
        </w:rPr>
      </w:pPr>
    </w:p>
    <w:p w:rsidR="00EB389D" w:rsidRPr="001A7E2C" w:rsidRDefault="00EB389D" w:rsidP="00BC10A8">
      <w:pPr>
        <w:pStyle w:val="Bntext"/>
        <w:rPr>
          <w:rFonts w:ascii="Calibri" w:hAnsi="Calibri" w:cs="Calibri"/>
        </w:rPr>
      </w:pPr>
      <w:r w:rsidRPr="001A7E2C">
        <w:rPr>
          <w:rFonts w:ascii="Calibri" w:hAnsi="Calibri" w:cs="Calibri"/>
        </w:rPr>
        <w:t>Plán evaluačních aktivit pro rok 2013 vychází z evaluačního plánu IOP na období 2007-2013, projedn</w:t>
      </w:r>
      <w:r>
        <w:rPr>
          <w:rFonts w:ascii="Calibri" w:hAnsi="Calibri" w:cs="Calibri"/>
        </w:rPr>
        <w:t>aného</w:t>
      </w:r>
      <w:r w:rsidRPr="001A7E2C">
        <w:rPr>
          <w:rFonts w:ascii="Calibri" w:hAnsi="Calibri" w:cs="Calibri"/>
        </w:rPr>
        <w:t xml:space="preserve"> na zasedání Monitorovacího výboru IOP 11. února 2008. </w:t>
      </w:r>
    </w:p>
    <w:p w:rsidR="00EB389D" w:rsidRPr="001A7E2C" w:rsidRDefault="00EB389D" w:rsidP="00BC10A8">
      <w:pPr>
        <w:pStyle w:val="Bntext"/>
        <w:rPr>
          <w:rFonts w:ascii="Calibri" w:hAnsi="Calibri" w:cs="Calibri"/>
        </w:rPr>
      </w:pPr>
      <w:r w:rsidRPr="001A7E2C">
        <w:rPr>
          <w:rFonts w:ascii="Calibri" w:hAnsi="Calibri" w:cs="Calibri"/>
        </w:rPr>
        <w:t xml:space="preserve">Roční evaluační plány konkretizují zamýšlené evaluace po stránce obsahové </w:t>
      </w:r>
      <w:r>
        <w:rPr>
          <w:rFonts w:ascii="Calibri" w:hAnsi="Calibri" w:cs="Calibri"/>
        </w:rPr>
        <w:t>a</w:t>
      </w:r>
      <w:r w:rsidRPr="001A7E2C">
        <w:rPr>
          <w:rFonts w:ascii="Calibri" w:hAnsi="Calibri" w:cs="Calibri"/>
        </w:rPr>
        <w:t xml:space="preserve"> finanční. Koncepci ročního evaluačního plánu sestavuje evaluační pracoviště ŘO IOP a projednává ji pracovní skupina pro evaluaci IOP, kterou tvoří zástupci </w:t>
      </w:r>
      <w:r>
        <w:rPr>
          <w:rFonts w:ascii="Calibri" w:hAnsi="Calibri" w:cs="Calibri"/>
        </w:rPr>
        <w:t>Ř</w:t>
      </w:r>
      <w:r w:rsidRPr="001A7E2C">
        <w:rPr>
          <w:rFonts w:ascii="Calibri" w:hAnsi="Calibri" w:cs="Calibri"/>
        </w:rPr>
        <w:t>ídícího orgánu IOP a zprostředkujících subjektů. Návrh ročního evaluačního plánu před</w:t>
      </w:r>
      <w:r>
        <w:rPr>
          <w:rFonts w:ascii="Calibri" w:hAnsi="Calibri" w:cs="Calibri"/>
        </w:rPr>
        <w:t>k</w:t>
      </w:r>
      <w:r w:rsidRPr="001A7E2C">
        <w:rPr>
          <w:rFonts w:ascii="Calibri" w:hAnsi="Calibri" w:cs="Calibri"/>
        </w:rPr>
        <w:t>l</w:t>
      </w:r>
      <w:r>
        <w:rPr>
          <w:rFonts w:ascii="Calibri" w:hAnsi="Calibri" w:cs="Calibri"/>
        </w:rPr>
        <w:t>ádá ŘO IOP</w:t>
      </w:r>
      <w:r w:rsidRPr="001A7E2C">
        <w:rPr>
          <w:rFonts w:ascii="Calibri" w:hAnsi="Calibri" w:cs="Calibri"/>
        </w:rPr>
        <w:t xml:space="preserve"> ke schválení Monitorovacímu výboru IOP na podzimním zasedání.</w:t>
      </w:r>
    </w:p>
    <w:p w:rsidR="00EB389D" w:rsidRPr="001A7E2C" w:rsidRDefault="00EB389D" w:rsidP="00BC10A8">
      <w:pPr>
        <w:pStyle w:val="Bntext"/>
        <w:rPr>
          <w:rFonts w:ascii="Calibri" w:hAnsi="Calibri" w:cs="Calibri"/>
          <w:b/>
          <w:bCs/>
        </w:rPr>
      </w:pPr>
    </w:p>
    <w:p w:rsidR="00EB389D" w:rsidRPr="00EB389D" w:rsidRDefault="00894C2A" w:rsidP="005821A6">
      <w:pPr>
        <w:pStyle w:val="Nzevkapitoly"/>
        <w:rPr>
          <w:rFonts w:ascii="Calibri" w:hAnsi="Calibri" w:cs="Calibri"/>
          <w:lang w:val="cs-CZ"/>
        </w:rPr>
      </w:pPr>
      <w:r w:rsidRPr="00894C2A">
        <w:rPr>
          <w:rFonts w:ascii="Calibri" w:hAnsi="Calibri" w:cs="Calibri"/>
          <w:lang w:val="cs-CZ"/>
        </w:rPr>
        <w:t>Evaluace komunikačních a propagačních aktivit za rok 2013</w:t>
      </w:r>
    </w:p>
    <w:p w:rsidR="00EB389D" w:rsidRPr="001A7E2C" w:rsidRDefault="00EB389D" w:rsidP="005821A6">
      <w:pPr>
        <w:pStyle w:val="Nzevkapitoly"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1A7E2C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Na základě Nařízení Komise (ES) č. 1828/2006, kterým se stanovují prováděcí pravidla k nařízení Rady (ES) č. 1083/2006, 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provedl ŘO IOP v roce 2010 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vy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hodnocení informačních a propagačních opatření za roky 2007 - 2010, pokud jde o viditelnost programu a povědomí o něm. 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V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yhodnocení propagačních aktivit bylo uvedeno ve výroční zprávě IOP za rok 2010. </w:t>
      </w:r>
    </w:p>
    <w:p w:rsidR="00621AC9" w:rsidRDefault="00EB389D" w:rsidP="00621AC9">
      <w:pPr>
        <w:pStyle w:val="Nzevkapitoly"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Jedním z doporučení uvedeného vyhodnocení je zavedení každoroční externí evaluace komunikačních aktivit a na základě těchto evaluací 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vy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tvoř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ení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"strategick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ého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background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u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", který bude částečně vyhodnocován interně, částečně externě vždy v následném roce. Na základě dalšího doporučení z Evaluace komunikačních a propagačních aktivit IOP 2007 – 2010 </w:t>
      </w:r>
      <w:r w:rsidR="00621AC9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vytvořil ŘO IOP ve spolupráci s kreativním supervizorem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koncepc</w:t>
      </w:r>
      <w:r w:rsidR="00621AC9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i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, která se zaměřuje na informování veřejnosti o tom, jak a čím jednotlivé podporované oblasti IOP zlepšují a posilují kvalitu života. </w:t>
      </w:r>
      <w:r w:rsidR="00621AC9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Vzhledem k zavádění koncepce a přípravě internetové kampaně v roce 2012, není </w:t>
      </w:r>
      <w:r w:rsidR="009C6405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ještě </w:t>
      </w:r>
      <w:r w:rsidR="00621AC9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účelné provádět vyhodnocení za rok 2012.</w:t>
      </w:r>
    </w:p>
    <w:p w:rsidR="00621AC9" w:rsidRDefault="00621AC9" w:rsidP="00621AC9">
      <w:pPr>
        <w:pStyle w:val="Nzevkapitoly"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</w:p>
    <w:p w:rsidR="00621AC9" w:rsidRDefault="00894C2A" w:rsidP="00621AC9">
      <w:pPr>
        <w:pStyle w:val="Nzevkapitoly"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>Výstup: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evaluační zpráva</w:t>
      </w:r>
    </w:p>
    <w:p w:rsidR="00621AC9" w:rsidRDefault="00894C2A" w:rsidP="00621AC9">
      <w:pPr>
        <w:pStyle w:val="Nzevkapitoly"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>Zpracování: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interní a externí</w:t>
      </w:r>
    </w:p>
    <w:p w:rsidR="00621AC9" w:rsidRDefault="00894C2A" w:rsidP="00621AC9">
      <w:pPr>
        <w:pStyle w:val="Nzevkapitoly"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>Časový rámec: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prosinec 2013 – březen 2014</w:t>
      </w:r>
    </w:p>
    <w:p w:rsidR="00621AC9" w:rsidRDefault="00894C2A" w:rsidP="00621AC9">
      <w:pPr>
        <w:pStyle w:val="Nzevkapitoly"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>Finanční rozsah: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 500 000,- Kč bez DPH</w:t>
      </w:r>
    </w:p>
    <w:p w:rsidR="00621AC9" w:rsidRDefault="00894C2A" w:rsidP="00621AC9">
      <w:pPr>
        <w:pStyle w:val="Nzevkapitoly"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>Garant: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ministerstvo pro místní rozvoj </w:t>
      </w:r>
    </w:p>
    <w:p w:rsidR="00621AC9" w:rsidRDefault="00621AC9" w:rsidP="00621AC9">
      <w:pPr>
        <w:pStyle w:val="Nzevkapitoly"/>
        <w:rPr>
          <w:rFonts w:ascii="Calibri" w:hAnsi="Calibri" w:cs="Calibri"/>
          <w:lang w:val="cs-CZ"/>
        </w:rPr>
      </w:pPr>
    </w:p>
    <w:p w:rsidR="00EB389D" w:rsidRPr="00EB389D" w:rsidRDefault="00894C2A" w:rsidP="00F31223">
      <w:pPr>
        <w:pStyle w:val="Nzevkapitoly"/>
        <w:keepNext/>
        <w:rPr>
          <w:rFonts w:ascii="Calibri" w:hAnsi="Calibri" w:cs="Calibri"/>
          <w:lang w:val="cs-CZ"/>
        </w:rPr>
      </w:pPr>
      <w:r w:rsidRPr="00894C2A">
        <w:rPr>
          <w:rFonts w:ascii="Calibri" w:hAnsi="Calibri" w:cs="Calibri"/>
          <w:lang w:val="cs-CZ"/>
        </w:rPr>
        <w:t xml:space="preserve">Analýza administrativních kapacit a outsourcingu </w:t>
      </w:r>
      <w:r w:rsidR="00621AC9">
        <w:rPr>
          <w:rFonts w:ascii="Calibri" w:hAnsi="Calibri" w:cs="Calibri"/>
          <w:lang w:val="cs-CZ"/>
        </w:rPr>
        <w:t>implementační struktury</w:t>
      </w:r>
      <w:r w:rsidRPr="00894C2A">
        <w:rPr>
          <w:rFonts w:ascii="Calibri" w:hAnsi="Calibri" w:cs="Calibri"/>
          <w:lang w:val="cs-CZ"/>
        </w:rPr>
        <w:t xml:space="preserve"> IOP 2013</w:t>
      </w:r>
    </w:p>
    <w:p w:rsidR="00EB389D" w:rsidRPr="001A7E2C" w:rsidRDefault="00EB389D" w:rsidP="00F31223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1A7E2C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Na základě výsledků Analýzy administrativních kapacit a outsourcingu zprostředkujících subjektů IOP 2011 je v akčním plánu stanoveno </w:t>
      </w:r>
      <w:r w:rsidR="00621AC9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každoroční</w:t>
      </w:r>
      <w:r w:rsidRPr="001A7E2C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mapování výkonu a nákladů administrativních kapacit </w:t>
      </w:r>
      <w:r w:rsidR="00621AC9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implementační struktury</w:t>
      </w:r>
      <w:r w:rsidRPr="001A7E2C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IOP. 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Cílem je zjistit vynaložené finanční prostředky jednotlivých zprostředkujících subjektů na 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výkon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delegovaných činností</w:t>
      </w:r>
      <w:r w:rsidR="00621AC9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a celkové náklady na řízení programu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. Z porovnání 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výkonů a 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finančních nákladů na jednotlivých 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lastRenderedPageBreak/>
        <w:t xml:space="preserve">zprostředkujících </w:t>
      </w:r>
      <w:proofErr w:type="gramStart"/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subjektech</w:t>
      </w:r>
      <w:proofErr w:type="gramEnd"/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identifikovat rizika a navrhnout doporučení vedoucí ke zvýšení efektivity a hospodárnosti.</w:t>
      </w:r>
    </w:p>
    <w:p w:rsidR="00EB389D" w:rsidRPr="001A7E2C" w:rsidRDefault="00EB389D" w:rsidP="00F31223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</w:p>
    <w:p w:rsidR="00621AC9" w:rsidRDefault="00EB389D" w:rsidP="00F31223">
      <w:pPr>
        <w:pStyle w:val="Bntex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Výstup:</w:t>
      </w:r>
      <w:r>
        <w:rPr>
          <w:rFonts w:ascii="Calibri" w:hAnsi="Calibri" w:cs="Calibri"/>
        </w:rPr>
        <w:t xml:space="preserve"> závěrečná zpráva </w:t>
      </w:r>
    </w:p>
    <w:p w:rsidR="00EB389D" w:rsidRPr="001A7E2C" w:rsidRDefault="00EB389D" w:rsidP="00F31223">
      <w:pPr>
        <w:pStyle w:val="Bntex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Zpracování: </w:t>
      </w:r>
      <w:r>
        <w:rPr>
          <w:rFonts w:ascii="Calibri" w:hAnsi="Calibri" w:cs="Calibri"/>
        </w:rPr>
        <w:t>interní</w:t>
      </w:r>
    </w:p>
    <w:p w:rsidR="00EB389D" w:rsidRPr="001A7E2C" w:rsidRDefault="00EB389D" w:rsidP="00F31223">
      <w:pPr>
        <w:pStyle w:val="Bntex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Časový rámec:</w:t>
      </w:r>
      <w:r>
        <w:rPr>
          <w:rFonts w:ascii="Calibri" w:hAnsi="Calibri" w:cs="Calibri"/>
        </w:rPr>
        <w:t xml:space="preserve"> červen – září 2013</w:t>
      </w:r>
    </w:p>
    <w:p w:rsidR="00EB389D" w:rsidRPr="001A7E2C" w:rsidRDefault="00EB389D" w:rsidP="00F31223">
      <w:pPr>
        <w:pStyle w:val="Bntex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Finanční rozsah: -</w:t>
      </w:r>
    </w:p>
    <w:p w:rsidR="00EB389D" w:rsidRPr="001A7E2C" w:rsidRDefault="00894C2A" w:rsidP="002637D4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>Garant: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ministerstvo pro místní rozvoj </w:t>
      </w:r>
    </w:p>
    <w:p w:rsidR="00EB389D" w:rsidRPr="001A7E2C" w:rsidRDefault="00EB389D" w:rsidP="00F31223">
      <w:pPr>
        <w:spacing w:after="120"/>
        <w:rPr>
          <w:rFonts w:ascii="Arial" w:hAnsi="Arial" w:cs="Arial"/>
          <w:sz w:val="20"/>
          <w:szCs w:val="20"/>
        </w:rPr>
      </w:pPr>
    </w:p>
    <w:p w:rsidR="00EB389D" w:rsidRPr="00EB389D" w:rsidRDefault="00894C2A" w:rsidP="00F31223">
      <w:pPr>
        <w:pStyle w:val="Nzevkapitoly"/>
        <w:keepNext/>
        <w:rPr>
          <w:rFonts w:ascii="Calibri" w:hAnsi="Calibri" w:cs="Calibri"/>
          <w:lang w:val="cs-CZ"/>
        </w:rPr>
      </w:pPr>
      <w:r w:rsidRPr="00894C2A">
        <w:rPr>
          <w:rFonts w:ascii="Calibri" w:hAnsi="Calibri" w:cs="Calibri"/>
          <w:lang w:val="cs-CZ"/>
        </w:rPr>
        <w:t>Analýza stavu programu IOP k</w:t>
      </w:r>
      <w:r w:rsidR="00EB389D" w:rsidRPr="00DC602B">
        <w:rPr>
          <w:rFonts w:ascii="Calibri" w:hAnsi="Calibri" w:cs="Calibri"/>
          <w:lang w:val="cs-CZ"/>
        </w:rPr>
        <w:t> </w:t>
      </w:r>
      <w:proofErr w:type="gramStart"/>
      <w:r w:rsidRPr="00894C2A">
        <w:rPr>
          <w:rFonts w:ascii="Calibri" w:hAnsi="Calibri" w:cs="Calibri"/>
          <w:lang w:val="cs-CZ"/>
        </w:rPr>
        <w:t>2.1.2013</w:t>
      </w:r>
      <w:proofErr w:type="gramEnd"/>
      <w:r w:rsidRPr="00894C2A">
        <w:rPr>
          <w:rFonts w:ascii="Calibri" w:hAnsi="Calibri" w:cs="Calibri"/>
          <w:lang w:val="cs-CZ"/>
        </w:rPr>
        <w:t>, absorpční kapacity programu a výhled splnění pravidla n+3</w:t>
      </w:r>
    </w:p>
    <w:p w:rsidR="00EB389D" w:rsidRPr="001A7E2C" w:rsidRDefault="00EB389D" w:rsidP="00004E11">
      <w:pPr>
        <w:pStyle w:val="Bntext"/>
        <w:rPr>
          <w:rFonts w:ascii="Calibri" w:hAnsi="Calibri" w:cs="Calibri"/>
        </w:rPr>
      </w:pPr>
      <w:r w:rsidRPr="001A7E2C">
        <w:rPr>
          <w:rFonts w:ascii="Calibri" w:hAnsi="Calibri" w:cs="Calibri"/>
        </w:rPr>
        <w:t xml:space="preserve">V závislosti na oblasti intervence zpracovávají ŘO a ZS analýzy absorpční kapacity způsobem </w:t>
      </w:r>
      <w:r w:rsidR="00CA0B6A">
        <w:rPr>
          <w:rFonts w:ascii="Calibri" w:hAnsi="Calibri" w:cs="Calibri"/>
        </w:rPr>
        <w:t>odpovídajícím</w:t>
      </w:r>
      <w:r>
        <w:rPr>
          <w:rFonts w:ascii="Calibri" w:hAnsi="Calibri" w:cs="Calibri"/>
        </w:rPr>
        <w:t xml:space="preserve"> zbývajícím finančním prostředkům a fázi programového cyklu. Absorpční kapacitu sledují ve všech fázích projektového cyklu. V návaznosti na jejich výsledky zpracují </w:t>
      </w:r>
      <w:r w:rsidR="00CA0B6A">
        <w:rPr>
          <w:rFonts w:ascii="Calibri" w:hAnsi="Calibri" w:cs="Calibri"/>
        </w:rPr>
        <w:t xml:space="preserve">ZS </w:t>
      </w:r>
      <w:r>
        <w:rPr>
          <w:rFonts w:ascii="Calibri" w:hAnsi="Calibri" w:cs="Calibri"/>
        </w:rPr>
        <w:t>analýzy absorpční kapacity pro jednotlivé oblasti intervence a tam, kde je to vhodné, až do úrovně podporovaných aktivit. Vypracovávají se na počátku kalendářního roku, souhrnná analýza musí být zpracována do 15.2. Na základě výsledků analýzy rizik, vyhodnocení výzev a evaluací bude hodnocení absorpční kapacity pro rok 2012 zaměřeno na detailní vyhodnocení úspor v projektech a problémy žadatelů a příjemců v průběhu příprav</w:t>
      </w:r>
      <w:r w:rsidR="009C6405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a realizace projektů. Zprostředkující subjekt informuje o výsledcích analýz absorpční kapacity a o případných problémech ŘO IOP. </w:t>
      </w:r>
    </w:p>
    <w:p w:rsidR="00EB389D" w:rsidRPr="001A7E2C" w:rsidRDefault="00EB389D" w:rsidP="00F31223">
      <w:pPr>
        <w:pStyle w:val="Bntext"/>
        <w:rPr>
          <w:rFonts w:ascii="Calibri" w:hAnsi="Calibri" w:cs="Calibri"/>
          <w:b/>
          <w:bCs/>
        </w:rPr>
      </w:pPr>
    </w:p>
    <w:p w:rsidR="00EB389D" w:rsidRPr="001A7E2C" w:rsidRDefault="00EB389D" w:rsidP="00F31223">
      <w:pPr>
        <w:pStyle w:val="Bntex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Výstup:</w:t>
      </w:r>
      <w:r>
        <w:rPr>
          <w:rFonts w:ascii="Calibri" w:hAnsi="Calibri" w:cs="Calibri"/>
        </w:rPr>
        <w:t xml:space="preserve"> závěrečná zpráva </w:t>
      </w:r>
    </w:p>
    <w:p w:rsidR="00EB389D" w:rsidRPr="001A7E2C" w:rsidRDefault="00EB389D" w:rsidP="00F31223">
      <w:pPr>
        <w:pStyle w:val="Bntex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Zpracování: </w:t>
      </w:r>
      <w:r>
        <w:rPr>
          <w:rFonts w:ascii="Calibri" w:hAnsi="Calibri" w:cs="Calibri"/>
        </w:rPr>
        <w:t>interní</w:t>
      </w:r>
    </w:p>
    <w:p w:rsidR="00EB389D" w:rsidRPr="001A7E2C" w:rsidRDefault="00EB389D" w:rsidP="00F31223">
      <w:pPr>
        <w:pStyle w:val="Bntex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Časový rámec:</w:t>
      </w:r>
      <w:r>
        <w:rPr>
          <w:rFonts w:ascii="Calibri" w:hAnsi="Calibri" w:cs="Calibri"/>
        </w:rPr>
        <w:t xml:space="preserve"> prosinec 2012 – únor 2013</w:t>
      </w:r>
    </w:p>
    <w:p w:rsidR="00CA0B6A" w:rsidRDefault="00EB389D" w:rsidP="00CA0B6A">
      <w:pPr>
        <w:pStyle w:val="Bntex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Finanční rozsah: -</w:t>
      </w:r>
    </w:p>
    <w:p w:rsidR="00EB389D" w:rsidRPr="001A7E2C" w:rsidRDefault="00894C2A" w:rsidP="00CA0B6A">
      <w:pPr>
        <w:pStyle w:val="Bntext"/>
        <w:rPr>
          <w:rFonts w:ascii="Calibri" w:hAnsi="Calibri" w:cs="Calibri"/>
        </w:rPr>
      </w:pPr>
      <w:r w:rsidRPr="00CA0B6A">
        <w:rPr>
          <w:rFonts w:ascii="Calibri" w:hAnsi="Calibri" w:cs="Calibri"/>
          <w:b/>
        </w:rPr>
        <w:t>Garant:</w:t>
      </w:r>
      <w:r w:rsidR="00EB389D" w:rsidRPr="00CA0B6A">
        <w:rPr>
          <w:rFonts w:ascii="Calibri" w:hAnsi="Calibri" w:cs="Calibri"/>
          <w:bCs/>
        </w:rPr>
        <w:t xml:space="preserve"> ministerstvo pro místní rozvoj </w:t>
      </w:r>
    </w:p>
    <w:p w:rsidR="00EB389D" w:rsidRPr="00EB389D" w:rsidRDefault="00894C2A" w:rsidP="00E81833">
      <w:pPr>
        <w:pStyle w:val="Nzevkapitoly"/>
        <w:keepNext/>
        <w:rPr>
          <w:rFonts w:ascii="Calibri" w:hAnsi="Calibri" w:cs="Calibri"/>
          <w:lang w:val="cs-CZ"/>
        </w:rPr>
      </w:pPr>
      <w:r w:rsidRPr="00894C2A">
        <w:rPr>
          <w:rFonts w:ascii="Calibri" w:hAnsi="Calibri" w:cs="Calibri"/>
          <w:lang w:val="cs-CZ"/>
        </w:rPr>
        <w:lastRenderedPageBreak/>
        <w:t>Evaluace systému vzdělávání pracovníků implementační struktury IOP</w:t>
      </w:r>
    </w:p>
    <w:p w:rsidR="00EB389D" w:rsidRPr="00F341F2" w:rsidRDefault="00894C2A" w:rsidP="00E81833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/>
        </w:rPr>
      </w:pPr>
      <w:r w:rsidRPr="00F341F2">
        <w:rPr>
          <w:rFonts w:ascii="Calibri" w:hAnsi="Calibri" w:cs="Calibri"/>
          <w:b w:val="0"/>
          <w:bCs w:val="0"/>
          <w:sz w:val="24"/>
          <w:szCs w:val="24"/>
          <w:lang w:val="cs-CZ"/>
        </w:rPr>
        <w:t xml:space="preserve">Cílem evaluace </w:t>
      </w:r>
      <w:r w:rsidR="00EB389D" w:rsidRPr="00F341F2">
        <w:rPr>
          <w:rFonts w:ascii="Calibri" w:hAnsi="Calibri" w:cs="Calibri"/>
          <w:b w:val="0"/>
          <w:bCs w:val="0"/>
          <w:sz w:val="24"/>
          <w:szCs w:val="24"/>
          <w:lang w:val="cs-CZ"/>
        </w:rPr>
        <w:t>systé</w:t>
      </w:r>
      <w:r w:rsidRPr="00F341F2">
        <w:rPr>
          <w:rFonts w:ascii="Calibri" w:hAnsi="Calibri" w:cs="Calibri"/>
          <w:b w:val="0"/>
          <w:bCs w:val="0"/>
          <w:sz w:val="24"/>
          <w:szCs w:val="24"/>
          <w:lang w:val="cs-CZ"/>
        </w:rPr>
        <w:t>m</w:t>
      </w:r>
      <w:r w:rsidR="00EB389D" w:rsidRPr="00F341F2">
        <w:rPr>
          <w:rFonts w:ascii="Calibri" w:hAnsi="Calibri" w:cs="Calibri"/>
          <w:b w:val="0"/>
          <w:bCs w:val="0"/>
          <w:sz w:val="24"/>
          <w:szCs w:val="24"/>
          <w:lang w:val="cs-CZ"/>
        </w:rPr>
        <w:t>u</w:t>
      </w:r>
      <w:r w:rsidRPr="00F341F2">
        <w:rPr>
          <w:rFonts w:ascii="Calibri" w:hAnsi="Calibri" w:cs="Calibri"/>
          <w:b w:val="0"/>
          <w:bCs w:val="0"/>
          <w:sz w:val="24"/>
          <w:szCs w:val="24"/>
          <w:lang w:val="cs-CZ"/>
        </w:rPr>
        <w:t xml:space="preserve"> vzdělávání je prověřit stav a navrhnout zlepšení v oblasti plánování, realizace a vyhodnocování vzdělávacích potřeb. Evaluace prověř</w:t>
      </w:r>
      <w:r w:rsidR="00EB389D" w:rsidRPr="00F341F2">
        <w:rPr>
          <w:rFonts w:ascii="Calibri" w:hAnsi="Calibri" w:cs="Calibri"/>
          <w:b w:val="0"/>
          <w:bCs w:val="0"/>
          <w:sz w:val="24"/>
          <w:szCs w:val="24"/>
          <w:lang w:val="cs-CZ"/>
        </w:rPr>
        <w:t>í</w:t>
      </w:r>
      <w:r w:rsidRPr="00F341F2">
        <w:rPr>
          <w:rFonts w:ascii="Calibri" w:hAnsi="Calibri" w:cs="Calibri"/>
          <w:b w:val="0"/>
          <w:bCs w:val="0"/>
          <w:sz w:val="24"/>
          <w:szCs w:val="24"/>
          <w:lang w:val="cs-CZ"/>
        </w:rPr>
        <w:t xml:space="preserve"> syst</w:t>
      </w:r>
      <w:r w:rsidR="00EB389D" w:rsidRPr="00F341F2">
        <w:rPr>
          <w:rFonts w:ascii="Calibri" w:hAnsi="Calibri" w:cs="Calibri"/>
          <w:b w:val="0"/>
          <w:bCs w:val="0"/>
          <w:sz w:val="24"/>
          <w:szCs w:val="24"/>
          <w:lang w:val="cs-CZ"/>
        </w:rPr>
        <w:t>é</w:t>
      </w:r>
      <w:r w:rsidRPr="00F341F2">
        <w:rPr>
          <w:rFonts w:ascii="Calibri" w:hAnsi="Calibri" w:cs="Calibri"/>
          <w:b w:val="0"/>
          <w:bCs w:val="0"/>
          <w:sz w:val="24"/>
          <w:szCs w:val="24"/>
          <w:lang w:val="cs-CZ"/>
        </w:rPr>
        <w:t xml:space="preserve">m </w:t>
      </w:r>
      <w:r w:rsidR="00EB389D" w:rsidRPr="00F341F2">
        <w:rPr>
          <w:rFonts w:ascii="Calibri" w:hAnsi="Calibri" w:cs="Calibri"/>
          <w:b w:val="0"/>
          <w:bCs w:val="0"/>
          <w:sz w:val="24"/>
          <w:szCs w:val="24"/>
          <w:lang w:val="cs-CZ"/>
        </w:rPr>
        <w:t xml:space="preserve">na ŘO IOP a ZS IOP. Dílčím cílem bude posouzení návaznosti vzdělávacího systému uplatňovaného v IOP na vzdělávací systém jednotlivých institucí, pod které ŘO IOP a ZS IOP spadá, a na vzdělávací aktivity NOK. Očekáváme doporučení, která povedou k zefektivnění systému, standardizaci vzdělávání na všech úrovních implementace a cílenějšímu plánování a vykazování vzdělávacích aktivit. </w:t>
      </w:r>
    </w:p>
    <w:p w:rsidR="00EB389D" w:rsidRPr="00EB389D" w:rsidRDefault="00EB389D" w:rsidP="00E81833">
      <w:pPr>
        <w:pStyle w:val="Nzevkapitoly"/>
        <w:keepNext/>
        <w:rPr>
          <w:rFonts w:ascii="Calibri" w:hAnsi="Calibri" w:cs="Calibri"/>
          <w:lang w:val="cs-CZ"/>
        </w:rPr>
      </w:pPr>
    </w:p>
    <w:p w:rsidR="00EB389D" w:rsidRPr="001A7E2C" w:rsidRDefault="00EB389D" w:rsidP="004032B7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1A7E2C">
        <w:rPr>
          <w:rFonts w:ascii="Calibri" w:hAnsi="Calibri" w:cs="Calibri"/>
          <w:sz w:val="24"/>
          <w:szCs w:val="24"/>
          <w:lang w:val="cs-CZ" w:eastAsia="cs-CZ"/>
        </w:rPr>
        <w:t>Výstup:</w:t>
      </w:r>
      <w:r w:rsidRPr="001A7E2C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evaluační zpráva</w:t>
      </w:r>
    </w:p>
    <w:p w:rsidR="00EB389D" w:rsidRPr="001A7E2C" w:rsidRDefault="00894C2A" w:rsidP="004032B7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>Zpracování: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interní a externí</w:t>
      </w:r>
    </w:p>
    <w:p w:rsidR="00EB389D" w:rsidRPr="001A7E2C" w:rsidRDefault="00894C2A" w:rsidP="004032B7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>Časový rámec: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leden 2013 – červen 2014</w:t>
      </w:r>
    </w:p>
    <w:p w:rsidR="00EB389D" w:rsidRPr="001A7E2C" w:rsidRDefault="00894C2A" w:rsidP="004032B7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>Finanční rozsah: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 500 000,- Kč bez DPH</w:t>
      </w:r>
    </w:p>
    <w:p w:rsidR="00EB389D" w:rsidRPr="001A7E2C" w:rsidRDefault="00894C2A" w:rsidP="004032B7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>Garant: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ministerstvo pro místní rozvoj </w:t>
      </w:r>
    </w:p>
    <w:p w:rsidR="00EB389D" w:rsidRPr="00EB389D" w:rsidRDefault="00EB389D" w:rsidP="00E81833">
      <w:pPr>
        <w:pStyle w:val="Nzevkapitoly"/>
        <w:keepNext/>
        <w:rPr>
          <w:rFonts w:ascii="Calibri" w:hAnsi="Calibri" w:cs="Calibri"/>
          <w:lang w:val="cs-CZ"/>
        </w:rPr>
      </w:pPr>
    </w:p>
    <w:p w:rsidR="00EB389D" w:rsidRPr="001A7E2C" w:rsidRDefault="00EB389D" w:rsidP="001A7E2C">
      <w:pPr>
        <w:pStyle w:val="Nzevkapitoly"/>
        <w:keepNext/>
        <w:rPr>
          <w:rFonts w:ascii="Calibri" w:hAnsi="Calibri" w:cs="Calibri"/>
          <w:lang w:val="cs-CZ"/>
        </w:rPr>
      </w:pPr>
      <w:r w:rsidRPr="001A7E2C">
        <w:rPr>
          <w:rFonts w:ascii="Calibri" w:hAnsi="Calibri" w:cs="Calibri"/>
          <w:lang w:val="cs-CZ"/>
        </w:rPr>
        <w:t xml:space="preserve">Evaluace </w:t>
      </w:r>
      <w:r>
        <w:rPr>
          <w:rFonts w:ascii="Calibri" w:hAnsi="Calibri" w:cs="Calibri"/>
          <w:lang w:val="cs-CZ"/>
        </w:rPr>
        <w:t>provázanosti monitorovacích indikátorů s cíly programu IOP</w:t>
      </w:r>
    </w:p>
    <w:p w:rsidR="00EB389D" w:rsidRPr="00400002" w:rsidRDefault="00EB389D" w:rsidP="001A7E2C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/>
        </w:rPr>
      </w:pPr>
      <w:r w:rsidRPr="00400002">
        <w:rPr>
          <w:rFonts w:ascii="Calibri" w:hAnsi="Calibri" w:cs="Calibri"/>
          <w:b w:val="0"/>
          <w:bCs w:val="0"/>
          <w:sz w:val="24"/>
          <w:szCs w:val="24"/>
          <w:lang w:val="cs-CZ"/>
        </w:rPr>
        <w:t xml:space="preserve">S ohledem na podnět NKÚ při kontrole provázanosti monitorovacích indikátorů s cíly oblasti intervence 5.1 IOP považujeme za vhodné provést interní analýzu této vazby u všech oblastí intervence. Cílem je identifikovat riziková místa a navrhnout doplnění indikátorové soustavy zdroji dat, které umožní vyhodnotit naplnění jednotlivých cílů oblastí intervence. Při evaluaci předpokládáme využít dosavadní výstupy z evaluace změn PD IOP a informace a zdroje dat z jednotlivých resortů, které se podílely na formulaci jednotlivých oblastí intervencí IOP. </w:t>
      </w:r>
    </w:p>
    <w:p w:rsidR="00EB389D" w:rsidRPr="001A7E2C" w:rsidRDefault="00EB389D" w:rsidP="001A7E2C">
      <w:pPr>
        <w:pStyle w:val="Nzevkapitoly"/>
        <w:keepNext/>
        <w:rPr>
          <w:rFonts w:ascii="Calibri" w:hAnsi="Calibri" w:cs="Calibri"/>
          <w:lang w:val="cs-CZ"/>
        </w:rPr>
      </w:pPr>
    </w:p>
    <w:p w:rsidR="00EB389D" w:rsidRPr="001A7E2C" w:rsidRDefault="00EB389D" w:rsidP="001A7E2C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1A7E2C">
        <w:rPr>
          <w:rFonts w:ascii="Calibri" w:hAnsi="Calibri" w:cs="Calibri"/>
          <w:sz w:val="24"/>
          <w:szCs w:val="24"/>
          <w:lang w:val="cs-CZ" w:eastAsia="cs-CZ"/>
        </w:rPr>
        <w:t>Výstup:</w:t>
      </w:r>
      <w:r w:rsidRPr="001A7E2C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evaluační zpráva</w:t>
      </w:r>
    </w:p>
    <w:p w:rsidR="00EB389D" w:rsidRPr="001A7E2C" w:rsidRDefault="00EB389D" w:rsidP="001A7E2C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1A7E2C">
        <w:rPr>
          <w:rFonts w:ascii="Calibri" w:hAnsi="Calibri" w:cs="Calibri"/>
          <w:sz w:val="24"/>
          <w:szCs w:val="24"/>
          <w:lang w:val="cs-CZ" w:eastAsia="cs-CZ"/>
        </w:rPr>
        <w:t>Zpracování: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interní </w:t>
      </w:r>
    </w:p>
    <w:p w:rsidR="00EB389D" w:rsidRPr="001A7E2C" w:rsidRDefault="00EB389D" w:rsidP="001A7E2C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1A7E2C">
        <w:rPr>
          <w:rFonts w:ascii="Calibri" w:hAnsi="Calibri" w:cs="Calibri"/>
          <w:sz w:val="24"/>
          <w:szCs w:val="24"/>
          <w:lang w:val="cs-CZ" w:eastAsia="cs-CZ"/>
        </w:rPr>
        <w:t>Časový rámec:</w:t>
      </w:r>
      <w:r w:rsidRPr="001A7E2C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prosinec</w:t>
      </w:r>
      <w:r w:rsidRPr="001A7E2C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2013 – 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květen</w:t>
      </w:r>
      <w:r w:rsidRPr="001A7E2C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2014</w:t>
      </w:r>
    </w:p>
    <w:p w:rsidR="00EB389D" w:rsidRPr="001A7E2C" w:rsidRDefault="00EB389D" w:rsidP="001A7E2C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1A7E2C">
        <w:rPr>
          <w:rFonts w:ascii="Calibri" w:hAnsi="Calibri" w:cs="Calibri"/>
          <w:sz w:val="24"/>
          <w:szCs w:val="24"/>
          <w:lang w:val="cs-CZ" w:eastAsia="cs-CZ"/>
        </w:rPr>
        <w:t>Finanční rozsah:</w:t>
      </w:r>
      <w:r w:rsidRPr="001A7E2C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 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-</w:t>
      </w:r>
    </w:p>
    <w:p w:rsidR="00EB389D" w:rsidRPr="001A7E2C" w:rsidRDefault="00EB389D" w:rsidP="001A7E2C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1A7E2C">
        <w:rPr>
          <w:rFonts w:ascii="Calibri" w:hAnsi="Calibri" w:cs="Calibri"/>
          <w:sz w:val="24"/>
          <w:szCs w:val="24"/>
          <w:lang w:val="cs-CZ" w:eastAsia="cs-CZ"/>
        </w:rPr>
        <w:t>Garant:</w:t>
      </w:r>
      <w:r w:rsidRPr="001A7E2C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ministerstvo pro místní rozvoj </w:t>
      </w:r>
    </w:p>
    <w:p w:rsidR="00EB389D" w:rsidRPr="00EB389D" w:rsidRDefault="00EB389D" w:rsidP="00E81833">
      <w:pPr>
        <w:pStyle w:val="Nzevkapitoly"/>
        <w:keepNext/>
        <w:rPr>
          <w:rFonts w:ascii="Calibri" w:hAnsi="Calibri" w:cs="Calibri"/>
          <w:lang w:val="cs-CZ"/>
        </w:rPr>
      </w:pPr>
    </w:p>
    <w:p w:rsidR="00EB389D" w:rsidRPr="00EB389D" w:rsidRDefault="00894C2A" w:rsidP="00E81833">
      <w:pPr>
        <w:pStyle w:val="Nzevkapitoly"/>
        <w:keepNext/>
        <w:rPr>
          <w:rFonts w:ascii="Calibri" w:hAnsi="Calibri" w:cs="Calibri"/>
          <w:lang w:val="cs-CZ"/>
        </w:rPr>
      </w:pPr>
      <w:r w:rsidRPr="00894C2A">
        <w:rPr>
          <w:rFonts w:ascii="Calibri" w:hAnsi="Calibri" w:cs="Calibri"/>
          <w:lang w:val="cs-CZ"/>
        </w:rPr>
        <w:t xml:space="preserve">Ex-ante evaluace pro programové období 2014 </w:t>
      </w:r>
      <w:r w:rsidR="00EB389D" w:rsidRPr="00DC602B">
        <w:rPr>
          <w:rFonts w:ascii="Calibri" w:hAnsi="Calibri" w:cs="Calibri"/>
          <w:lang w:val="cs-CZ"/>
        </w:rPr>
        <w:t>–</w:t>
      </w:r>
      <w:r w:rsidRPr="00894C2A">
        <w:rPr>
          <w:rFonts w:ascii="Calibri" w:hAnsi="Calibri" w:cs="Calibri"/>
          <w:lang w:val="cs-CZ"/>
        </w:rPr>
        <w:t xml:space="preserve"> 2020</w:t>
      </w:r>
    </w:p>
    <w:p w:rsidR="009C6405" w:rsidRPr="001A7E2C" w:rsidRDefault="009C6405" w:rsidP="009C6405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Zadání ex ante - předběžného hodnocení vychází z čl. 48 návrhu nařízení o společných ustanoveních (v současném období čl. 48 nařízení č. 1083/2006), jeho provedení je povinností orgánu odpovědného za přípravu programu, předběžné hodnocení se předkládá Komisi současně s programem a se shrnutím. Hodnocení provádějí odborníci funkčně nezávislí na řídící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m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orgán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u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či zpracovateli návrhu programu. </w:t>
      </w:r>
    </w:p>
    <w:p w:rsidR="009C6405" w:rsidRDefault="009C6405" w:rsidP="00A000C6">
      <w:pPr>
        <w:pStyle w:val="Bntext"/>
        <w:rPr>
          <w:rFonts w:ascii="Calibri" w:hAnsi="Calibri" w:cs="Calibri"/>
          <w:b/>
          <w:bCs/>
        </w:rPr>
      </w:pPr>
    </w:p>
    <w:p w:rsidR="00110ED1" w:rsidRDefault="00110ED1" w:rsidP="00A000C6">
      <w:pPr>
        <w:pStyle w:val="Bntext"/>
        <w:rPr>
          <w:rFonts w:ascii="Calibri" w:hAnsi="Calibri" w:cs="Calibri"/>
          <w:b/>
          <w:bCs/>
        </w:rPr>
      </w:pPr>
    </w:p>
    <w:p w:rsidR="00EB389D" w:rsidRPr="001A7E2C" w:rsidRDefault="00EB389D" w:rsidP="00A000C6">
      <w:pPr>
        <w:pStyle w:val="Bntext"/>
        <w:rPr>
          <w:rFonts w:ascii="Calibri" w:hAnsi="Calibri" w:cs="Calibri"/>
        </w:rPr>
      </w:pPr>
      <w:r w:rsidRPr="001A7E2C">
        <w:rPr>
          <w:rFonts w:ascii="Calibri" w:hAnsi="Calibri" w:cs="Calibri"/>
          <w:b/>
          <w:bCs/>
        </w:rPr>
        <w:lastRenderedPageBreak/>
        <w:t>Výstup:</w:t>
      </w:r>
      <w:r w:rsidRPr="001A7E2C">
        <w:rPr>
          <w:rFonts w:ascii="Calibri" w:hAnsi="Calibri" w:cs="Calibri"/>
        </w:rPr>
        <w:t xml:space="preserve"> závěrečná zpráva </w:t>
      </w:r>
    </w:p>
    <w:p w:rsidR="00EB389D" w:rsidRPr="001A7E2C" w:rsidRDefault="00EB389D" w:rsidP="00A000C6">
      <w:pPr>
        <w:pStyle w:val="Bntext"/>
        <w:rPr>
          <w:rFonts w:ascii="Calibri" w:hAnsi="Calibri" w:cs="Calibri"/>
        </w:rPr>
      </w:pPr>
      <w:r w:rsidRPr="001A7E2C">
        <w:rPr>
          <w:rFonts w:ascii="Calibri" w:hAnsi="Calibri" w:cs="Calibri"/>
          <w:b/>
          <w:bCs/>
        </w:rPr>
        <w:t xml:space="preserve">Zpracování: </w:t>
      </w:r>
      <w:r w:rsidRPr="001A7E2C">
        <w:rPr>
          <w:rFonts w:ascii="Calibri" w:hAnsi="Calibri" w:cs="Calibri"/>
        </w:rPr>
        <w:t>externí</w:t>
      </w:r>
    </w:p>
    <w:p w:rsidR="00EB389D" w:rsidRPr="001A7E2C" w:rsidRDefault="00EB389D" w:rsidP="00A000C6">
      <w:pPr>
        <w:pStyle w:val="Bntex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Časový rámec:</w:t>
      </w:r>
      <w:r>
        <w:rPr>
          <w:rFonts w:ascii="Calibri" w:hAnsi="Calibri" w:cs="Calibri"/>
        </w:rPr>
        <w:t xml:space="preserve"> prosinec 2012 – červenec 2013</w:t>
      </w:r>
    </w:p>
    <w:p w:rsidR="00EB389D" w:rsidRPr="001A7E2C" w:rsidRDefault="00EB389D" w:rsidP="00A000C6">
      <w:pPr>
        <w:pStyle w:val="Bntex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Finanční rozsah:  </w:t>
      </w:r>
      <w:r>
        <w:rPr>
          <w:rFonts w:ascii="Calibri" w:hAnsi="Calibri" w:cs="Calibri"/>
        </w:rPr>
        <w:t>700 000,- bez DPH</w:t>
      </w:r>
    </w:p>
    <w:p w:rsidR="00EB389D" w:rsidRPr="001A7E2C" w:rsidRDefault="00894C2A" w:rsidP="00A000C6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>Garant: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ministerstvo pro místní rozvoj </w:t>
      </w:r>
    </w:p>
    <w:p w:rsidR="00EB389D" w:rsidRPr="001A7E2C" w:rsidRDefault="00EB389D" w:rsidP="00A000C6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</w:p>
    <w:p w:rsidR="00EB389D" w:rsidRPr="00EB389D" w:rsidRDefault="00894C2A" w:rsidP="00A000C6">
      <w:pPr>
        <w:pStyle w:val="Nzevkapitoly"/>
        <w:keepNext/>
        <w:rPr>
          <w:rFonts w:ascii="Calibri" w:hAnsi="Calibri" w:cs="Calibri"/>
          <w:lang w:val="cs-CZ"/>
        </w:rPr>
      </w:pPr>
      <w:r w:rsidRPr="00894C2A">
        <w:rPr>
          <w:rFonts w:ascii="Calibri" w:hAnsi="Calibri" w:cs="Calibri"/>
          <w:lang w:val="cs-CZ"/>
        </w:rPr>
        <w:t>Posouzení vlivu programu pro 2014+ na životní prostředí</w:t>
      </w:r>
    </w:p>
    <w:p w:rsidR="009C6405" w:rsidRPr="001A7E2C" w:rsidRDefault="009C6405" w:rsidP="009C6405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1A7E2C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Zpracování posouzení vlivu </w:t>
      </w:r>
      <w: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programu</w:t>
      </w:r>
      <w:r w:rsidRPr="001A7E2C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na životní prostředí (včetně vlivů na veřejné zdraví a na soustavu NATURA 2000) vychází nejen z ustanovení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čl. 48 odst. 4 návrhu nařízení o společných ustanoveních, ale rovněž ze zákona č. 100/2001 Sb., o posuzování vlivů na životní prostředí v aktuálním znění, který do českého prostředí transponuje směrnici EP a Rady č. 2001/42/ES ze dne 27. 6. 2001. Posouzení musí provádět osoba/osoby s autorizací (nebo firma, u níž osoby s autorizací pracují), osvědčení o způsobilosti vydává MŽP.</w:t>
      </w:r>
    </w:p>
    <w:p w:rsidR="009C6405" w:rsidRDefault="009C6405" w:rsidP="00A000C6">
      <w:pPr>
        <w:pStyle w:val="Bntext"/>
        <w:rPr>
          <w:rFonts w:ascii="Calibri" w:hAnsi="Calibri" w:cs="Calibri"/>
          <w:b/>
          <w:bCs/>
        </w:rPr>
      </w:pPr>
    </w:p>
    <w:p w:rsidR="00EB389D" w:rsidRPr="001A7E2C" w:rsidRDefault="00EB389D" w:rsidP="00A000C6">
      <w:pPr>
        <w:pStyle w:val="Bntext"/>
        <w:rPr>
          <w:rFonts w:ascii="Calibri" w:hAnsi="Calibri" w:cs="Calibri"/>
        </w:rPr>
      </w:pPr>
      <w:r w:rsidRPr="001A7E2C">
        <w:rPr>
          <w:rFonts w:ascii="Calibri" w:hAnsi="Calibri" w:cs="Calibri"/>
          <w:b/>
          <w:bCs/>
        </w:rPr>
        <w:t>Výstup:</w:t>
      </w:r>
      <w:r w:rsidRPr="001A7E2C">
        <w:rPr>
          <w:rFonts w:ascii="Calibri" w:hAnsi="Calibri" w:cs="Calibri"/>
        </w:rPr>
        <w:t xml:space="preserve"> závěrečná zpráva </w:t>
      </w:r>
    </w:p>
    <w:p w:rsidR="00EB389D" w:rsidRPr="001A7E2C" w:rsidRDefault="00EB389D" w:rsidP="00A000C6">
      <w:pPr>
        <w:pStyle w:val="Bntex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Zpracování: </w:t>
      </w:r>
      <w:r>
        <w:rPr>
          <w:rFonts w:ascii="Calibri" w:hAnsi="Calibri" w:cs="Calibri"/>
        </w:rPr>
        <w:t>externí</w:t>
      </w:r>
    </w:p>
    <w:p w:rsidR="00EB389D" w:rsidRPr="001A7E2C" w:rsidRDefault="00EB389D" w:rsidP="00A000C6">
      <w:pPr>
        <w:pStyle w:val="Bntext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Časový rámec:</w:t>
      </w:r>
      <w:r>
        <w:rPr>
          <w:rFonts w:ascii="Calibri" w:hAnsi="Calibri" w:cs="Calibri"/>
        </w:rPr>
        <w:t xml:space="preserve"> prosinec 2012 – červenec 2013</w:t>
      </w:r>
    </w:p>
    <w:p w:rsidR="00EB389D" w:rsidRPr="001A7E2C" w:rsidRDefault="00EB389D" w:rsidP="00A000C6">
      <w:pPr>
        <w:pStyle w:val="Bntex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Finanční rozsah: </w:t>
      </w:r>
      <w:r>
        <w:rPr>
          <w:rFonts w:ascii="Calibri" w:hAnsi="Calibri" w:cs="Calibri"/>
        </w:rPr>
        <w:t>500 000,- bez DPH</w:t>
      </w:r>
    </w:p>
    <w:p w:rsidR="00EB389D" w:rsidRPr="001A7E2C" w:rsidRDefault="00894C2A" w:rsidP="00A000C6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>Garant: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ministerstvo pro místní rozvoj </w:t>
      </w:r>
    </w:p>
    <w:p w:rsidR="00EB389D" w:rsidRPr="00EB389D" w:rsidRDefault="00EB389D" w:rsidP="00A000C6">
      <w:pPr>
        <w:pStyle w:val="Nzevkapitoly"/>
        <w:keepNext/>
        <w:rPr>
          <w:rFonts w:ascii="Calibri" w:hAnsi="Calibri" w:cs="Calibri"/>
          <w:lang w:val="cs-CZ"/>
        </w:rPr>
      </w:pPr>
    </w:p>
    <w:p w:rsidR="00EB389D" w:rsidRPr="001A7E2C" w:rsidRDefault="00EB389D" w:rsidP="00E81833">
      <w:pPr>
        <w:pStyle w:val="Nzevkapitoly"/>
        <w:keepNext/>
        <w:rPr>
          <w:rFonts w:ascii="Calibri" w:hAnsi="Calibri" w:cs="Calibri"/>
          <w:sz w:val="24"/>
          <w:szCs w:val="24"/>
          <w:lang w:val="cs-CZ"/>
        </w:rPr>
      </w:pPr>
    </w:p>
    <w:p w:rsidR="00EB389D" w:rsidRPr="001A7E2C" w:rsidRDefault="00894C2A" w:rsidP="00F66BAE">
      <w:pPr>
        <w:pStyle w:val="Nzevkapitoly"/>
        <w:keepNext/>
        <w:rPr>
          <w:rFonts w:ascii="Calibri" w:hAnsi="Calibri" w:cs="Calibri"/>
          <w:sz w:val="24"/>
          <w:szCs w:val="24"/>
          <w:lang w:val="cs-CZ"/>
        </w:rPr>
      </w:pPr>
      <w:r w:rsidRPr="00894C2A">
        <w:rPr>
          <w:rFonts w:ascii="Calibri" w:hAnsi="Calibri" w:cs="Calibri"/>
          <w:sz w:val="24"/>
          <w:szCs w:val="24"/>
          <w:lang w:val="cs-CZ"/>
        </w:rPr>
        <w:t>Ad hoc evaluace</w:t>
      </w:r>
    </w:p>
    <w:p w:rsidR="00EB389D" w:rsidRPr="001A7E2C" w:rsidRDefault="00EB389D" w:rsidP="00F66BAE">
      <w:pPr>
        <w:pStyle w:val="Bntext"/>
        <w:rPr>
          <w:rFonts w:ascii="Calibri" w:hAnsi="Calibri" w:cs="Calibri"/>
        </w:rPr>
      </w:pPr>
      <w:r>
        <w:rPr>
          <w:rFonts w:ascii="Calibri" w:hAnsi="Calibri" w:cs="Calibri"/>
        </w:rPr>
        <w:t>Ad hoc evaluace jsou hodnocení operativní povahy, vypracovaná na základě problémů zjištěných při implementaci IOP, zadání od Monitorovacího výboru IOP nebo požadavku NOK a Evropské komise.</w:t>
      </w:r>
    </w:p>
    <w:p w:rsidR="00EB389D" w:rsidRPr="001A7E2C" w:rsidRDefault="00EB389D" w:rsidP="002637D4">
      <w:pPr>
        <w:pStyle w:val="Bntext"/>
        <w:rPr>
          <w:rFonts w:ascii="Calibri" w:hAnsi="Calibri" w:cs="Calibri"/>
          <w:b/>
          <w:bCs/>
        </w:rPr>
      </w:pPr>
    </w:p>
    <w:p w:rsidR="00EB389D" w:rsidRPr="001A7E2C" w:rsidRDefault="00EB389D" w:rsidP="002637D4">
      <w:pPr>
        <w:pStyle w:val="Bntext"/>
        <w:rPr>
          <w:rFonts w:ascii="Calibri" w:hAnsi="Calibri" w:cs="Calibri"/>
          <w:b/>
          <w:bCs/>
        </w:rPr>
      </w:pPr>
    </w:p>
    <w:p w:rsidR="00EB389D" w:rsidRPr="001A7E2C" w:rsidRDefault="00EB389D" w:rsidP="002637D4">
      <w:pPr>
        <w:pStyle w:val="Bntext"/>
        <w:rPr>
          <w:rFonts w:ascii="Calibri" w:hAnsi="Calibri" w:cs="Calibri"/>
          <w:b/>
          <w:bCs/>
        </w:rPr>
      </w:pPr>
    </w:p>
    <w:p w:rsidR="00EB389D" w:rsidRPr="001A7E2C" w:rsidRDefault="00EB389D" w:rsidP="002637D4">
      <w:pPr>
        <w:pStyle w:val="Bntext"/>
        <w:rPr>
          <w:rFonts w:ascii="Calibri" w:hAnsi="Calibri" w:cs="Calibri"/>
          <w:b/>
          <w:bCs/>
        </w:rPr>
      </w:pPr>
    </w:p>
    <w:p w:rsidR="00EB389D" w:rsidRPr="001A7E2C" w:rsidRDefault="00EB389D" w:rsidP="002637D4">
      <w:pPr>
        <w:pStyle w:val="Bntext"/>
        <w:rPr>
          <w:rFonts w:ascii="Calibri" w:hAnsi="Calibri" w:cs="Calibri"/>
          <w:b/>
          <w:bCs/>
        </w:rPr>
      </w:pPr>
    </w:p>
    <w:p w:rsidR="00EB389D" w:rsidRPr="001A7E2C" w:rsidRDefault="00EB389D" w:rsidP="002637D4">
      <w:pPr>
        <w:pStyle w:val="Bntext"/>
        <w:rPr>
          <w:rFonts w:ascii="Calibri" w:hAnsi="Calibri" w:cs="Calibri"/>
          <w:b/>
          <w:bCs/>
        </w:rPr>
      </w:pPr>
    </w:p>
    <w:p w:rsidR="00EB389D" w:rsidRPr="001A7E2C" w:rsidRDefault="00894C2A" w:rsidP="00F66BAE">
      <w:pPr>
        <w:pStyle w:val="Nzev"/>
        <w:rPr>
          <w:rFonts w:ascii="Calibri" w:hAnsi="Calibri" w:cs="Calibri"/>
          <w:sz w:val="36"/>
          <w:szCs w:val="36"/>
        </w:rPr>
      </w:pPr>
      <w:r w:rsidRPr="00894C2A">
        <w:rPr>
          <w:rFonts w:ascii="Calibri" w:hAnsi="Calibri" w:cs="Calibri"/>
          <w:sz w:val="36"/>
          <w:szCs w:val="36"/>
        </w:rPr>
        <w:lastRenderedPageBreak/>
        <w:t>EVALUACE ZPROSTŘEDKUJÍCÍCH SUBJEKTŮ</w:t>
      </w:r>
    </w:p>
    <w:p w:rsidR="00EB389D" w:rsidRPr="001A7E2C" w:rsidRDefault="00EB389D" w:rsidP="00F66BAE">
      <w:pPr>
        <w:pStyle w:val="Bntext"/>
        <w:jc w:val="center"/>
        <w:rPr>
          <w:rFonts w:ascii="Calibri" w:hAnsi="Calibri" w:cs="Calibri"/>
          <w:b/>
          <w:bCs/>
          <w:u w:val="single"/>
        </w:rPr>
      </w:pPr>
    </w:p>
    <w:p w:rsidR="00EB389D" w:rsidRPr="00EB389D" w:rsidRDefault="00894C2A" w:rsidP="00F66BAE">
      <w:pPr>
        <w:pStyle w:val="Nzevkapitoly"/>
        <w:keepNext/>
        <w:rPr>
          <w:rFonts w:ascii="Calibri" w:hAnsi="Calibri" w:cs="Calibri"/>
          <w:lang w:val="cs-CZ"/>
        </w:rPr>
      </w:pPr>
      <w:r w:rsidRPr="00894C2A">
        <w:rPr>
          <w:rFonts w:ascii="Calibri" w:hAnsi="Calibri" w:cs="Calibri"/>
          <w:lang w:val="cs-CZ"/>
        </w:rPr>
        <w:t xml:space="preserve">Audit realizace projektů 4., 5. a 8. výzvy oblasti intervence 3.2 Integrovaného operačního programu </w:t>
      </w:r>
    </w:p>
    <w:p w:rsidR="00EB389D" w:rsidRPr="001A7E2C" w:rsidRDefault="00EB389D" w:rsidP="0074520C">
      <w:pPr>
        <w:pStyle w:val="Nzevkapitoly"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1A7E2C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MZd v roce 2011 připravilo Projekt technické pomoci 6.1 – Audity 4., 5. a 8. výzvy Ministerstva zdravotnictví, který byl schválen k realizaci Výběrovou komisí TP IOP. Svou povahou navazuje evaluace na Audit realizace projektů 1.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výzvy oblasti intervence 3.2 Integrovaného operačního programu, který byl realizován na začátku roku 2011. Cílem auditu je tedy kontrola a vyhodnocení průběhu zadávacích řízení realizovaných v rámci všech grantových projektů 4., 5. a 8. výzvy oblasti intervence 3.2 IOP na jejímž základě dodavatel provede i analýzu efektivnosti realizace výběrových řízení</w:t>
      </w:r>
      <w:r w:rsidR="000436B5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především z hlediska dosažení cen v místě a čase obvyklých. Cílem je rovněž posouzení nastavení administrativních postupů a procesů odboru evropských fondů při administraci projektů a ověření dodržování nastavených postupů pracovníky odboru. </w:t>
      </w:r>
    </w:p>
    <w:p w:rsidR="00EB389D" w:rsidRPr="001A7E2C" w:rsidRDefault="00EB389D" w:rsidP="0074520C">
      <w:pPr>
        <w:pStyle w:val="Nzevkapitoly"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Zakázka bude rozdělena dle § 98 na tři části, které budou probíhat vzhledem k rozdílným termínům ukončení projektů v</w:t>
      </w:r>
      <w:r w:rsidR="000436B5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 rámci jednotlivých výzev odděleně. </w:t>
      </w:r>
    </w:p>
    <w:p w:rsidR="00EB389D" w:rsidRPr="001A7E2C" w:rsidRDefault="00EB389D" w:rsidP="0074520C">
      <w:pPr>
        <w:pStyle w:val="Nzevkapitoly"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Přestože je zakázka nazvána jako audit, může být považována rovněž za evaluaci, z níž vzejde zhodnocení dosavadního nastavení implementačního systému v</w:t>
      </w:r>
      <w:r w:rsidR="000436B5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 rámci ZS při administraci projektů a především doporučení pro jeho změnu – zejména úpravy Operačního manuálu ZS GG MZd, úprava konkrétních pracovních postupů odboru evropských fondů, návrhy na zlepšení komunikace a předávání informací atp. Výstupem pak budou rovněž i doporučení pro realizaci zakázek v prostředí českého zdravotnictví obecně. </w:t>
      </w:r>
    </w:p>
    <w:p w:rsidR="00EB389D" w:rsidRPr="001A7E2C" w:rsidRDefault="00894C2A" w:rsidP="00F66BAE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>Výstup: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auditní (evaluační) zpráva/souhrnná zpráva </w:t>
      </w:r>
    </w:p>
    <w:p w:rsidR="00EB389D" w:rsidRPr="001A7E2C" w:rsidRDefault="00894C2A" w:rsidP="00F66BAE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>Zpracování: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externí</w:t>
      </w:r>
    </w:p>
    <w:p w:rsidR="00EB389D" w:rsidRPr="001A7E2C" w:rsidRDefault="00894C2A" w:rsidP="00F66BAE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>Časový rámec: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říjen 2012 až duben 2014  </w:t>
      </w:r>
    </w:p>
    <w:p w:rsidR="00EB389D" w:rsidRPr="001A7E2C" w:rsidRDefault="00894C2A" w:rsidP="00F66BAE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>Finanční rozsah: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12 200 000 Kč včetně DPH </w:t>
      </w:r>
    </w:p>
    <w:p w:rsidR="00EB389D" w:rsidRPr="001A7E2C" w:rsidRDefault="00894C2A" w:rsidP="00F66BAE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 xml:space="preserve">Garant: 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ministerstvo zdravotnictví</w:t>
      </w:r>
    </w:p>
    <w:p w:rsidR="00EB389D" w:rsidRPr="001A7E2C" w:rsidRDefault="00EB389D" w:rsidP="0074520C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</w:p>
    <w:p w:rsidR="00EB389D" w:rsidRPr="00EB389D" w:rsidRDefault="00894C2A" w:rsidP="00F66BAE">
      <w:pPr>
        <w:pStyle w:val="Nzevkapitoly"/>
        <w:keepNext/>
        <w:rPr>
          <w:rFonts w:ascii="Calibri" w:hAnsi="Calibri" w:cs="Calibri"/>
          <w:lang w:val="cs-CZ"/>
        </w:rPr>
      </w:pPr>
      <w:r w:rsidRPr="00894C2A">
        <w:rPr>
          <w:rFonts w:ascii="Calibri" w:hAnsi="Calibri" w:cs="Calibri"/>
          <w:lang w:val="cs-CZ"/>
        </w:rPr>
        <w:t>Evaluace oblasti intervence 3.2 s</w:t>
      </w:r>
      <w:r w:rsidR="00EB389D" w:rsidRPr="00DC602B">
        <w:rPr>
          <w:rFonts w:ascii="Calibri" w:hAnsi="Calibri" w:cs="Calibri"/>
          <w:lang w:val="cs-CZ"/>
        </w:rPr>
        <w:t> </w:t>
      </w:r>
      <w:r w:rsidRPr="00894C2A">
        <w:rPr>
          <w:rFonts w:ascii="Calibri" w:hAnsi="Calibri" w:cs="Calibri"/>
          <w:lang w:val="cs-CZ"/>
        </w:rPr>
        <w:t>ohledem na dosažení definovaných cílů a zkušeností s</w:t>
      </w:r>
      <w:r w:rsidR="00EB389D" w:rsidRPr="00DC602B">
        <w:rPr>
          <w:rFonts w:ascii="Calibri" w:hAnsi="Calibri" w:cs="Calibri"/>
          <w:lang w:val="cs-CZ"/>
        </w:rPr>
        <w:t> </w:t>
      </w:r>
      <w:r w:rsidRPr="00894C2A">
        <w:rPr>
          <w:rFonts w:ascii="Calibri" w:hAnsi="Calibri" w:cs="Calibri"/>
          <w:lang w:val="cs-CZ"/>
        </w:rPr>
        <w:t>implementací podpory v</w:t>
      </w:r>
      <w:r w:rsidR="00EB389D" w:rsidRPr="00DC602B">
        <w:rPr>
          <w:rFonts w:ascii="Calibri" w:hAnsi="Calibri" w:cs="Calibri"/>
          <w:lang w:val="cs-CZ"/>
        </w:rPr>
        <w:t> </w:t>
      </w:r>
      <w:r w:rsidRPr="00894C2A">
        <w:rPr>
          <w:rFonts w:ascii="Calibri" w:hAnsi="Calibri" w:cs="Calibri"/>
          <w:lang w:val="cs-CZ"/>
        </w:rPr>
        <w:t xml:space="preserve">rámci českého zdravotnictví </w:t>
      </w:r>
    </w:p>
    <w:p w:rsidR="00EB389D" w:rsidRPr="001A7E2C" w:rsidRDefault="00EB389D" w:rsidP="0074520C">
      <w:pPr>
        <w:pStyle w:val="Nzevkapitoly"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1A7E2C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MZd zamýšlí v roce 201</w:t>
      </w:r>
      <w:r w:rsidR="00CA0B6A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3</w:t>
      </w:r>
      <w:r w:rsidRPr="001A7E2C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provést zhodnocení dosavadního a předpokládaného plnění cílů oblasti intervence 3.2 na základ</w:t>
      </w: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ě realizovaných projektů dosud vyhlášených výzev v kontextu současného společenského a ekonomického vývoje a zejména očekávaného stavu českého zdravotnictví, kdy bude především kladen důraz na zhodnocení plnění globálního cíle definovaného následujícím způsobem: „Zajištění dostupnosti a kvality standardizované zdravotní péče včetně rozvoje efektivního systému prevence zdravotních rizik a modernizace proces</w:t>
      </w:r>
      <w:r w:rsidR="000436B5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ů řízení kvality a nákladovosti v systému poskytování služeb veřejného zdraví (public </w:t>
      </w:r>
      <w:proofErr w:type="spellStart"/>
      <w:r w:rsidR="000436B5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health</w:t>
      </w:r>
      <w:proofErr w:type="spellEnd"/>
      <w:r w:rsidR="000436B5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</w:t>
      </w:r>
      <w:proofErr w:type="spellStart"/>
      <w:r w:rsidR="000436B5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services</w:t>
      </w:r>
      <w:proofErr w:type="spellEnd"/>
      <w:r w:rsidR="000436B5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).“ </w:t>
      </w:r>
    </w:p>
    <w:p w:rsidR="00EB389D" w:rsidRPr="001A7E2C" w:rsidRDefault="00EB389D" w:rsidP="0074520C">
      <w:pPr>
        <w:pStyle w:val="Nzevkapitoly"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lastRenderedPageBreak/>
        <w:t xml:space="preserve">Vzhledem ke stavu realizace oblasti intervence budou výstupy této evaluace především použity jako podkladová analýza pro přípravu příštího programového období politiky hospodářské, sociální a územní soudržnosti EU 2014 – 2020. </w:t>
      </w:r>
    </w:p>
    <w:p w:rsidR="00EB389D" w:rsidRPr="001A7E2C" w:rsidRDefault="00EB389D" w:rsidP="0074520C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</w:p>
    <w:p w:rsidR="00EB389D" w:rsidRPr="001A7E2C" w:rsidRDefault="00EB389D" w:rsidP="0074520C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Základní otázky, které by měla evaluace odpovědět, jsou: </w:t>
      </w:r>
    </w:p>
    <w:p w:rsidR="00EB389D" w:rsidRPr="001A7E2C" w:rsidRDefault="00EB389D" w:rsidP="0074520C">
      <w:pPr>
        <w:pStyle w:val="Nzevkapitoly"/>
        <w:keepNext/>
        <w:numPr>
          <w:ilvl w:val="0"/>
          <w:numId w:val="48"/>
        </w:numP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Jsou zvolené aktivity v realizovaných projektech relevantní stanoveným cílům oblasti intervence 3.2? Povede jejich realizace k </w:t>
      </w:r>
      <w:r w:rsidR="000436B5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naplnění těchto cílů (částečné/úplné)? </w:t>
      </w:r>
    </w:p>
    <w:p w:rsidR="00EB389D" w:rsidRPr="001A7E2C" w:rsidRDefault="00EB389D" w:rsidP="0074520C">
      <w:pPr>
        <w:pStyle w:val="Nzevkapitoly"/>
        <w:keepNext/>
        <w:numPr>
          <w:ilvl w:val="0"/>
          <w:numId w:val="48"/>
        </w:numP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Které aktivity je ještě nezbytné realizovat pro úspěšné naplnění cílů oblasti intervence 3.2?</w:t>
      </w:r>
    </w:p>
    <w:p w:rsidR="00EB389D" w:rsidRPr="001A7E2C" w:rsidRDefault="00EB389D" w:rsidP="0074520C">
      <w:pPr>
        <w:pStyle w:val="Nzevkapitoly"/>
        <w:keepNext/>
        <w:numPr>
          <w:ilvl w:val="0"/>
          <w:numId w:val="48"/>
        </w:numP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Odpovídá nastavení oprávněných žadatelů v rámci 3.2 cílům oblasti intervence 3.2? </w:t>
      </w:r>
    </w:p>
    <w:p w:rsidR="00EB389D" w:rsidRPr="001A7E2C" w:rsidRDefault="00EB389D" w:rsidP="0074520C">
      <w:pPr>
        <w:pStyle w:val="Nzevkapitoly"/>
        <w:keepNext/>
        <w:numPr>
          <w:ilvl w:val="0"/>
          <w:numId w:val="48"/>
        </w:numP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Jsou vynaložené prostředky adekvátní dosaženým výstupům? </w:t>
      </w:r>
    </w:p>
    <w:p w:rsidR="00EB389D" w:rsidRPr="001A7E2C" w:rsidRDefault="00EB389D" w:rsidP="0074520C">
      <w:pPr>
        <w:pStyle w:val="Nzevkapitoly"/>
        <w:keepNext/>
        <w:numPr>
          <w:ilvl w:val="0"/>
          <w:numId w:val="48"/>
        </w:numP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Odpovídá skutečné rozložení alokací mezi jednotlivé podporované aktivity (a, b, c) v rámci výzev cílům programu a dosaženým výsledkům?</w:t>
      </w:r>
    </w:p>
    <w:p w:rsidR="00EB389D" w:rsidRPr="001A7E2C" w:rsidRDefault="00EB389D" w:rsidP="0074520C">
      <w:pPr>
        <w:pStyle w:val="Nzevkapitoly"/>
        <w:keepNext/>
        <w:numPr>
          <w:ilvl w:val="0"/>
          <w:numId w:val="48"/>
        </w:numP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Dochází při realizaci projektů 3.2 IOP k synergickým vazbám s </w:t>
      </w:r>
      <w:r w:rsidR="000436B5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dalšími projekty financovanými v rámci fondů EU? </w:t>
      </w:r>
    </w:p>
    <w:p w:rsidR="00EB389D" w:rsidRPr="001A7E2C" w:rsidRDefault="00EB389D" w:rsidP="0074520C">
      <w:pPr>
        <w:pStyle w:val="Nzevkapitoly"/>
        <w:keepNext/>
        <w:numPr>
          <w:ilvl w:val="0"/>
          <w:numId w:val="48"/>
        </w:numPr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Mají výsledky projektů vliv na ekonomický a sociální rozvoj jednotlivých regionů? </w:t>
      </w:r>
    </w:p>
    <w:p w:rsidR="00EB389D" w:rsidRPr="001A7E2C" w:rsidRDefault="00EB389D" w:rsidP="0074520C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</w:p>
    <w:p w:rsidR="00EB389D" w:rsidRPr="001A7E2C" w:rsidRDefault="00894C2A" w:rsidP="00F66BAE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>Výstup: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evaluační zpráva</w:t>
      </w:r>
    </w:p>
    <w:p w:rsidR="00EB389D" w:rsidRPr="001A7E2C" w:rsidRDefault="00894C2A" w:rsidP="00F66BAE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>Zpracování: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interní a externí</w:t>
      </w:r>
    </w:p>
    <w:p w:rsidR="00EB389D" w:rsidRPr="001A7E2C" w:rsidRDefault="00894C2A" w:rsidP="00F66BAE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>Časový rámec: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</w:t>
      </w:r>
      <w:r w:rsidR="00400002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březen 2013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– </w:t>
      </w:r>
      <w:r w:rsidR="00400002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červen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201</w:t>
      </w:r>
      <w:r w:rsidR="00CA0B6A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3</w:t>
      </w:r>
    </w:p>
    <w:p w:rsidR="00EB389D" w:rsidRPr="001A7E2C" w:rsidRDefault="00894C2A" w:rsidP="00F66BAE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>Finanční rozsah:</w:t>
      </w:r>
      <w:r w:rsidR="00400002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bude stanoven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 xml:space="preserve"> na základě konkrétního zadání </w:t>
      </w:r>
    </w:p>
    <w:p w:rsidR="00EB389D" w:rsidRPr="001A7E2C" w:rsidRDefault="00894C2A" w:rsidP="00F66BAE">
      <w:pPr>
        <w:pStyle w:val="Nzevkapitoly"/>
        <w:keepNext/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</w:pPr>
      <w:r w:rsidRPr="00894C2A">
        <w:rPr>
          <w:rFonts w:ascii="Calibri" w:hAnsi="Calibri" w:cs="Calibri"/>
          <w:sz w:val="24"/>
          <w:szCs w:val="24"/>
          <w:lang w:val="cs-CZ" w:eastAsia="cs-CZ"/>
        </w:rPr>
        <w:t xml:space="preserve">Garant: </w:t>
      </w:r>
      <w:r w:rsidR="00EB389D" w:rsidRPr="00DC602B">
        <w:rPr>
          <w:rFonts w:ascii="Calibri" w:hAnsi="Calibri" w:cs="Calibri"/>
          <w:b w:val="0"/>
          <w:bCs w:val="0"/>
          <w:sz w:val="24"/>
          <w:szCs w:val="24"/>
          <w:lang w:val="cs-CZ" w:eastAsia="cs-CZ"/>
        </w:rPr>
        <w:t>ministerstvo zdravotnictví</w:t>
      </w:r>
    </w:p>
    <w:p w:rsidR="00EB389D" w:rsidRPr="001A7E2C" w:rsidRDefault="00EB389D" w:rsidP="00E81833">
      <w:pPr>
        <w:pStyle w:val="Nzevkapitoly"/>
        <w:keepNext/>
        <w:rPr>
          <w:rFonts w:ascii="Calibri" w:hAnsi="Calibri" w:cs="Calibri"/>
          <w:sz w:val="24"/>
          <w:szCs w:val="24"/>
          <w:lang w:val="cs-CZ"/>
        </w:rPr>
      </w:pPr>
    </w:p>
    <w:p w:rsidR="00EB389D" w:rsidRPr="001A7E2C" w:rsidRDefault="00EB389D" w:rsidP="00E81833">
      <w:pPr>
        <w:pStyle w:val="Nzevkapitoly"/>
        <w:keepNext/>
        <w:rPr>
          <w:rFonts w:ascii="Calibri" w:hAnsi="Calibri" w:cs="Calibri"/>
          <w:sz w:val="24"/>
          <w:szCs w:val="24"/>
          <w:lang w:val="cs-CZ"/>
        </w:rPr>
      </w:pPr>
    </w:p>
    <w:sectPr w:rsidR="00EB389D" w:rsidRPr="001A7E2C" w:rsidSect="00EB389D">
      <w:headerReference w:type="default" r:id="rId7"/>
      <w:foot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AC9" w:rsidRDefault="00621AC9">
      <w:r>
        <w:separator/>
      </w:r>
    </w:p>
  </w:endnote>
  <w:endnote w:type="continuationSeparator" w:id="0">
    <w:p w:rsidR="00621AC9" w:rsidRDefault="00621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C9" w:rsidRPr="001F774C" w:rsidRDefault="00621AC9">
    <w:pPr>
      <w:pStyle w:val="Zpat"/>
      <w:rPr>
        <w:rFonts w:ascii="Arial" w:hAnsi="Arial" w:cs="Arial"/>
        <w:sz w:val="20"/>
        <w:szCs w:val="20"/>
      </w:rPr>
    </w:pPr>
    <w:r>
      <w:rPr>
        <w:rStyle w:val="slostrnky"/>
        <w:rFonts w:ascii="Arial" w:hAnsi="Arial" w:cs="Arial"/>
        <w:sz w:val="20"/>
        <w:szCs w:val="20"/>
      </w:rPr>
      <w:t>ŘO IOP</w:t>
    </w:r>
    <w:r>
      <w:rPr>
        <w:rStyle w:val="slostrnky"/>
        <w:rFonts w:ascii="Arial" w:hAnsi="Arial" w:cs="Arial"/>
        <w:sz w:val="20"/>
        <w:szCs w:val="20"/>
      </w:rPr>
      <w:tab/>
    </w:r>
    <w:r w:rsidR="00090449" w:rsidRPr="001F774C">
      <w:rPr>
        <w:rStyle w:val="slostrnky"/>
        <w:rFonts w:ascii="Arial" w:hAnsi="Arial" w:cs="Arial"/>
        <w:sz w:val="20"/>
        <w:szCs w:val="20"/>
      </w:rPr>
      <w:fldChar w:fldCharType="begin"/>
    </w:r>
    <w:r w:rsidRPr="001F774C">
      <w:rPr>
        <w:rStyle w:val="slostrnky"/>
        <w:rFonts w:ascii="Arial" w:hAnsi="Arial" w:cs="Arial"/>
        <w:sz w:val="20"/>
        <w:szCs w:val="20"/>
      </w:rPr>
      <w:instrText xml:space="preserve"> PAGE </w:instrText>
    </w:r>
    <w:r w:rsidR="00090449" w:rsidRPr="001F774C">
      <w:rPr>
        <w:rStyle w:val="slostrnky"/>
        <w:rFonts w:ascii="Arial" w:hAnsi="Arial" w:cs="Arial"/>
        <w:sz w:val="20"/>
        <w:szCs w:val="20"/>
      </w:rPr>
      <w:fldChar w:fldCharType="separate"/>
    </w:r>
    <w:r w:rsidR="00110ED1">
      <w:rPr>
        <w:rStyle w:val="slostrnky"/>
        <w:rFonts w:ascii="Arial" w:hAnsi="Arial" w:cs="Arial"/>
        <w:noProof/>
        <w:sz w:val="20"/>
        <w:szCs w:val="20"/>
      </w:rPr>
      <w:t>6</w:t>
    </w:r>
    <w:r w:rsidR="00090449" w:rsidRPr="001F774C">
      <w:rPr>
        <w:rStyle w:val="slostrnky"/>
        <w:rFonts w:ascii="Arial" w:hAnsi="Arial" w:cs="Arial"/>
        <w:sz w:val="20"/>
        <w:szCs w:val="20"/>
      </w:rPr>
      <w:fldChar w:fldCharType="end"/>
    </w:r>
    <w:r w:rsidRPr="001F774C">
      <w:rPr>
        <w:rStyle w:val="slostrnky"/>
        <w:rFonts w:ascii="Arial" w:hAnsi="Arial" w:cs="Arial"/>
        <w:sz w:val="20"/>
        <w:szCs w:val="20"/>
      </w:rPr>
      <w:t>/</w:t>
    </w:r>
    <w:r w:rsidR="00090449" w:rsidRPr="001F774C">
      <w:rPr>
        <w:rStyle w:val="slostrnky"/>
        <w:rFonts w:ascii="Arial" w:hAnsi="Arial" w:cs="Arial"/>
        <w:sz w:val="20"/>
        <w:szCs w:val="20"/>
      </w:rPr>
      <w:fldChar w:fldCharType="begin"/>
    </w:r>
    <w:r w:rsidRPr="001F774C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="00090449" w:rsidRPr="001F774C">
      <w:rPr>
        <w:rStyle w:val="slostrnky"/>
        <w:rFonts w:ascii="Arial" w:hAnsi="Arial" w:cs="Arial"/>
        <w:sz w:val="20"/>
        <w:szCs w:val="20"/>
      </w:rPr>
      <w:fldChar w:fldCharType="separate"/>
    </w:r>
    <w:r w:rsidR="00110ED1">
      <w:rPr>
        <w:rStyle w:val="slostrnky"/>
        <w:rFonts w:ascii="Arial" w:hAnsi="Arial" w:cs="Arial"/>
        <w:noProof/>
        <w:sz w:val="20"/>
        <w:szCs w:val="20"/>
      </w:rPr>
      <w:t>6</w:t>
    </w:r>
    <w:r w:rsidR="00090449" w:rsidRPr="001F774C">
      <w:rPr>
        <w:rStyle w:val="slostrnky"/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AC9" w:rsidRDefault="00621AC9">
      <w:r>
        <w:separator/>
      </w:r>
    </w:p>
  </w:footnote>
  <w:footnote w:type="continuationSeparator" w:id="0">
    <w:p w:rsidR="00621AC9" w:rsidRDefault="00621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AC9" w:rsidRDefault="008329E3">
    <w:pPr>
      <w:pStyle w:val="Zhlav"/>
    </w:pPr>
    <w:r>
      <w:rPr>
        <w:noProof/>
      </w:rPr>
      <w:drawing>
        <wp:inline distT="0" distB="0" distL="0" distR="0">
          <wp:extent cx="5743575" cy="409575"/>
          <wp:effectExtent l="19050" t="0" r="9525" b="0"/>
          <wp:docPr id="1" name="Obrázek 1" descr="logolink_ul_EU_MM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link_ul_EU_MM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2C2606"/>
    <w:multiLevelType w:val="hybridMultilevel"/>
    <w:tmpl w:val="EE128F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70DA7"/>
    <w:multiLevelType w:val="multilevel"/>
    <w:tmpl w:val="59B60542"/>
    <w:lvl w:ilvl="0">
      <w:start w:val="1"/>
      <w:numFmt w:val="decimal"/>
      <w:lvlText w:val="%1."/>
      <w:lvlJc w:val="left"/>
      <w:pPr>
        <w:tabs>
          <w:tab w:val="num" w:pos="0"/>
        </w:tabs>
        <w:ind w:left="-3" w:hanging="357"/>
      </w:pPr>
      <w:rPr>
        <w:rFonts w:ascii="Arial" w:hAnsi="Arial" w:cs="Arial" w:hint="default"/>
        <w:b/>
        <w:bCs/>
        <w:i w:val="0"/>
        <w:iCs w:val="0"/>
        <w:sz w:val="44"/>
        <w:szCs w:val="4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bCs/>
        <w:i w:val="0"/>
        <w:iCs w:val="0"/>
        <w:sz w:val="36"/>
        <w:szCs w:val="36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2">
    <w:nsid w:val="06A225DC"/>
    <w:multiLevelType w:val="hybridMultilevel"/>
    <w:tmpl w:val="D00ACDBE"/>
    <w:lvl w:ilvl="0" w:tplc="7B2CA4C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F75BCF"/>
    <w:multiLevelType w:val="hybridMultilevel"/>
    <w:tmpl w:val="CD18BA98"/>
    <w:lvl w:ilvl="0" w:tplc="3224FEC8">
      <w:start w:val="1"/>
      <w:numFmt w:val="lowerLetter"/>
      <w:pStyle w:val="slovnzaa"/>
      <w:lvlText w:val="%1)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43636C"/>
    <w:multiLevelType w:val="multilevel"/>
    <w:tmpl w:val="EA5C5ADE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2EC50915"/>
    <w:multiLevelType w:val="hybridMultilevel"/>
    <w:tmpl w:val="518CEC9E"/>
    <w:lvl w:ilvl="0" w:tplc="0CDE08C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B4A3998"/>
    <w:multiLevelType w:val="multilevel"/>
    <w:tmpl w:val="117C0720"/>
    <w:lvl w:ilvl="0">
      <w:start w:val="1"/>
      <w:numFmt w:val="decimal"/>
      <w:suff w:val="space"/>
      <w:lvlText w:val="%1"/>
      <w:lvlJc w:val="left"/>
      <w:rPr>
        <w:rFonts w:ascii="Times New Roman" w:hAnsi="Times New Roman" w:cs="Times New Roman" w:hint="default"/>
        <w:b/>
        <w:bCs/>
        <w:i w:val="0"/>
        <w:iCs w:val="0"/>
        <w:spacing w:val="20"/>
        <w:sz w:val="36"/>
        <w:szCs w:val="36"/>
      </w:rPr>
    </w:lvl>
    <w:lvl w:ilvl="1">
      <w:start w:val="1"/>
      <w:numFmt w:val="decimal"/>
      <w:suff w:val="space"/>
      <w:lvlText w:val="%2.1"/>
      <w:lvlJc w:val="left"/>
      <w:pPr>
        <w:ind w:left="964" w:hanging="964"/>
      </w:pPr>
      <w:rPr>
        <w:rFonts w:ascii="Times New Roman" w:hAnsi="Times New Roman" w:cs="Times New Roman" w:hint="default"/>
        <w:b/>
        <w:bCs/>
        <w:i w:val="0"/>
        <w:iCs w:val="0"/>
        <w:spacing w:val="20"/>
        <w:sz w:val="32"/>
        <w:szCs w:val="32"/>
      </w:rPr>
    </w:lvl>
    <w:lvl w:ilvl="2">
      <w:start w:val="1"/>
      <w:numFmt w:val="decimal"/>
      <w:suff w:val="space"/>
      <w:lvlText w:val="%1.%2.%3."/>
      <w:lvlJc w:val="left"/>
      <w:rPr>
        <w:rFonts w:ascii="Times New Roman" w:hAnsi="Times New Roman" w:cs="Times New Roman" w:hint="default"/>
        <w:b/>
        <w:bCs/>
        <w:i w:val="0"/>
        <w:iCs w:val="0"/>
        <w:spacing w:val="20"/>
        <w:sz w:val="28"/>
        <w:szCs w:val="28"/>
      </w:rPr>
    </w:lvl>
    <w:lvl w:ilvl="3">
      <w:start w:val="1"/>
      <w:numFmt w:val="decimal"/>
      <w:pStyle w:val="Nadpis4"/>
      <w:suff w:val="space"/>
      <w:lvlText w:val="%1.%2.%3.%4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%2.%3.%4.%5"/>
      <w:lvlJc w:val="left"/>
      <w:pPr>
        <w:tabs>
          <w:tab w:val="num" w:pos="1080"/>
        </w:tabs>
      </w:pPr>
      <w:rPr>
        <w:rFonts w:ascii="Arial" w:hAnsi="Arial" w:cs="Arial" w:hint="default"/>
        <w:b w:val="0"/>
        <w:bCs w:val="0"/>
        <w:i/>
        <w:i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7">
    <w:nsid w:val="3C664FCE"/>
    <w:multiLevelType w:val="hybridMultilevel"/>
    <w:tmpl w:val="327ABC2C"/>
    <w:lvl w:ilvl="0" w:tplc="7EE45920">
      <w:start w:val="1"/>
      <w:numFmt w:val="decimal"/>
      <w:pStyle w:val="slovnjednoduch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9A25AF"/>
    <w:multiLevelType w:val="multilevel"/>
    <w:tmpl w:val="C5ECA29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44"/>
        <w:szCs w:val="4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7666491"/>
    <w:multiLevelType w:val="hybridMultilevel"/>
    <w:tmpl w:val="B9CC6592"/>
    <w:lvl w:ilvl="0" w:tplc="B40E18F8">
      <w:start w:val="1"/>
      <w:numFmt w:val="bullet"/>
      <w:pStyle w:val="Odrkyjednoduch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49906187"/>
    <w:multiLevelType w:val="hybridMultilevel"/>
    <w:tmpl w:val="A044D6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D5B663E"/>
    <w:multiLevelType w:val="hybridMultilevel"/>
    <w:tmpl w:val="252A3DCA"/>
    <w:lvl w:ilvl="0" w:tplc="6CB011C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3EE6DBC"/>
    <w:multiLevelType w:val="multilevel"/>
    <w:tmpl w:val="0FFE0AD6"/>
    <w:lvl w:ilvl="0">
      <w:start w:val="1"/>
      <w:numFmt w:val="decimal"/>
      <w:pStyle w:val="slovnvcerovov1a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3">
    <w:nsid w:val="6F4755D9"/>
    <w:multiLevelType w:val="multilevel"/>
    <w:tmpl w:val="34E8149A"/>
    <w:lvl w:ilvl="0">
      <w:start w:val="1"/>
      <w:numFmt w:val="decimal"/>
      <w:lvlText w:val="%1."/>
      <w:lvlJc w:val="left"/>
      <w:pPr>
        <w:tabs>
          <w:tab w:val="num" w:pos="-357"/>
        </w:tabs>
        <w:ind w:left="-360" w:hanging="357"/>
      </w:pPr>
      <w:rPr>
        <w:rFonts w:ascii="Arial" w:hAnsi="Arial" w:cs="Arial" w:hint="default"/>
        <w:b/>
        <w:bCs/>
        <w:i w:val="0"/>
        <w:iCs w:val="0"/>
        <w:sz w:val="44"/>
        <w:szCs w:val="44"/>
      </w:rPr>
    </w:lvl>
    <w:lvl w:ilvl="1">
      <w:start w:val="1"/>
      <w:numFmt w:val="decimal"/>
      <w:lvlText w:val="%1.%2."/>
      <w:lvlJc w:val="left"/>
      <w:pPr>
        <w:tabs>
          <w:tab w:val="num" w:pos="75"/>
        </w:tabs>
        <w:ind w:left="75" w:hanging="432"/>
      </w:pPr>
      <w:rPr>
        <w:rFonts w:ascii="Arial" w:hAnsi="Arial" w:cs="Arial" w:hint="default"/>
        <w:b/>
        <w:bCs/>
        <w:i w:val="0"/>
        <w:iCs w:val="0"/>
        <w:sz w:val="36"/>
        <w:szCs w:val="36"/>
      </w:rPr>
    </w:lvl>
    <w:lvl w:ilvl="2">
      <w:start w:val="1"/>
      <w:numFmt w:val="decimal"/>
      <w:lvlText w:val="%1.%2.%3."/>
      <w:lvlJc w:val="left"/>
      <w:pPr>
        <w:tabs>
          <w:tab w:val="num" w:pos="507"/>
        </w:tabs>
        <w:ind w:left="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11"/>
        </w:tabs>
        <w:ind w:left="1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5"/>
        </w:tabs>
        <w:ind w:left="1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9"/>
        </w:tabs>
        <w:ind w:left="2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3"/>
        </w:tabs>
        <w:ind w:left="2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7"/>
        </w:tabs>
        <w:ind w:left="3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3"/>
        </w:tabs>
        <w:ind w:left="3603" w:hanging="1440"/>
      </w:pPr>
      <w:rPr>
        <w:rFonts w:hint="default"/>
      </w:rPr>
    </w:lvl>
  </w:abstractNum>
  <w:abstractNum w:abstractNumId="14">
    <w:nsid w:val="774A1853"/>
    <w:multiLevelType w:val="hybridMultilevel"/>
    <w:tmpl w:val="624C9C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9"/>
  </w:num>
  <w:num w:numId="18">
    <w:abstractNumId w:val="9"/>
  </w:num>
  <w:num w:numId="19">
    <w:abstractNumId w:val="9"/>
  </w:num>
  <w:num w:numId="20">
    <w:abstractNumId w:val="7"/>
  </w:num>
  <w:num w:numId="21">
    <w:abstractNumId w:val="7"/>
  </w:num>
  <w:num w:numId="22">
    <w:abstractNumId w:val="7"/>
  </w:num>
  <w:num w:numId="23">
    <w:abstractNumId w:val="6"/>
  </w:num>
  <w:num w:numId="24">
    <w:abstractNumId w:val="8"/>
  </w:num>
  <w:num w:numId="25">
    <w:abstractNumId w:val="13"/>
  </w:num>
  <w:num w:numId="26">
    <w:abstractNumId w:val="1"/>
  </w:num>
  <w:num w:numId="27">
    <w:abstractNumId w:val="1"/>
  </w:num>
  <w:num w:numId="28">
    <w:abstractNumId w:val="1"/>
  </w:num>
  <w:num w:numId="29">
    <w:abstractNumId w:val="8"/>
  </w:num>
  <w:num w:numId="30">
    <w:abstractNumId w:val="8"/>
  </w:num>
  <w:num w:numId="31">
    <w:abstractNumId w:val="1"/>
  </w:num>
  <w:num w:numId="32">
    <w:abstractNumId w:val="1"/>
  </w:num>
  <w:num w:numId="33">
    <w:abstractNumId w:val="8"/>
  </w:num>
  <w:num w:numId="34">
    <w:abstractNumId w:val="12"/>
  </w:num>
  <w:num w:numId="35">
    <w:abstractNumId w:val="8"/>
  </w:num>
  <w:num w:numId="36">
    <w:abstractNumId w:val="8"/>
  </w:num>
  <w:num w:numId="37">
    <w:abstractNumId w:val="8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9"/>
  </w:num>
  <w:num w:numId="43">
    <w:abstractNumId w:val="11"/>
  </w:num>
  <w:num w:numId="44">
    <w:abstractNumId w:val="0"/>
  </w:num>
  <w:num w:numId="45">
    <w:abstractNumId w:val="14"/>
  </w:num>
  <w:num w:numId="46">
    <w:abstractNumId w:val="10"/>
  </w:num>
  <w:num w:numId="47">
    <w:abstractNumId w:val="2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B5CC6"/>
    <w:rsid w:val="00004E11"/>
    <w:rsid w:val="00005CB2"/>
    <w:rsid w:val="000218EB"/>
    <w:rsid w:val="000436B5"/>
    <w:rsid w:val="00043901"/>
    <w:rsid w:val="00072F95"/>
    <w:rsid w:val="00090449"/>
    <w:rsid w:val="000B59BB"/>
    <w:rsid w:val="000C3F64"/>
    <w:rsid w:val="000C5CBE"/>
    <w:rsid w:val="000E1FE8"/>
    <w:rsid w:val="00101C2A"/>
    <w:rsid w:val="00110ED1"/>
    <w:rsid w:val="00113C02"/>
    <w:rsid w:val="001141FA"/>
    <w:rsid w:val="001156D8"/>
    <w:rsid w:val="001307BA"/>
    <w:rsid w:val="0013763C"/>
    <w:rsid w:val="00152329"/>
    <w:rsid w:val="00183AE8"/>
    <w:rsid w:val="00187AA8"/>
    <w:rsid w:val="00192931"/>
    <w:rsid w:val="0019427E"/>
    <w:rsid w:val="00194B5E"/>
    <w:rsid w:val="001A146E"/>
    <w:rsid w:val="001A7E2C"/>
    <w:rsid w:val="001D1587"/>
    <w:rsid w:val="001F774C"/>
    <w:rsid w:val="00235B17"/>
    <w:rsid w:val="002420BD"/>
    <w:rsid w:val="00257466"/>
    <w:rsid w:val="002637D4"/>
    <w:rsid w:val="0029094C"/>
    <w:rsid w:val="002A25DB"/>
    <w:rsid w:val="002B206A"/>
    <w:rsid w:val="002B5CC6"/>
    <w:rsid w:val="002D2DF3"/>
    <w:rsid w:val="002D712D"/>
    <w:rsid w:val="002F59A1"/>
    <w:rsid w:val="003054BA"/>
    <w:rsid w:val="00320C5B"/>
    <w:rsid w:val="00321623"/>
    <w:rsid w:val="00334BEC"/>
    <w:rsid w:val="00350FEA"/>
    <w:rsid w:val="00371ADC"/>
    <w:rsid w:val="00375EB3"/>
    <w:rsid w:val="0038342F"/>
    <w:rsid w:val="00393D92"/>
    <w:rsid w:val="003C2A94"/>
    <w:rsid w:val="00400002"/>
    <w:rsid w:val="004032B7"/>
    <w:rsid w:val="00404997"/>
    <w:rsid w:val="00426A08"/>
    <w:rsid w:val="00427AF6"/>
    <w:rsid w:val="004430F6"/>
    <w:rsid w:val="004641C0"/>
    <w:rsid w:val="00480BF9"/>
    <w:rsid w:val="004825FA"/>
    <w:rsid w:val="004A770D"/>
    <w:rsid w:val="00523508"/>
    <w:rsid w:val="00557D7C"/>
    <w:rsid w:val="00567B60"/>
    <w:rsid w:val="005802DF"/>
    <w:rsid w:val="005821A6"/>
    <w:rsid w:val="00585003"/>
    <w:rsid w:val="005C348A"/>
    <w:rsid w:val="005C46EB"/>
    <w:rsid w:val="005D0A4E"/>
    <w:rsid w:val="005D7A7D"/>
    <w:rsid w:val="005E3292"/>
    <w:rsid w:val="005F2C50"/>
    <w:rsid w:val="0060333E"/>
    <w:rsid w:val="00603968"/>
    <w:rsid w:val="00620C2A"/>
    <w:rsid w:val="00621AC9"/>
    <w:rsid w:val="006235AF"/>
    <w:rsid w:val="00626047"/>
    <w:rsid w:val="006316C8"/>
    <w:rsid w:val="00637E4C"/>
    <w:rsid w:val="00642E5F"/>
    <w:rsid w:val="00651DE7"/>
    <w:rsid w:val="0065469A"/>
    <w:rsid w:val="00663CC7"/>
    <w:rsid w:val="00665C7C"/>
    <w:rsid w:val="00673515"/>
    <w:rsid w:val="00674E62"/>
    <w:rsid w:val="006929D1"/>
    <w:rsid w:val="006A53B7"/>
    <w:rsid w:val="006A6BD1"/>
    <w:rsid w:val="006B18DE"/>
    <w:rsid w:val="006B2A46"/>
    <w:rsid w:val="006B34C2"/>
    <w:rsid w:val="006D4470"/>
    <w:rsid w:val="006D6C06"/>
    <w:rsid w:val="006E786E"/>
    <w:rsid w:val="007030E6"/>
    <w:rsid w:val="00726DA9"/>
    <w:rsid w:val="00732AFD"/>
    <w:rsid w:val="0074520C"/>
    <w:rsid w:val="0075382B"/>
    <w:rsid w:val="0076404A"/>
    <w:rsid w:val="00767FB6"/>
    <w:rsid w:val="0077576E"/>
    <w:rsid w:val="00790BBD"/>
    <w:rsid w:val="007D3BE9"/>
    <w:rsid w:val="007E1DEE"/>
    <w:rsid w:val="008219CB"/>
    <w:rsid w:val="008329E3"/>
    <w:rsid w:val="008528AF"/>
    <w:rsid w:val="00885D11"/>
    <w:rsid w:val="00894C2A"/>
    <w:rsid w:val="008B307E"/>
    <w:rsid w:val="008B42DB"/>
    <w:rsid w:val="008D62CC"/>
    <w:rsid w:val="008E0C75"/>
    <w:rsid w:val="008E667F"/>
    <w:rsid w:val="0090221C"/>
    <w:rsid w:val="00910FEA"/>
    <w:rsid w:val="0091767A"/>
    <w:rsid w:val="00944AA8"/>
    <w:rsid w:val="00961ECC"/>
    <w:rsid w:val="00966343"/>
    <w:rsid w:val="00971C60"/>
    <w:rsid w:val="009C6405"/>
    <w:rsid w:val="009C68B0"/>
    <w:rsid w:val="009E3EB7"/>
    <w:rsid w:val="009E434D"/>
    <w:rsid w:val="009F0594"/>
    <w:rsid w:val="00A000C6"/>
    <w:rsid w:val="00A0206D"/>
    <w:rsid w:val="00A14260"/>
    <w:rsid w:val="00A210A7"/>
    <w:rsid w:val="00A27592"/>
    <w:rsid w:val="00A36FE2"/>
    <w:rsid w:val="00A41561"/>
    <w:rsid w:val="00A61049"/>
    <w:rsid w:val="00A6703E"/>
    <w:rsid w:val="00A865B5"/>
    <w:rsid w:val="00AA24C1"/>
    <w:rsid w:val="00AC2B35"/>
    <w:rsid w:val="00AC5C80"/>
    <w:rsid w:val="00AE1502"/>
    <w:rsid w:val="00AE7595"/>
    <w:rsid w:val="00B0347C"/>
    <w:rsid w:val="00B15532"/>
    <w:rsid w:val="00B34874"/>
    <w:rsid w:val="00B45CBE"/>
    <w:rsid w:val="00B937A8"/>
    <w:rsid w:val="00BA0E1E"/>
    <w:rsid w:val="00BC10A8"/>
    <w:rsid w:val="00BD0C05"/>
    <w:rsid w:val="00BD40BD"/>
    <w:rsid w:val="00BD4CD3"/>
    <w:rsid w:val="00BE3B82"/>
    <w:rsid w:val="00BE48BA"/>
    <w:rsid w:val="00C01CF2"/>
    <w:rsid w:val="00C13040"/>
    <w:rsid w:val="00C22D3C"/>
    <w:rsid w:val="00C25D4B"/>
    <w:rsid w:val="00C30285"/>
    <w:rsid w:val="00C46A9D"/>
    <w:rsid w:val="00C5023E"/>
    <w:rsid w:val="00C50819"/>
    <w:rsid w:val="00C6133B"/>
    <w:rsid w:val="00C7526E"/>
    <w:rsid w:val="00C779B1"/>
    <w:rsid w:val="00C95E70"/>
    <w:rsid w:val="00CA0B6A"/>
    <w:rsid w:val="00CA1F4B"/>
    <w:rsid w:val="00CB265E"/>
    <w:rsid w:val="00CB73E8"/>
    <w:rsid w:val="00CD7C53"/>
    <w:rsid w:val="00CE0FFE"/>
    <w:rsid w:val="00D06135"/>
    <w:rsid w:val="00D066E8"/>
    <w:rsid w:val="00D14416"/>
    <w:rsid w:val="00D415EB"/>
    <w:rsid w:val="00D476EA"/>
    <w:rsid w:val="00D51423"/>
    <w:rsid w:val="00D60C61"/>
    <w:rsid w:val="00D67332"/>
    <w:rsid w:val="00D72038"/>
    <w:rsid w:val="00D90D7C"/>
    <w:rsid w:val="00D95BD1"/>
    <w:rsid w:val="00DA18C8"/>
    <w:rsid w:val="00DC602B"/>
    <w:rsid w:val="00E13C49"/>
    <w:rsid w:val="00E30BDB"/>
    <w:rsid w:val="00E5441B"/>
    <w:rsid w:val="00E70207"/>
    <w:rsid w:val="00E7095F"/>
    <w:rsid w:val="00E73678"/>
    <w:rsid w:val="00E81833"/>
    <w:rsid w:val="00E8508B"/>
    <w:rsid w:val="00EA74F0"/>
    <w:rsid w:val="00EB177F"/>
    <w:rsid w:val="00EB389D"/>
    <w:rsid w:val="00ED0B0B"/>
    <w:rsid w:val="00ED24FD"/>
    <w:rsid w:val="00ED3D68"/>
    <w:rsid w:val="00EE042D"/>
    <w:rsid w:val="00EE720A"/>
    <w:rsid w:val="00EF1A7E"/>
    <w:rsid w:val="00F0779A"/>
    <w:rsid w:val="00F24391"/>
    <w:rsid w:val="00F274C2"/>
    <w:rsid w:val="00F31223"/>
    <w:rsid w:val="00F341F2"/>
    <w:rsid w:val="00F41B7C"/>
    <w:rsid w:val="00F606C6"/>
    <w:rsid w:val="00F65BCB"/>
    <w:rsid w:val="00F66BAE"/>
    <w:rsid w:val="00FD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6E8"/>
    <w:rPr>
      <w:sz w:val="24"/>
      <w:szCs w:val="24"/>
    </w:rPr>
  </w:style>
  <w:style w:type="paragraph" w:styleId="Nadpis10">
    <w:name w:val="heading 1"/>
    <w:basedOn w:val="Normln"/>
    <w:next w:val="Normln"/>
    <w:link w:val="Nadpis1Char"/>
    <w:uiPriority w:val="99"/>
    <w:qFormat/>
    <w:rsid w:val="00152329"/>
    <w:pPr>
      <w:keepNext/>
      <w:pageBreakBefore/>
      <w:spacing w:before="240" w:after="120"/>
      <w:outlineLvl w:val="0"/>
    </w:pPr>
    <w:rPr>
      <w:rFonts w:ascii="Arial" w:hAnsi="Arial" w:cs="Arial"/>
      <w:b/>
      <w:bCs/>
      <w:kern w:val="32"/>
      <w:sz w:val="36"/>
      <w:szCs w:val="36"/>
    </w:rPr>
  </w:style>
  <w:style w:type="paragraph" w:styleId="Nadpis20">
    <w:name w:val="heading 2"/>
    <w:basedOn w:val="Normln"/>
    <w:next w:val="Normln"/>
    <w:link w:val="Nadpis2Char"/>
    <w:uiPriority w:val="99"/>
    <w:qFormat/>
    <w:rsid w:val="00D67332"/>
    <w:pPr>
      <w:keepNext/>
      <w:spacing w:before="240" w:after="120"/>
      <w:outlineLvl w:val="1"/>
    </w:pPr>
    <w:rPr>
      <w:rFonts w:ascii="Arial" w:hAnsi="Arial" w:cs="Arial"/>
      <w:b/>
      <w:bCs/>
      <w:sz w:val="28"/>
      <w:szCs w:val="28"/>
    </w:rPr>
  </w:style>
  <w:style w:type="paragraph" w:styleId="Nadpis30">
    <w:name w:val="heading 3"/>
    <w:basedOn w:val="Normln"/>
    <w:next w:val="Normln"/>
    <w:link w:val="Nadpis3Char"/>
    <w:uiPriority w:val="99"/>
    <w:qFormat/>
    <w:rsid w:val="00334BEC"/>
    <w:pPr>
      <w:keepNext/>
      <w:spacing w:before="240" w:after="12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183AE8"/>
    <w:pPr>
      <w:keepNext/>
      <w:numPr>
        <w:ilvl w:val="3"/>
        <w:numId w:val="23"/>
      </w:numPr>
      <w:spacing w:before="240"/>
      <w:outlineLvl w:val="3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0"/>
    <w:uiPriority w:val="9"/>
    <w:rsid w:val="00333C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0"/>
    <w:uiPriority w:val="9"/>
    <w:semiHidden/>
    <w:rsid w:val="00333C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0"/>
    <w:uiPriority w:val="9"/>
    <w:semiHidden/>
    <w:rsid w:val="00333C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3CE1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slovnjednoduch">
    <w:name w:val="*Číslování jednoduché"/>
    <w:basedOn w:val="Normln"/>
    <w:uiPriority w:val="99"/>
    <w:rsid w:val="008B307E"/>
    <w:pPr>
      <w:numPr>
        <w:numId w:val="22"/>
      </w:numPr>
      <w:spacing w:after="120"/>
    </w:pPr>
  </w:style>
  <w:style w:type="paragraph" w:styleId="Nzev">
    <w:name w:val="Title"/>
    <w:basedOn w:val="Normln"/>
    <w:link w:val="NzevChar"/>
    <w:uiPriority w:val="99"/>
    <w:qFormat/>
    <w:rsid w:val="002F59A1"/>
    <w:pPr>
      <w:pageBreakBefore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333CE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zevobratab">
    <w:name w:val="*Název obr. a tab."/>
    <w:basedOn w:val="Normln"/>
    <w:uiPriority w:val="99"/>
    <w:rsid w:val="00E7095F"/>
    <w:pPr>
      <w:keepNext/>
    </w:pPr>
    <w:rPr>
      <w:rFonts w:ascii="Arial" w:hAnsi="Arial" w:cs="Arial"/>
    </w:rPr>
  </w:style>
  <w:style w:type="paragraph" w:customStyle="1" w:styleId="Bntext">
    <w:name w:val="*Běžný text"/>
    <w:basedOn w:val="Normln"/>
    <w:uiPriority w:val="99"/>
    <w:rsid w:val="00C6133B"/>
    <w:pPr>
      <w:spacing w:after="120"/>
      <w:jc w:val="both"/>
    </w:pPr>
  </w:style>
  <w:style w:type="paragraph" w:styleId="Titulek">
    <w:name w:val="caption"/>
    <w:basedOn w:val="Normln"/>
    <w:next w:val="Normln"/>
    <w:uiPriority w:val="99"/>
    <w:qFormat/>
    <w:rsid w:val="00966343"/>
    <w:pPr>
      <w:keepNext/>
    </w:pPr>
    <w:rPr>
      <w:b/>
      <w:bCs/>
      <w:sz w:val="20"/>
      <w:szCs w:val="20"/>
    </w:rPr>
  </w:style>
  <w:style w:type="character" w:customStyle="1" w:styleId="lut">
    <w:name w:val="*Žluté"/>
    <w:basedOn w:val="Standardnpsmoodstavce"/>
    <w:uiPriority w:val="99"/>
    <w:rsid w:val="005D7A7D"/>
    <w:rPr>
      <w:color w:val="FFFF00"/>
    </w:rPr>
  </w:style>
  <w:style w:type="paragraph" w:customStyle="1" w:styleId="slovnzaa">
    <w:name w:val="*Číslování za a"/>
    <w:aliases w:val="b,c"/>
    <w:basedOn w:val="Normln"/>
    <w:uiPriority w:val="99"/>
    <w:rsid w:val="008D62CC"/>
    <w:pPr>
      <w:numPr>
        <w:numId w:val="2"/>
      </w:numPr>
      <w:tabs>
        <w:tab w:val="clear" w:pos="737"/>
        <w:tab w:val="num" w:pos="432"/>
      </w:tabs>
      <w:spacing w:line="360" w:lineRule="auto"/>
      <w:ind w:left="432" w:hanging="432"/>
    </w:pPr>
  </w:style>
  <w:style w:type="paragraph" w:customStyle="1" w:styleId="Obsah">
    <w:name w:val="*Obsah"/>
    <w:basedOn w:val="Nadpis10"/>
    <w:next w:val="Bntext"/>
    <w:uiPriority w:val="99"/>
    <w:rsid w:val="008D62CC"/>
    <w:pPr>
      <w:keepLines/>
      <w:suppressLineNumbers/>
      <w:suppressAutoHyphens/>
      <w:spacing w:after="240" w:line="360" w:lineRule="auto"/>
    </w:pPr>
    <w:rPr>
      <w:sz w:val="40"/>
      <w:szCs w:val="40"/>
    </w:rPr>
  </w:style>
  <w:style w:type="paragraph" w:customStyle="1" w:styleId="Odrkyjednoduch">
    <w:name w:val="*Odrážky jednoduché"/>
    <w:basedOn w:val="Normln"/>
    <w:uiPriority w:val="99"/>
    <w:rsid w:val="006235AF"/>
    <w:pPr>
      <w:numPr>
        <w:numId w:val="42"/>
      </w:numPr>
      <w:spacing w:after="120"/>
    </w:pPr>
  </w:style>
  <w:style w:type="paragraph" w:customStyle="1" w:styleId="Poznmka">
    <w:name w:val="*Poznámka"/>
    <w:basedOn w:val="Textkomente"/>
    <w:next w:val="Bntext"/>
    <w:uiPriority w:val="99"/>
    <w:rsid w:val="008D62CC"/>
    <w:pPr>
      <w:spacing w:after="240"/>
    </w:pPr>
  </w:style>
  <w:style w:type="paragraph" w:styleId="Textkomente">
    <w:name w:val="annotation text"/>
    <w:basedOn w:val="Normln"/>
    <w:link w:val="TextkomenteChar"/>
    <w:uiPriority w:val="99"/>
    <w:semiHidden/>
    <w:rsid w:val="008D62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3CE1"/>
    <w:rPr>
      <w:sz w:val="20"/>
      <w:szCs w:val="20"/>
    </w:rPr>
  </w:style>
  <w:style w:type="character" w:customStyle="1" w:styleId="Zvraznnarialem">
    <w:name w:val="*Zvýraznění arialem"/>
    <w:basedOn w:val="Standardnpsmoodstavce"/>
    <w:uiPriority w:val="99"/>
    <w:rsid w:val="008D62CC"/>
    <w:rPr>
      <w:rFonts w:ascii="Arial" w:hAnsi="Arial" w:cs="Arial"/>
    </w:rPr>
  </w:style>
  <w:style w:type="character" w:customStyle="1" w:styleId="lutzvrazova">
    <w:name w:val="*Žlutý zvýrazňovač"/>
    <w:basedOn w:val="Standardnpsmoodstavce"/>
    <w:uiPriority w:val="99"/>
    <w:rsid w:val="008D62CC"/>
    <w:rPr>
      <w:color w:val="auto"/>
      <w:shd w:val="clear" w:color="auto" w:fill="FFFF00"/>
    </w:rPr>
  </w:style>
  <w:style w:type="paragraph" w:customStyle="1" w:styleId="slovnvcerovov1a0">
    <w:name w:val="*číslování víceúrovňové 1 a"/>
    <w:basedOn w:val="Bntext"/>
    <w:uiPriority w:val="99"/>
    <w:rsid w:val="00961ECC"/>
  </w:style>
  <w:style w:type="paragraph" w:customStyle="1" w:styleId="slovnvcerovov1a">
    <w:name w:val="*Číslování víceúrovňové 1 a"/>
    <w:basedOn w:val="Bntext"/>
    <w:uiPriority w:val="99"/>
    <w:rsid w:val="009E3EB7"/>
    <w:pPr>
      <w:keepNext/>
      <w:keepLines/>
      <w:numPr>
        <w:numId w:val="34"/>
      </w:numPr>
    </w:pPr>
  </w:style>
  <w:style w:type="paragraph" w:customStyle="1" w:styleId="Nzevkapitoly">
    <w:name w:val="*Název kapitoly"/>
    <w:basedOn w:val="Zkladntext"/>
    <w:uiPriority w:val="99"/>
    <w:rsid w:val="00557D7C"/>
    <w:pPr>
      <w:spacing w:before="120"/>
      <w:jc w:val="both"/>
      <w:outlineLvl w:val="0"/>
    </w:pPr>
    <w:rPr>
      <w:rFonts w:ascii="Arial" w:hAnsi="Arial" w:cs="Arial"/>
      <w:b/>
      <w:bCs/>
      <w:sz w:val="28"/>
      <w:szCs w:val="28"/>
      <w:lang w:val="en-GB" w:eastAsia="en-US"/>
    </w:rPr>
  </w:style>
  <w:style w:type="paragraph" w:styleId="Zkladntext">
    <w:name w:val="Body Text"/>
    <w:basedOn w:val="Normln"/>
    <w:link w:val="ZkladntextChar"/>
    <w:uiPriority w:val="99"/>
    <w:rsid w:val="003216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33CE1"/>
    <w:rPr>
      <w:sz w:val="24"/>
      <w:szCs w:val="24"/>
    </w:rPr>
  </w:style>
  <w:style w:type="paragraph" w:customStyle="1" w:styleId="SROPzkladn">
    <w:name w:val="*SROP základní"/>
    <w:basedOn w:val="Normln"/>
    <w:uiPriority w:val="99"/>
    <w:rsid w:val="00187AA8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Nadpis3">
    <w:name w:val="*Nadpis 3"/>
    <w:basedOn w:val="Normln"/>
    <w:uiPriority w:val="99"/>
    <w:rsid w:val="002F59A1"/>
    <w:pPr>
      <w:numPr>
        <w:ilvl w:val="2"/>
        <w:numId w:val="41"/>
      </w:numPr>
      <w:spacing w:before="120" w:after="120"/>
      <w:jc w:val="both"/>
    </w:pPr>
    <w:rPr>
      <w:rFonts w:ascii="Arial" w:hAnsi="Arial" w:cs="Arial"/>
      <w:b/>
      <w:bCs/>
    </w:rPr>
  </w:style>
  <w:style w:type="paragraph" w:customStyle="1" w:styleId="Nadpis1">
    <w:name w:val="*Nadpis 1"/>
    <w:basedOn w:val="Normln"/>
    <w:uiPriority w:val="99"/>
    <w:rsid w:val="002F59A1"/>
    <w:pPr>
      <w:numPr>
        <w:numId w:val="41"/>
      </w:numPr>
      <w:spacing w:before="120" w:after="240"/>
      <w:jc w:val="both"/>
    </w:pPr>
    <w:rPr>
      <w:rFonts w:ascii="Arial" w:hAnsi="Arial" w:cs="Arial"/>
      <w:b/>
      <w:bCs/>
      <w:sz w:val="32"/>
      <w:szCs w:val="32"/>
    </w:rPr>
  </w:style>
  <w:style w:type="paragraph" w:customStyle="1" w:styleId="Nadpis2">
    <w:name w:val="*Nadpis 2"/>
    <w:basedOn w:val="Normln"/>
    <w:uiPriority w:val="99"/>
    <w:rsid w:val="002F59A1"/>
    <w:pPr>
      <w:numPr>
        <w:ilvl w:val="1"/>
        <w:numId w:val="41"/>
      </w:numPr>
      <w:spacing w:before="120" w:after="240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CharChar">
    <w:name w:val="Char Char"/>
    <w:basedOn w:val="Normln"/>
    <w:uiPriority w:val="99"/>
    <w:rsid w:val="00BD0C0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4CharChar">
    <w:name w:val="Char4 Char Char"/>
    <w:basedOn w:val="Normln"/>
    <w:uiPriority w:val="99"/>
    <w:rsid w:val="00BD0C0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odstavecChar">
    <w:name w:val="*odstavec Char"/>
    <w:basedOn w:val="Normln"/>
    <w:link w:val="odstavecCharChar"/>
    <w:uiPriority w:val="99"/>
    <w:rsid w:val="00AC2B35"/>
    <w:pPr>
      <w:spacing w:before="60" w:after="120"/>
      <w:jc w:val="both"/>
    </w:pPr>
    <w:rPr>
      <w:rFonts w:ascii="Arial" w:hAnsi="Arial" w:cs="Arial"/>
      <w:spacing w:val="8"/>
    </w:rPr>
  </w:style>
  <w:style w:type="character" w:customStyle="1" w:styleId="odstavecCharChar">
    <w:name w:val="*odstavec Char Char"/>
    <w:basedOn w:val="Standardnpsmoodstavce"/>
    <w:link w:val="odstavecChar"/>
    <w:uiPriority w:val="99"/>
    <w:rsid w:val="00AC2B35"/>
    <w:rPr>
      <w:rFonts w:ascii="Arial" w:hAnsi="Arial" w:cs="Arial"/>
      <w:spacing w:val="8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6D6C06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D6C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3CE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6D6C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CE1"/>
    <w:rPr>
      <w:sz w:val="0"/>
      <w:szCs w:val="0"/>
    </w:rPr>
  </w:style>
  <w:style w:type="paragraph" w:styleId="Zhlav">
    <w:name w:val="header"/>
    <w:basedOn w:val="Normln"/>
    <w:link w:val="ZhlavChar"/>
    <w:uiPriority w:val="99"/>
    <w:rsid w:val="001F77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33CE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F77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33CE1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1F77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1449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Evaluační plán IOP pro rok 2009</vt:lpstr>
    </vt:vector>
  </TitlesOfParts>
  <Company>MMR</Company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Evaluační plán IOP pro rok 2009</dc:title>
  <dc:subject/>
  <dc:creator>Miloslav Žiak</dc:creator>
  <cp:keywords/>
  <dc:description/>
  <cp:lastModifiedBy>Rostislav Mazal </cp:lastModifiedBy>
  <cp:revision>3</cp:revision>
  <dcterms:created xsi:type="dcterms:W3CDTF">2012-11-07T13:33:00Z</dcterms:created>
  <dcterms:modified xsi:type="dcterms:W3CDTF">2012-11-07T14:24:00Z</dcterms:modified>
</cp:coreProperties>
</file>