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D53992" w:rsidRDefault="00424719" w:rsidP="001A0196">
      <w:pPr>
        <w:keepNext/>
        <w:keepLines/>
        <w:autoSpaceDE w:val="0"/>
        <w:autoSpaceDN w:val="0"/>
        <w:adjustRightInd w:val="0"/>
        <w:jc w:val="center"/>
        <w:outlineLvl w:val="0"/>
        <w:rPr>
          <w:b/>
          <w:bCs/>
          <w:sz w:val="28"/>
          <w:szCs w:val="28"/>
        </w:rPr>
      </w:pPr>
      <w:r w:rsidRPr="00D53992">
        <w:rPr>
          <w:b/>
          <w:bCs/>
          <w:sz w:val="28"/>
          <w:szCs w:val="28"/>
        </w:rPr>
        <w:t xml:space="preserve">Ministerstvo </w:t>
      </w:r>
      <w:r w:rsidR="00C31CCF" w:rsidRPr="00D53992">
        <w:rPr>
          <w:b/>
          <w:bCs/>
          <w:sz w:val="28"/>
          <w:szCs w:val="28"/>
        </w:rPr>
        <w:t>pro místní rozvoj</w:t>
      </w:r>
      <w:r w:rsidRPr="00D53992">
        <w:rPr>
          <w:b/>
          <w:bCs/>
          <w:sz w:val="28"/>
          <w:szCs w:val="28"/>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F131F0" w:rsidRDefault="00C31CCF" w:rsidP="00375833">
      <w:pPr>
        <w:keepNext/>
        <w:keepLines/>
        <w:autoSpaceDE w:val="0"/>
        <w:autoSpaceDN w:val="0"/>
        <w:adjustRightInd w:val="0"/>
        <w:jc w:val="center"/>
        <w:rPr>
          <w:b/>
          <w:bCs/>
        </w:rPr>
      </w:pPr>
      <w:r w:rsidRPr="00F131F0">
        <w:rPr>
          <w:b/>
          <w:bCs/>
        </w:rPr>
        <w:t>v</w:t>
      </w:r>
      <w:r w:rsidR="00424719" w:rsidRPr="00F131F0">
        <w:rPr>
          <w:b/>
          <w:bCs/>
        </w:rPr>
        <w:t>ýzvu k p</w:t>
      </w:r>
      <w:r w:rsidR="00424719" w:rsidRPr="00F131F0">
        <w:rPr>
          <w:b/>
        </w:rPr>
        <w:t>ř</w:t>
      </w:r>
      <w:r w:rsidR="00424719" w:rsidRPr="00F131F0">
        <w:rPr>
          <w:b/>
          <w:bCs/>
        </w:rPr>
        <w:t>edkládání žádostí o finan</w:t>
      </w:r>
      <w:r w:rsidR="00424719" w:rsidRPr="00F131F0">
        <w:rPr>
          <w:b/>
        </w:rPr>
        <w:t>č</w:t>
      </w:r>
      <w:r w:rsidR="00424719" w:rsidRPr="00F131F0">
        <w:rPr>
          <w:b/>
          <w:bCs/>
        </w:rPr>
        <w:t>ní podporu</w:t>
      </w:r>
      <w:r w:rsidR="006A20DE" w:rsidRPr="00F131F0">
        <w:rPr>
          <w:b/>
          <w:bCs/>
        </w:rPr>
        <w:t xml:space="preserve"> </w:t>
      </w:r>
      <w:r w:rsidR="00F131F0">
        <w:rPr>
          <w:b/>
          <w:bCs/>
        </w:rPr>
        <w:br/>
      </w:r>
      <w:r w:rsidR="006A20DE" w:rsidRPr="00F131F0">
        <w:rPr>
          <w:b/>
          <w:bCs/>
        </w:rPr>
        <w:t>z</w:t>
      </w:r>
      <w:r w:rsidR="00F131F0">
        <w:rPr>
          <w:b/>
          <w:bCs/>
        </w:rPr>
        <w:t xml:space="preserve"> </w:t>
      </w:r>
      <w:r w:rsidR="00424719" w:rsidRPr="00F131F0">
        <w:rPr>
          <w:b/>
          <w:bCs/>
        </w:rPr>
        <w:t>Integrovaného opera</w:t>
      </w:r>
      <w:r w:rsidR="00424719" w:rsidRPr="00F131F0">
        <w:rPr>
          <w:b/>
        </w:rPr>
        <w:t>č</w:t>
      </w:r>
      <w:r w:rsidR="00424719" w:rsidRPr="00F131F0">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5C028E" w:rsidP="005C028E">
      <w:pPr>
        <w:keepNext/>
        <w:keepLines/>
        <w:tabs>
          <w:tab w:val="left" w:pos="5730"/>
        </w:tabs>
        <w:autoSpaceDE w:val="0"/>
        <w:autoSpaceDN w:val="0"/>
        <w:adjustRightInd w:val="0"/>
        <w:jc w:val="both"/>
        <w:rPr>
          <w:b/>
          <w:bCs/>
        </w:rPr>
      </w:pPr>
      <w:r>
        <w:rPr>
          <w:b/>
          <w:bCs/>
        </w:rPr>
        <w:tab/>
      </w:r>
    </w:p>
    <w:p w:rsidR="005C028E" w:rsidRPr="00385B95" w:rsidRDefault="005A67F5" w:rsidP="005C028E">
      <w:pPr>
        <w:keepNext/>
        <w:keepLines/>
        <w:autoSpaceDE w:val="0"/>
        <w:autoSpaceDN w:val="0"/>
        <w:adjustRightInd w:val="0"/>
        <w:jc w:val="center"/>
        <w:rPr>
          <w:b/>
          <w:i/>
          <w:sz w:val="28"/>
          <w:szCs w:val="28"/>
        </w:rPr>
      </w:pPr>
      <w:r w:rsidRPr="00385B95">
        <w:rPr>
          <w:b/>
          <w:i/>
          <w:sz w:val="28"/>
          <w:szCs w:val="28"/>
        </w:rPr>
        <w:t>Národní podpora využívání potenciálu kulturního dědictví</w:t>
      </w:r>
    </w:p>
    <w:p w:rsidR="008D3F09" w:rsidRDefault="008D3F09" w:rsidP="00C9542A">
      <w:pPr>
        <w:keepNext/>
        <w:keepLines/>
        <w:autoSpaceDE w:val="0"/>
        <w:autoSpaceDN w:val="0"/>
        <w:adjustRightInd w:val="0"/>
        <w:jc w:val="center"/>
        <w:rPr>
          <w:b/>
          <w:bCs/>
        </w:rPr>
      </w:pPr>
    </w:p>
    <w:p w:rsidR="00C9542A" w:rsidRPr="008A489B" w:rsidRDefault="00C9542A" w:rsidP="00C9542A">
      <w:pPr>
        <w:keepNext/>
        <w:keepLines/>
        <w:autoSpaceDE w:val="0"/>
        <w:autoSpaceDN w:val="0"/>
        <w:adjustRightInd w:val="0"/>
        <w:jc w:val="center"/>
        <w:rPr>
          <w:b/>
          <w:bCs/>
        </w:rPr>
      </w:pPr>
      <w:r>
        <w:rPr>
          <w:b/>
          <w:bCs/>
        </w:rPr>
        <w:t>aktualizace k 18. červnu 2014</w:t>
      </w:r>
    </w:p>
    <w:p w:rsidR="00ED056F" w:rsidRDefault="00ED056F" w:rsidP="001A0196">
      <w:pPr>
        <w:keepNext/>
        <w:keepLines/>
        <w:autoSpaceDE w:val="0"/>
        <w:autoSpaceDN w:val="0"/>
        <w:adjustRightInd w:val="0"/>
        <w:jc w:val="both"/>
        <w:outlineLvl w:val="0"/>
        <w:rPr>
          <w:b/>
          <w:bCs/>
          <w:u w:val="single"/>
        </w:rPr>
      </w:pPr>
    </w:p>
    <w:p w:rsidR="00ED056F" w:rsidRDefault="00ED056F" w:rsidP="001A0196">
      <w:pPr>
        <w:keepNext/>
        <w:keepLines/>
        <w:autoSpaceDE w:val="0"/>
        <w:autoSpaceDN w:val="0"/>
        <w:adjustRightInd w:val="0"/>
        <w:jc w:val="both"/>
        <w:outlineLvl w:val="0"/>
        <w:rPr>
          <w:b/>
          <w:bCs/>
          <w:u w:val="single"/>
        </w:rPr>
      </w:pPr>
    </w:p>
    <w:p w:rsidR="00424719" w:rsidRPr="00411016" w:rsidRDefault="00424719" w:rsidP="001A0196">
      <w:pPr>
        <w:keepNext/>
        <w:keepLines/>
        <w:autoSpaceDE w:val="0"/>
        <w:autoSpaceDN w:val="0"/>
        <w:adjustRightInd w:val="0"/>
        <w:jc w:val="both"/>
        <w:outlineLvl w:val="0"/>
        <w:rPr>
          <w:b/>
          <w:bCs/>
          <w:u w:val="single"/>
        </w:rPr>
      </w:pPr>
      <w:r w:rsidRPr="00411016">
        <w:rPr>
          <w:b/>
          <w:bCs/>
          <w:u w:val="single"/>
        </w:rPr>
        <w:t>Identifikace výzvy</w:t>
      </w:r>
    </w:p>
    <w:p w:rsidR="00AD26D5" w:rsidRPr="00411016" w:rsidRDefault="00424719" w:rsidP="001A0196">
      <w:pPr>
        <w:keepNext/>
        <w:keepLines/>
        <w:tabs>
          <w:tab w:val="left" w:pos="3240"/>
        </w:tabs>
        <w:autoSpaceDE w:val="0"/>
        <w:autoSpaceDN w:val="0"/>
        <w:adjustRightInd w:val="0"/>
        <w:jc w:val="both"/>
        <w:outlineLvl w:val="0"/>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53992">
        <w:rPr>
          <w:b/>
        </w:rPr>
        <w:t xml:space="preserve"> </w:t>
      </w:r>
      <w:r w:rsidR="00454799" w:rsidRPr="002F74A7">
        <w:rPr>
          <w:b/>
        </w:rPr>
        <w:t>2</w:t>
      </w:r>
      <w:r w:rsidR="002F74A7" w:rsidRPr="002F74A7">
        <w:rPr>
          <w:b/>
        </w:rPr>
        <w:t>4</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D53992">
        <w:rPr>
          <w:b/>
        </w:rPr>
        <w:t xml:space="preserve"> </w:t>
      </w:r>
      <w:r w:rsidR="008A7ABB" w:rsidRPr="004616B6">
        <w:rPr>
          <w:b/>
        </w:rPr>
        <w:t>kontinuální</w:t>
      </w:r>
      <w:r w:rsidR="00424719" w:rsidRPr="00411016">
        <w:t xml:space="preserve"> </w:t>
      </w:r>
    </w:p>
    <w:p w:rsidR="00F97304" w:rsidRPr="004224BD" w:rsidRDefault="00424719" w:rsidP="00771DD3">
      <w:pPr>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2F74A7" w:rsidRPr="00252DA2">
        <w:rPr>
          <w:b/>
        </w:rPr>
        <w:t xml:space="preserve"> </w:t>
      </w:r>
      <w:r w:rsidR="00C9542A">
        <w:rPr>
          <w:b/>
        </w:rPr>
        <w:t>528 000</w:t>
      </w:r>
      <w:r w:rsidR="0027441E" w:rsidRPr="004224BD">
        <w:rPr>
          <w:b/>
        </w:rPr>
        <w:t> </w:t>
      </w:r>
      <w:r w:rsidR="00C916E6" w:rsidRPr="004224BD">
        <w:rPr>
          <w:b/>
        </w:rPr>
        <w:t>000</w:t>
      </w:r>
      <w:r w:rsidR="0027441E" w:rsidRPr="004224BD">
        <w:rPr>
          <w:b/>
        </w:rPr>
        <w:t xml:space="preserve"> </w:t>
      </w:r>
      <w:r w:rsidRPr="004224BD">
        <w:rPr>
          <w:b/>
        </w:rPr>
        <w:t>Kč</w:t>
      </w:r>
      <w:r w:rsidR="00771DD3">
        <w:rPr>
          <w:b/>
        </w:rPr>
        <w:t xml:space="preserve"> </w:t>
      </w:r>
    </w:p>
    <w:p w:rsidR="004C147E" w:rsidRPr="00411016" w:rsidRDefault="004C147E" w:rsidP="00771DD3">
      <w:pPr>
        <w:jc w:val="both"/>
        <w:rPr>
          <w:b/>
        </w:rPr>
      </w:pPr>
      <w:r w:rsidRPr="004224BD">
        <w:t>Celková částka dotace ze SR pr</w:t>
      </w:r>
      <w:r w:rsidR="002569AA" w:rsidRPr="004224BD">
        <w:t>o tuto výzvu:</w:t>
      </w:r>
      <w:r w:rsidR="002569AA" w:rsidRPr="004224BD">
        <w:rPr>
          <w:b/>
        </w:rPr>
        <w:t xml:space="preserve">                  </w:t>
      </w:r>
      <w:r w:rsidR="006A20DE" w:rsidRPr="004224BD">
        <w:rPr>
          <w:b/>
        </w:rPr>
        <w:tab/>
      </w:r>
      <w:r w:rsidR="005A67F5" w:rsidRPr="004224BD">
        <w:rPr>
          <w:b/>
        </w:rPr>
        <w:t xml:space="preserve"> </w:t>
      </w:r>
      <w:r w:rsidR="003B1194">
        <w:rPr>
          <w:b/>
        </w:rPr>
        <w:t xml:space="preserve">93 000 </w:t>
      </w:r>
      <w:bookmarkStart w:id="0" w:name="_GoBack"/>
      <w:bookmarkEnd w:id="0"/>
      <w:r w:rsidR="005A67F5" w:rsidRPr="004224BD">
        <w:rPr>
          <w:b/>
        </w:rPr>
        <w:t>00</w:t>
      </w:r>
      <w:r w:rsidR="004616B6" w:rsidRPr="004224BD">
        <w:rPr>
          <w:b/>
        </w:rPr>
        <w:t>0</w:t>
      </w:r>
      <w:r w:rsidRPr="002F74A7">
        <w:rPr>
          <w:b/>
        </w:rPr>
        <w:t xml:space="preserve"> Kč</w:t>
      </w:r>
    </w:p>
    <w:p w:rsidR="00AD26D5" w:rsidRPr="00145585"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DD68DB">
        <w:rPr>
          <w:b/>
        </w:rPr>
        <w:t xml:space="preserve"> </w:t>
      </w:r>
      <w:r w:rsidR="004927E0">
        <w:rPr>
          <w:b/>
        </w:rPr>
        <w:t>25</w:t>
      </w:r>
      <w:r w:rsidR="00AE685D" w:rsidRPr="00145585">
        <w:rPr>
          <w:b/>
        </w:rPr>
        <w:t>.</w:t>
      </w:r>
      <w:r w:rsidRPr="00145585">
        <w:rPr>
          <w:b/>
        </w:rPr>
        <w:t xml:space="preserve"> </w:t>
      </w:r>
      <w:r w:rsidR="00DD68DB">
        <w:rPr>
          <w:b/>
        </w:rPr>
        <w:t>dubna</w:t>
      </w:r>
      <w:r w:rsidR="00F57424" w:rsidRPr="00145585">
        <w:rPr>
          <w:b/>
        </w:rPr>
        <w:t xml:space="preserve"> </w:t>
      </w:r>
      <w:r w:rsidRPr="00145585">
        <w:rPr>
          <w:b/>
        </w:rPr>
        <w:t>201</w:t>
      </w:r>
      <w:r w:rsidR="00AE685D" w:rsidRPr="00145585">
        <w:rPr>
          <w:b/>
        </w:rPr>
        <w:t>4</w:t>
      </w:r>
    </w:p>
    <w:p w:rsidR="00AD26D5" w:rsidRPr="00EF1F6F" w:rsidRDefault="00AD26D5" w:rsidP="00375833">
      <w:pPr>
        <w:keepNext/>
        <w:keepLines/>
        <w:tabs>
          <w:tab w:val="left" w:pos="3240"/>
        </w:tabs>
        <w:autoSpaceDE w:val="0"/>
        <w:autoSpaceDN w:val="0"/>
        <w:adjustRightInd w:val="0"/>
        <w:ind w:left="3240" w:hanging="3240"/>
        <w:jc w:val="both"/>
        <w:rPr>
          <w:b/>
        </w:rPr>
      </w:pPr>
      <w:r w:rsidRPr="002F74A7">
        <w:t xml:space="preserve">Datum zpřístupnění internetové aplikace </w:t>
      </w:r>
      <w:r w:rsidR="007B66A5" w:rsidRPr="002F74A7">
        <w:rPr>
          <w:shd w:val="clear" w:color="auto" w:fill="FFFFFF"/>
        </w:rPr>
        <w:t>Benefit7</w:t>
      </w:r>
      <w:r w:rsidR="007B66A5" w:rsidRPr="002F74A7">
        <w:t>:</w:t>
      </w:r>
      <w:r w:rsidRPr="002F74A7">
        <w:rPr>
          <w:b/>
        </w:rPr>
        <w:t xml:space="preserve">  </w:t>
      </w:r>
      <w:r w:rsidR="006C52F1" w:rsidRPr="002F74A7">
        <w:rPr>
          <w:b/>
        </w:rPr>
        <w:tab/>
      </w:r>
      <w:r w:rsidR="00385B95" w:rsidRPr="004224BD">
        <w:rPr>
          <w:b/>
        </w:rPr>
        <w:t xml:space="preserve"> </w:t>
      </w:r>
      <w:r w:rsidR="004927E0" w:rsidRPr="004224BD">
        <w:rPr>
          <w:b/>
        </w:rPr>
        <w:t>25</w:t>
      </w:r>
      <w:r w:rsidRPr="004224BD">
        <w:rPr>
          <w:b/>
        </w:rPr>
        <w:t>.</w:t>
      </w:r>
      <w:r w:rsidR="005D4890" w:rsidRPr="004224BD">
        <w:rPr>
          <w:b/>
        </w:rPr>
        <w:t xml:space="preserve"> </w:t>
      </w:r>
      <w:r w:rsidR="00385B95" w:rsidRPr="004224BD">
        <w:rPr>
          <w:b/>
        </w:rPr>
        <w:t>dubna</w:t>
      </w:r>
      <w:r w:rsidR="003467BA" w:rsidRPr="004224BD">
        <w:rPr>
          <w:b/>
        </w:rPr>
        <w:t xml:space="preserve"> </w:t>
      </w:r>
      <w:r w:rsidRPr="004224BD">
        <w:rPr>
          <w:b/>
        </w:rPr>
        <w:t>201</w:t>
      </w:r>
      <w:r w:rsidR="00AE685D" w:rsidRPr="004224BD">
        <w:rPr>
          <w:b/>
        </w:rPr>
        <w:t>4</w:t>
      </w:r>
    </w:p>
    <w:p w:rsidR="00424719" w:rsidRPr="004224BD" w:rsidRDefault="00424719" w:rsidP="00375833">
      <w:pPr>
        <w:keepNext/>
        <w:keepLines/>
        <w:tabs>
          <w:tab w:val="left" w:pos="3240"/>
        </w:tabs>
        <w:autoSpaceDE w:val="0"/>
        <w:autoSpaceDN w:val="0"/>
        <w:adjustRightInd w:val="0"/>
        <w:jc w:val="both"/>
      </w:pPr>
      <w:r w:rsidRPr="00EF1F6F">
        <w:t xml:space="preserve">Ukončení příjmu žádostí: </w:t>
      </w:r>
      <w:r w:rsidR="009D31CB" w:rsidRPr="00EF1F6F">
        <w:tab/>
      </w:r>
      <w:r w:rsidR="001A6B9A" w:rsidRPr="00EF1F6F">
        <w:tab/>
      </w:r>
      <w:r w:rsidR="001A6B9A" w:rsidRPr="00EF1F6F">
        <w:tab/>
      </w:r>
      <w:r w:rsidR="00243AD2" w:rsidRPr="00EF1F6F">
        <w:tab/>
      </w:r>
      <w:r w:rsidR="00AD26D5" w:rsidRPr="00EF1F6F">
        <w:tab/>
      </w:r>
      <w:r w:rsidR="00385B95" w:rsidRPr="004224BD">
        <w:rPr>
          <w:b/>
        </w:rPr>
        <w:t xml:space="preserve"> </w:t>
      </w:r>
      <w:r w:rsidR="004927E0" w:rsidRPr="004224BD">
        <w:rPr>
          <w:b/>
        </w:rPr>
        <w:t>30. června</w:t>
      </w:r>
      <w:r w:rsidR="00D673CF" w:rsidRPr="004224BD">
        <w:rPr>
          <w:b/>
        </w:rPr>
        <w:t xml:space="preserve"> 201</w:t>
      </w:r>
      <w:r w:rsidR="00454799" w:rsidRPr="004224BD">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B54632">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 xml:space="preserve">Prioritní osa: </w:t>
      </w:r>
      <w:r w:rsidR="00C916E6">
        <w:rPr>
          <w:b/>
          <w:bCs/>
        </w:rPr>
        <w:tab/>
      </w:r>
      <w:r w:rsidR="00675C60">
        <w:rPr>
          <w:b/>
          <w:bCs/>
        </w:rPr>
        <w:t xml:space="preserve">            </w:t>
      </w:r>
      <w:r w:rsidR="00DD68DB">
        <w:rPr>
          <w:b/>
          <w:bCs/>
        </w:rPr>
        <w:t>5</w:t>
      </w:r>
      <w:r w:rsidR="00A0109A" w:rsidRPr="008A489B">
        <w:rPr>
          <w:b/>
          <w:bCs/>
        </w:rPr>
        <w:t xml:space="preserve"> – </w:t>
      </w:r>
      <w:r w:rsidR="00DD68DB">
        <w:rPr>
          <w:b/>
          <w:bCs/>
        </w:rPr>
        <w:t>Národní podpora územního rozvoje</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Oblast podpory:</w:t>
      </w:r>
      <w:r w:rsidR="00A0109A" w:rsidRPr="008A489B">
        <w:rPr>
          <w:b/>
          <w:bCs/>
        </w:rPr>
        <w:t xml:space="preserve"> </w:t>
      </w:r>
      <w:r w:rsidR="00C916E6">
        <w:rPr>
          <w:b/>
          <w:bCs/>
        </w:rPr>
        <w:tab/>
      </w:r>
      <w:r w:rsidR="00DD68DB">
        <w:rPr>
          <w:b/>
          <w:bCs/>
        </w:rPr>
        <w:t>5.1</w:t>
      </w:r>
      <w:r w:rsidR="00A0109A" w:rsidRPr="008A489B">
        <w:rPr>
          <w:b/>
          <w:bCs/>
        </w:rPr>
        <w:t xml:space="preserve"> – </w:t>
      </w:r>
      <w:r w:rsidR="00DD68DB">
        <w:rPr>
          <w:b/>
          <w:bCs/>
        </w:rPr>
        <w:t>Národní podpora využití potenciálu kulturního dědictví</w:t>
      </w:r>
    </w:p>
    <w:p w:rsidR="00A0109A" w:rsidRPr="008A489B" w:rsidRDefault="007B66A5" w:rsidP="00375833">
      <w:pPr>
        <w:keepNext/>
        <w:keepLines/>
        <w:autoSpaceDE w:val="0"/>
        <w:autoSpaceDN w:val="0"/>
        <w:adjustRightInd w:val="0"/>
        <w:jc w:val="both"/>
      </w:pPr>
      <w:r w:rsidRPr="00B271C0">
        <w:rPr>
          <w:bCs/>
        </w:rPr>
        <w:t>Cíl podpory:</w:t>
      </w:r>
      <w:r w:rsidR="00A0109A" w:rsidRPr="008A489B">
        <w:rPr>
          <w:b/>
          <w:bCs/>
        </w:rPr>
        <w:t xml:space="preserve"> </w:t>
      </w:r>
      <w:r w:rsidR="00C916E6">
        <w:rPr>
          <w:b/>
          <w:bCs/>
        </w:rPr>
        <w:tab/>
      </w:r>
      <w:r w:rsidR="00C916E6">
        <w:rPr>
          <w:b/>
          <w:bCs/>
        </w:rPr>
        <w:tab/>
      </w:r>
      <w:r w:rsidR="00A0109A"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246269" w:rsidRDefault="00424719" w:rsidP="00B54632">
      <w:pPr>
        <w:keepNext/>
        <w:keepLines/>
        <w:tabs>
          <w:tab w:val="left" w:pos="709"/>
        </w:tabs>
        <w:autoSpaceDE w:val="0"/>
        <w:autoSpaceDN w:val="0"/>
        <w:adjustRightInd w:val="0"/>
        <w:jc w:val="both"/>
        <w:rPr>
          <w:b/>
          <w:bCs/>
          <w:u w:val="single"/>
        </w:rPr>
      </w:pPr>
      <w:r w:rsidRPr="00246269">
        <w:rPr>
          <w:b/>
          <w:bCs/>
          <w:u w:val="single"/>
        </w:rPr>
        <w:t>Podporovan</w:t>
      </w:r>
      <w:r w:rsidR="00DF71B8">
        <w:rPr>
          <w:b/>
          <w:bCs/>
          <w:u w:val="single"/>
        </w:rPr>
        <w:t>é aktivity dle Programového dokumentu IOP</w:t>
      </w:r>
    </w:p>
    <w:p w:rsidR="00A0109A" w:rsidRDefault="00DD68DB" w:rsidP="00ED056F">
      <w:pPr>
        <w:keepNext/>
        <w:keepLines/>
        <w:tabs>
          <w:tab w:val="left" w:pos="709"/>
        </w:tabs>
        <w:jc w:val="both"/>
      </w:pPr>
      <w:r>
        <w:t xml:space="preserve">5.1 </w:t>
      </w:r>
      <w:r w:rsidR="00DF71B8" w:rsidRPr="00FF3B9C">
        <w:t xml:space="preserve">a) </w:t>
      </w:r>
      <w:r w:rsidR="00727297">
        <w:t>Vytváření a zefektivňování národních metodických center pro vybrané oblasti kulturního dědictví</w:t>
      </w:r>
    </w:p>
    <w:p w:rsidR="00373934" w:rsidRPr="00FF3B9C" w:rsidRDefault="00373934" w:rsidP="00ED056F">
      <w:pPr>
        <w:keepNext/>
        <w:keepLines/>
        <w:tabs>
          <w:tab w:val="left" w:pos="709"/>
        </w:tabs>
        <w:jc w:val="both"/>
      </w:pPr>
    </w:p>
    <w:p w:rsidR="009C70E8" w:rsidRDefault="009F44E6" w:rsidP="00ED056F">
      <w:pPr>
        <w:keepNext/>
        <w:keepLines/>
        <w:tabs>
          <w:tab w:val="left" w:pos="709"/>
        </w:tabs>
        <w:jc w:val="both"/>
      </w:pPr>
      <w:r>
        <w:t xml:space="preserve">5.1 </w:t>
      </w:r>
      <w:r w:rsidR="00DD68DB">
        <w:t xml:space="preserve">b) </w:t>
      </w:r>
      <w:r w:rsidR="00727297">
        <w:t>Realizace vzorových projektů obnovy a využití nejvýznamnějších součástí nemovitého památkového fondu ČR</w:t>
      </w:r>
    </w:p>
    <w:p w:rsidR="00373934" w:rsidRDefault="00373934" w:rsidP="00C67B7B">
      <w:pPr>
        <w:keepNext/>
        <w:keepLines/>
        <w:tabs>
          <w:tab w:val="left" w:pos="709"/>
        </w:tabs>
        <w:jc w:val="both"/>
      </w:pPr>
    </w:p>
    <w:p w:rsidR="00373934" w:rsidRDefault="00373934" w:rsidP="00C67B7B">
      <w:pPr>
        <w:autoSpaceDE w:val="0"/>
        <w:autoSpaceDN w:val="0"/>
        <w:adjustRightInd w:val="0"/>
        <w:jc w:val="both"/>
      </w:pPr>
      <w:r w:rsidRPr="00373934">
        <w:t>b1) Projekty obnovy a využití památkových objektů či souborů zapsaných na</w:t>
      </w:r>
      <w:r w:rsidR="00C67B7B">
        <w:t xml:space="preserve"> </w:t>
      </w:r>
      <w:r w:rsidRPr="00373934">
        <w:t>Seznamu světového kulturního a přírodního dědictví UNESCO a Seznamu kandidátů</w:t>
      </w:r>
      <w:r w:rsidR="00C67B7B">
        <w:t xml:space="preserve"> </w:t>
      </w:r>
      <w:r w:rsidRPr="00373934">
        <w:t>na zápis do tohoto seznamu nebo zapsaných v Ústředním seznamu kulturních</w:t>
      </w:r>
      <w:r w:rsidR="00C67B7B">
        <w:t xml:space="preserve"> </w:t>
      </w:r>
      <w:r w:rsidRPr="00373934">
        <w:t>památe</w:t>
      </w:r>
      <w:r w:rsidR="003D0A07">
        <w:t>k jako národní kulturní památka</w:t>
      </w:r>
    </w:p>
    <w:p w:rsidR="00373934" w:rsidRPr="00373934" w:rsidRDefault="00373934" w:rsidP="00C67B7B">
      <w:pPr>
        <w:autoSpaceDE w:val="0"/>
        <w:autoSpaceDN w:val="0"/>
        <w:adjustRightInd w:val="0"/>
        <w:jc w:val="both"/>
      </w:pPr>
    </w:p>
    <w:p w:rsidR="00373934" w:rsidRPr="00E960DF" w:rsidRDefault="00373934" w:rsidP="00C67B7B">
      <w:pPr>
        <w:autoSpaceDE w:val="0"/>
        <w:autoSpaceDN w:val="0"/>
        <w:adjustRightInd w:val="0"/>
        <w:jc w:val="both"/>
      </w:pPr>
      <w:r w:rsidRPr="00373934">
        <w:t>b2) Projekty obnovy a využití ucelených tematických souborů kulturních památek</w:t>
      </w:r>
      <w:r w:rsidR="00C67B7B">
        <w:t xml:space="preserve"> </w:t>
      </w:r>
      <w:r w:rsidRPr="00373934">
        <w:t>ležících na území většiny regionů NUTS 2, které je nutné kvůli koordinaci a zajištění</w:t>
      </w:r>
      <w:r>
        <w:t xml:space="preserve"> </w:t>
      </w:r>
      <w:r w:rsidRPr="00373934">
        <w:t>synergického efektu realizovat centrálně.</w:t>
      </w:r>
    </w:p>
    <w:p w:rsidR="004224BD" w:rsidRDefault="004224BD" w:rsidP="00B54632">
      <w:pPr>
        <w:pStyle w:val="Odstavecseseznamem"/>
        <w:keepNext/>
        <w:keepLines/>
        <w:autoSpaceDE w:val="0"/>
        <w:autoSpaceDN w:val="0"/>
        <w:adjustRightInd w:val="0"/>
        <w:ind w:left="0"/>
        <w:jc w:val="both"/>
        <w:rPr>
          <w:b/>
          <w:bCs/>
          <w:u w:val="single"/>
        </w:rPr>
      </w:pPr>
    </w:p>
    <w:p w:rsidR="001A2AA4" w:rsidRDefault="005505BA" w:rsidP="00B54632">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607B54">
        <w:rPr>
          <w:b/>
          <w:bCs/>
          <w:u w:val="single"/>
        </w:rPr>
        <w:t>é</w:t>
      </w:r>
      <w:r w:rsidR="008A489B" w:rsidRPr="00061785">
        <w:rPr>
          <w:bCs/>
        </w:rPr>
        <w:t xml:space="preserve">       </w:t>
      </w:r>
    </w:p>
    <w:p w:rsidR="00F34B20" w:rsidRPr="00E52D5A" w:rsidRDefault="00F34B20" w:rsidP="00F34B20">
      <w:pPr>
        <w:keepNext/>
        <w:keepLines/>
        <w:numPr>
          <w:ilvl w:val="0"/>
          <w:numId w:val="28"/>
        </w:numPr>
        <w:tabs>
          <w:tab w:val="left" w:pos="142"/>
          <w:tab w:val="left" w:pos="709"/>
        </w:tabs>
        <w:autoSpaceDE w:val="0"/>
        <w:autoSpaceDN w:val="0"/>
        <w:adjustRightInd w:val="0"/>
        <w:spacing w:before="60" w:line="268" w:lineRule="exact"/>
        <w:ind w:right="-20"/>
        <w:jc w:val="both"/>
        <w:rPr>
          <w:bCs/>
        </w:rPr>
      </w:pPr>
      <w:r w:rsidRPr="00F34B20">
        <w:rPr>
          <w:b/>
          <w:bCs/>
        </w:rPr>
        <w:t>organizační složky státu a jimi zřizované příspěvkové organizace</w:t>
      </w:r>
      <w:r w:rsidRPr="00E52D5A">
        <w:rPr>
          <w:bCs/>
        </w:rPr>
        <w:t xml:space="preserve"> podle zákona </w:t>
      </w:r>
      <w:r w:rsidRPr="00E52D5A">
        <w:rPr>
          <w:bCs/>
        </w:rPr>
        <w:br/>
        <w:t>č. 2/1969 Sb., ve znění pozdějších předpisů (tzv. kompetenční zákon) a zákona č. 219/2000 Sb., o majetku České republiky a jejím vystupování v právních vztazích, ve znění pozdějších předpisů;</w:t>
      </w:r>
    </w:p>
    <w:p w:rsidR="00F34B20" w:rsidRPr="00E52D5A" w:rsidRDefault="00F34B20" w:rsidP="00F34B20">
      <w:pPr>
        <w:keepNext/>
        <w:keepLines/>
        <w:numPr>
          <w:ilvl w:val="0"/>
          <w:numId w:val="28"/>
        </w:numPr>
        <w:tabs>
          <w:tab w:val="left" w:pos="142"/>
          <w:tab w:val="left" w:pos="709"/>
        </w:tabs>
        <w:autoSpaceDE w:val="0"/>
        <w:autoSpaceDN w:val="0"/>
        <w:adjustRightInd w:val="0"/>
        <w:spacing w:before="60" w:line="268" w:lineRule="exact"/>
        <w:ind w:right="-20"/>
        <w:jc w:val="both"/>
        <w:rPr>
          <w:bCs/>
        </w:rPr>
      </w:pPr>
      <w:r w:rsidRPr="00F34B20">
        <w:rPr>
          <w:b/>
          <w:bCs/>
        </w:rPr>
        <w:t>obce a jimi zřizované organizace</w:t>
      </w:r>
      <w:r w:rsidRPr="00E52D5A">
        <w:rPr>
          <w:bCs/>
        </w:rPr>
        <w:t>, v souladu se zákonem č. 128/2000 Sb., o obcích, ve znění pozdějších předpisů a zákonem č. 250/2000 Sb., o rozpočtových pravidlech územních rozpočtů, ve znění pozdějších předpisů;</w:t>
      </w:r>
    </w:p>
    <w:p w:rsidR="00F34B20" w:rsidRPr="00E52D5A" w:rsidRDefault="00F34B20" w:rsidP="00F34B20">
      <w:pPr>
        <w:keepNext/>
        <w:keepLines/>
        <w:numPr>
          <w:ilvl w:val="0"/>
          <w:numId w:val="28"/>
        </w:numPr>
        <w:tabs>
          <w:tab w:val="left" w:pos="142"/>
          <w:tab w:val="left" w:pos="709"/>
        </w:tabs>
        <w:autoSpaceDE w:val="0"/>
        <w:autoSpaceDN w:val="0"/>
        <w:adjustRightInd w:val="0"/>
        <w:spacing w:before="60"/>
        <w:ind w:right="-20"/>
        <w:jc w:val="both"/>
        <w:rPr>
          <w:bCs/>
        </w:rPr>
      </w:pPr>
      <w:r w:rsidRPr="00F34B20">
        <w:rPr>
          <w:b/>
          <w:bCs/>
        </w:rPr>
        <w:t>svazky obcí</w:t>
      </w:r>
      <w:r w:rsidRPr="00E52D5A">
        <w:rPr>
          <w:bCs/>
        </w:rPr>
        <w:t xml:space="preserve"> podle § 49 a násl. zákona č. 128/2000 Sb., o obcích, ve znění pozdějších předpisů a zákona č. 250/2000 Sb., o rozpočtových pravidlech územních rozpočtů, ve znění pozdějších předpisů;</w:t>
      </w:r>
    </w:p>
    <w:p w:rsidR="00F34B20" w:rsidRDefault="00F34B20" w:rsidP="00F34B20">
      <w:pPr>
        <w:keepNext/>
        <w:keepLines/>
        <w:numPr>
          <w:ilvl w:val="0"/>
          <w:numId w:val="28"/>
        </w:numPr>
        <w:tabs>
          <w:tab w:val="left" w:pos="142"/>
          <w:tab w:val="left" w:pos="709"/>
        </w:tabs>
        <w:autoSpaceDE w:val="0"/>
        <w:autoSpaceDN w:val="0"/>
        <w:adjustRightInd w:val="0"/>
        <w:spacing w:before="60"/>
        <w:ind w:right="-20"/>
        <w:jc w:val="both"/>
        <w:rPr>
          <w:bCs/>
        </w:rPr>
      </w:pPr>
      <w:r w:rsidRPr="00F34B20">
        <w:rPr>
          <w:b/>
          <w:bCs/>
        </w:rPr>
        <w:t>nestátní neziskové organizace</w:t>
      </w:r>
      <w:r w:rsidRPr="00E52D5A">
        <w:rPr>
          <w:bCs/>
        </w:rPr>
        <w:t>:</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 xml:space="preserve">spolky </w:t>
      </w:r>
      <w:r w:rsidRPr="00BE65AE">
        <w:rPr>
          <w:bCs/>
        </w:rPr>
        <w:t>podle § 214 a násl. zákona č. 89/2012 Sb., občanský zákoník,</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nadace</w:t>
      </w:r>
      <w:r w:rsidRPr="00BE65AE">
        <w:rPr>
          <w:bCs/>
        </w:rPr>
        <w:t xml:space="preserve"> podle § 306 a násl. zákona č. 89/2012 Sb., občanský zákoník,</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nadační fondy</w:t>
      </w:r>
      <w:r w:rsidRPr="00BE65AE">
        <w:rPr>
          <w:bCs/>
        </w:rPr>
        <w:t xml:space="preserve"> podle § 394</w:t>
      </w:r>
      <w:r>
        <w:rPr>
          <w:bCs/>
        </w:rPr>
        <w:t xml:space="preserve"> </w:t>
      </w:r>
      <w:r w:rsidRPr="00BE65AE">
        <w:rPr>
          <w:bCs/>
        </w:rPr>
        <w:t>a násl. zákona č. 89/2012 Sb., občanský zákoník,</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ústavy</w:t>
      </w:r>
      <w:r w:rsidRPr="00BE65AE">
        <w:rPr>
          <w:bCs/>
        </w:rPr>
        <w:t xml:space="preserve"> podle § 402 a násl. zákona č. 89/2012 Sb., občanský zákoník,</w:t>
      </w:r>
    </w:p>
    <w:p w:rsidR="00F34B20" w:rsidRPr="00BE65AE" w:rsidRDefault="00F34B20" w:rsidP="00F34B20">
      <w:pPr>
        <w:pStyle w:val="Odstavecseseznamem"/>
        <w:keepNext/>
        <w:keepLines/>
        <w:numPr>
          <w:ilvl w:val="0"/>
          <w:numId w:val="27"/>
        </w:numPr>
        <w:tabs>
          <w:tab w:val="left" w:pos="1134"/>
        </w:tabs>
        <w:autoSpaceDE w:val="0"/>
        <w:autoSpaceDN w:val="0"/>
        <w:adjustRightInd w:val="0"/>
        <w:spacing w:before="60" w:after="200"/>
        <w:ind w:left="1134" w:right="-20" w:hanging="425"/>
        <w:jc w:val="both"/>
        <w:rPr>
          <w:bCs/>
        </w:rPr>
      </w:pPr>
      <w:r w:rsidRPr="00F34B20">
        <w:rPr>
          <w:b/>
          <w:bCs/>
        </w:rPr>
        <w:t>sociální družstva</w:t>
      </w:r>
      <w:r w:rsidRPr="00BE65AE">
        <w:rPr>
          <w:bCs/>
        </w:rPr>
        <w:t xml:space="preserve"> podle § 758 a násl. zákona č. 90/2012 Sb., o obchodních korporacích,</w:t>
      </w:r>
    </w:p>
    <w:p w:rsidR="00F34B20" w:rsidRPr="00BE65AE" w:rsidRDefault="00F34B20" w:rsidP="00F34B20">
      <w:pPr>
        <w:pStyle w:val="Odstavecseseznamem"/>
        <w:keepNext/>
        <w:keepLines/>
        <w:numPr>
          <w:ilvl w:val="0"/>
          <w:numId w:val="27"/>
        </w:numPr>
        <w:tabs>
          <w:tab w:val="left" w:pos="1134"/>
        </w:tabs>
        <w:autoSpaceDE w:val="0"/>
        <w:autoSpaceDN w:val="0"/>
        <w:adjustRightInd w:val="0"/>
        <w:spacing w:before="60" w:after="200"/>
        <w:ind w:left="1134" w:right="-20" w:hanging="425"/>
        <w:jc w:val="both"/>
        <w:rPr>
          <w:bCs/>
        </w:rPr>
      </w:pPr>
      <w:r w:rsidRPr="00F34B20">
        <w:rPr>
          <w:b/>
          <w:bCs/>
        </w:rPr>
        <w:t>církve a náboženské společnosti</w:t>
      </w:r>
      <w:r w:rsidRPr="00BE65AE">
        <w:rPr>
          <w:bCs/>
        </w:rPr>
        <w:t xml:space="preserve"> a další právnické osoby podle zákona č. 3/2002 Sb., o církvích a náboženských společnostech, ve znění pozdějších předpisů, </w:t>
      </w:r>
    </w:p>
    <w:p w:rsidR="00F34B20" w:rsidRPr="00BE65AE" w:rsidRDefault="00F34B20" w:rsidP="00F34B20">
      <w:pPr>
        <w:pStyle w:val="Odstavecseseznamem"/>
        <w:keepNext/>
        <w:keepLines/>
        <w:numPr>
          <w:ilvl w:val="0"/>
          <w:numId w:val="27"/>
        </w:numPr>
        <w:tabs>
          <w:tab w:val="left" w:pos="1134"/>
        </w:tabs>
        <w:autoSpaceDE w:val="0"/>
        <w:autoSpaceDN w:val="0"/>
        <w:adjustRightInd w:val="0"/>
        <w:spacing w:before="60" w:after="200"/>
        <w:ind w:left="1134" w:right="-20" w:hanging="425"/>
        <w:jc w:val="both"/>
        <w:rPr>
          <w:bCs/>
        </w:rPr>
      </w:pPr>
      <w:r w:rsidRPr="00F34B20">
        <w:rPr>
          <w:b/>
          <w:bCs/>
        </w:rPr>
        <w:t>obecně prospěšné společnosti</w:t>
      </w:r>
      <w:r w:rsidRPr="00BE65AE">
        <w:rPr>
          <w:bCs/>
        </w:rPr>
        <w:t xml:space="preserve"> (založené do 31. 12. 2013) podle zákona č. 248/1995 Sb., o obecně prospěšných společnostech, ve znění pozdějších předpisů,</w:t>
      </w:r>
    </w:p>
    <w:p w:rsidR="00F34B20" w:rsidRPr="00BE65AE" w:rsidRDefault="00F34B20" w:rsidP="00951F8E">
      <w:pPr>
        <w:pStyle w:val="Odstavecseseznamem"/>
        <w:keepNext/>
        <w:keepLines/>
        <w:numPr>
          <w:ilvl w:val="0"/>
          <w:numId w:val="29"/>
        </w:numPr>
        <w:tabs>
          <w:tab w:val="left" w:pos="709"/>
        </w:tabs>
        <w:autoSpaceDE w:val="0"/>
        <w:autoSpaceDN w:val="0"/>
        <w:adjustRightInd w:val="0"/>
        <w:spacing w:before="60" w:after="200"/>
        <w:ind w:left="709" w:right="-20" w:hanging="283"/>
        <w:jc w:val="both"/>
        <w:rPr>
          <w:bCs/>
        </w:rPr>
      </w:pPr>
      <w:r w:rsidRPr="00F34B20">
        <w:rPr>
          <w:b/>
          <w:bCs/>
        </w:rPr>
        <w:t>zájmová sdružení právnických osob</w:t>
      </w:r>
      <w:r w:rsidRPr="00BE65AE">
        <w:rPr>
          <w:bCs/>
        </w:rPr>
        <w:t xml:space="preserve"> (založená do 31. 12. 2013) podle § 20 f až § 20 k </w:t>
      </w:r>
      <w:proofErr w:type="gramStart"/>
      <w:r w:rsidRPr="00BE65AE">
        <w:rPr>
          <w:bCs/>
        </w:rPr>
        <w:t>zákona</w:t>
      </w:r>
      <w:proofErr w:type="gramEnd"/>
      <w:r w:rsidRPr="00BE65AE">
        <w:rPr>
          <w:bCs/>
        </w:rPr>
        <w:t xml:space="preserve"> č. 40/1964 Sb., občanský zákoník, ve znění pozdějších předpisů. </w:t>
      </w:r>
    </w:p>
    <w:p w:rsidR="00397C2E" w:rsidRDefault="00397C2E" w:rsidP="00762E5D">
      <w:pPr>
        <w:ind w:right="-108"/>
        <w:jc w:val="both"/>
        <w:rPr>
          <w:bCs/>
        </w:rPr>
      </w:pPr>
    </w:p>
    <w:p w:rsidR="00424719" w:rsidRPr="00DE45BB" w:rsidRDefault="00424719" w:rsidP="00B54632">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w:t>
      </w:r>
      <w:r w:rsidR="005A67F5">
        <w:t>ré spadají do cíle Konvergence</w:t>
      </w:r>
      <w:r w:rsidRPr="008A489B">
        <w:t>, to jsou všechny regiony soudržnosti v ČR vyjma území hl. m. Prahy.</w:t>
      </w:r>
    </w:p>
    <w:p w:rsidR="00973644" w:rsidRPr="008A489B" w:rsidRDefault="00973644"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Forma podpory </w:t>
      </w:r>
    </w:p>
    <w:p w:rsidR="00D205A6" w:rsidRDefault="00D205A6" w:rsidP="00B54632">
      <w:pPr>
        <w:autoSpaceDE w:val="0"/>
        <w:autoSpaceDN w:val="0"/>
        <w:adjustRightInd w:val="0"/>
        <w:jc w:val="both"/>
      </w:pPr>
      <w:r w:rsidRPr="008A489B">
        <w:t>Dotace.</w:t>
      </w:r>
    </w:p>
    <w:p w:rsidR="00B32FAA" w:rsidRDefault="00B32FAA" w:rsidP="00B54632">
      <w:pPr>
        <w:autoSpaceDE w:val="0"/>
        <w:autoSpaceDN w:val="0"/>
        <w:adjustRightInd w:val="0"/>
        <w:jc w:val="both"/>
      </w:pPr>
    </w:p>
    <w:p w:rsidR="00424719" w:rsidRPr="008A489B" w:rsidRDefault="00D205A6" w:rsidP="00B54632">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 xml:space="preserve">Příspěvek z Evropského fondu </w:t>
      </w:r>
      <w:r w:rsidR="00D5233A">
        <w:rPr>
          <w:bCs/>
        </w:rPr>
        <w:t xml:space="preserve">pro </w:t>
      </w:r>
      <w:r w:rsidRPr="008A489B">
        <w:rPr>
          <w:bCs/>
        </w:rPr>
        <w:t>regionální rozvoj</w:t>
      </w:r>
      <w:r w:rsidR="00424719" w:rsidRPr="008A489B">
        <w:rPr>
          <w:bCs/>
        </w:rPr>
        <w:t xml:space="preserve"> činí 85 % celkových způsobilých výdajů. </w:t>
      </w:r>
      <w:r w:rsidR="00B32FAA">
        <w:rPr>
          <w:bCs/>
        </w:rPr>
        <w:t>Příspěvek ze státního rozpočtu činí 15 %</w:t>
      </w:r>
      <w:r w:rsidR="006E02E5" w:rsidRPr="008A489B">
        <w:rPr>
          <w:bCs/>
        </w:rPr>
        <w:t>.</w:t>
      </w:r>
    </w:p>
    <w:p w:rsidR="00D205A6" w:rsidRPr="008A489B" w:rsidRDefault="00D205A6" w:rsidP="00375833">
      <w:pPr>
        <w:autoSpaceDE w:val="0"/>
        <w:autoSpaceDN w:val="0"/>
        <w:adjustRightInd w:val="0"/>
        <w:jc w:val="both"/>
        <w:rPr>
          <w:bCs/>
        </w:rPr>
      </w:pPr>
    </w:p>
    <w:p w:rsidR="00D205A6" w:rsidRPr="008A489B" w:rsidRDefault="00D205A6" w:rsidP="00B54632">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termín zahájení prací souvisejících s projektem, nejdříve 1. </w:t>
      </w:r>
      <w:r w:rsidR="00DE45BB">
        <w:t>ledna</w:t>
      </w:r>
      <w:r w:rsidRPr="008A489B">
        <w:t xml:space="preserve"> 2007.</w:t>
      </w:r>
    </w:p>
    <w:p w:rsidR="00D81375" w:rsidRDefault="00D81375" w:rsidP="00375833">
      <w:pPr>
        <w:jc w:val="both"/>
      </w:pPr>
    </w:p>
    <w:p w:rsidR="00D205A6" w:rsidRPr="008A489B" w:rsidRDefault="00F44112" w:rsidP="00375833">
      <w:pPr>
        <w:jc w:val="both"/>
      </w:pPr>
      <w:r w:rsidRPr="008A489B">
        <w:lastRenderedPageBreak/>
        <w:t xml:space="preserve">Realizace projektu nesmí být ukončena před </w:t>
      </w:r>
      <w:r>
        <w:t>vydáním prvního Rozhodnutí o poskytnutí dotace</w:t>
      </w:r>
      <w:r w:rsidR="002F74A7">
        <w:t>/Stanovení výdajů</w:t>
      </w:r>
      <w:r w:rsidRPr="008A489B">
        <w:t xml:space="preserve">. Realizace projektu musí být </w:t>
      </w:r>
      <w:r w:rsidRPr="003D661A">
        <w:t xml:space="preserve">ukončena </w:t>
      </w:r>
      <w:r w:rsidRPr="00252DA2">
        <w:rPr>
          <w:b/>
        </w:rPr>
        <w:t>nejpozději</w:t>
      </w:r>
      <w:r w:rsidR="007B66A5" w:rsidRPr="00252DA2">
        <w:rPr>
          <w:b/>
        </w:rPr>
        <w:t xml:space="preserve"> </w:t>
      </w:r>
      <w:r w:rsidR="00A95B9C">
        <w:rPr>
          <w:b/>
        </w:rPr>
        <w:t>31. prosince</w:t>
      </w:r>
      <w:r w:rsidR="007B66A5" w:rsidRPr="00FF3B9C">
        <w:rPr>
          <w:b/>
        </w:rPr>
        <w:t xml:space="preserve"> 2015</w:t>
      </w:r>
      <w:r w:rsidR="007B66A5" w:rsidRPr="00FF3B9C">
        <w:t>.</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Typ podpory  </w:t>
      </w:r>
    </w:p>
    <w:p w:rsidR="00D205A6" w:rsidRPr="008A489B" w:rsidRDefault="00D205A6" w:rsidP="00B54632">
      <w:pPr>
        <w:jc w:val="both"/>
      </w:pPr>
      <w:r w:rsidRPr="008A489B">
        <w:t xml:space="preserve">Individuální projekty. </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9F0FB2">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xml:space="preserve">, např. článek 56 nařízení </w:t>
      </w:r>
      <w:r w:rsidR="00D5233A">
        <w:rPr>
          <w:color w:val="000000"/>
        </w:rPr>
        <w:br/>
      </w:r>
      <w:r w:rsidRPr="008A489B">
        <w:rPr>
          <w:color w:val="000000"/>
        </w:rPr>
        <w:t>č. 1083/2006, článek 7 nařízení č. 1080/2006, a Pravidly způsobilých výdajů pro programy spolufinancované ze strukturálních fondů a Fondu soudržnosti na programové období 2007–</w:t>
      </w:r>
    </w:p>
    <w:p w:rsidR="00D205A6" w:rsidRPr="008A489B" w:rsidRDefault="00D205A6" w:rsidP="00F57424">
      <w:pPr>
        <w:jc w:val="both"/>
      </w:pPr>
      <w:r w:rsidRPr="008A489B">
        <w:rPr>
          <w:color w:val="000000"/>
        </w:rPr>
        <w:t>2013“ – usnesení vlády č. 61/2007.</w:t>
      </w:r>
      <w:r w:rsidRPr="008A489B">
        <w:t xml:space="preserve"> </w:t>
      </w:r>
    </w:p>
    <w:p w:rsidR="00A87F60" w:rsidRPr="008A489B" w:rsidRDefault="00A87F60" w:rsidP="00F57424">
      <w:pPr>
        <w:spacing w:before="120"/>
        <w:jc w:val="both"/>
      </w:pPr>
      <w:r w:rsidRPr="008A489B">
        <w:t>Výdaje jsou způsobilé od 1. ledna 2007.</w:t>
      </w:r>
    </w:p>
    <w:p w:rsidR="00BA4893" w:rsidRDefault="00BA4893" w:rsidP="00F57424">
      <w:pPr>
        <w:tabs>
          <w:tab w:val="left" w:pos="0"/>
        </w:tabs>
        <w:autoSpaceDE w:val="0"/>
        <w:autoSpaceDN w:val="0"/>
        <w:adjustRightInd w:val="0"/>
        <w:jc w:val="both"/>
        <w:rPr>
          <w:rFonts w:cs="Arial"/>
          <w:b/>
          <w:color w:val="231F20"/>
          <w:szCs w:val="20"/>
        </w:rPr>
      </w:pPr>
    </w:p>
    <w:p w:rsidR="00866BDC" w:rsidRPr="00B54632" w:rsidRDefault="005D291B" w:rsidP="00F57424">
      <w:pPr>
        <w:tabs>
          <w:tab w:val="left" w:pos="0"/>
        </w:tabs>
        <w:autoSpaceDE w:val="0"/>
        <w:autoSpaceDN w:val="0"/>
        <w:adjustRightInd w:val="0"/>
        <w:jc w:val="both"/>
        <w:rPr>
          <w:color w:val="231F20"/>
        </w:rPr>
      </w:pPr>
      <w:r w:rsidRPr="00471123">
        <w:rPr>
          <w:rFonts w:cs="Arial"/>
          <w:color w:val="231F20"/>
          <w:szCs w:val="20"/>
        </w:rPr>
        <w:t>Způsobil</w:t>
      </w:r>
      <w:r w:rsidR="00B54632" w:rsidRPr="00471123">
        <w:rPr>
          <w:rFonts w:cs="Arial"/>
          <w:color w:val="231F20"/>
          <w:szCs w:val="20"/>
        </w:rPr>
        <w:t xml:space="preserve">é </w:t>
      </w:r>
      <w:r w:rsidRPr="00471123">
        <w:rPr>
          <w:rFonts w:cs="Arial"/>
          <w:color w:val="231F20"/>
          <w:szCs w:val="20"/>
        </w:rPr>
        <w:t>výda</w:t>
      </w:r>
      <w:r w:rsidR="00B54632" w:rsidRPr="00471123">
        <w:rPr>
          <w:rFonts w:cs="Arial"/>
          <w:color w:val="231F20"/>
          <w:szCs w:val="20"/>
        </w:rPr>
        <w:t>je</w:t>
      </w:r>
      <w:r w:rsidRPr="000B4CCF">
        <w:rPr>
          <w:rFonts w:cs="Arial"/>
          <w:b/>
          <w:color w:val="231F20"/>
          <w:szCs w:val="20"/>
        </w:rPr>
        <w:t xml:space="preserve"> </w:t>
      </w:r>
      <w:r w:rsidRPr="00B54632">
        <w:rPr>
          <w:rFonts w:cs="Arial"/>
          <w:color w:val="231F20"/>
          <w:szCs w:val="20"/>
        </w:rPr>
        <w:t>jsou</w:t>
      </w:r>
      <w:r w:rsidR="00B54632">
        <w:rPr>
          <w:noProof/>
          <w:color w:val="231F20"/>
        </w:rPr>
        <w:t xml:space="preserve"> vymezeny v Příručce pro žadatele a příjemce</w:t>
      </w:r>
      <w:r w:rsidR="00CB6B96">
        <w:rPr>
          <w:noProof/>
          <w:color w:val="231F20"/>
        </w:rPr>
        <w:t xml:space="preserve"> v</w:t>
      </w:r>
      <w:r w:rsidR="00B54632">
        <w:rPr>
          <w:noProof/>
          <w:color w:val="231F20"/>
        </w:rPr>
        <w:t xml:space="preserve"> kap</w:t>
      </w:r>
      <w:r w:rsidR="00CB6B96">
        <w:rPr>
          <w:noProof/>
          <w:color w:val="231F20"/>
        </w:rPr>
        <w:t>itole</w:t>
      </w:r>
      <w:r w:rsidR="00B54632">
        <w:rPr>
          <w:noProof/>
          <w:color w:val="231F20"/>
        </w:rPr>
        <w:t xml:space="preserve"> Způsobilé výdaje</w:t>
      </w:r>
      <w:r w:rsidR="00866BDC" w:rsidRPr="00B54632">
        <w:rPr>
          <w:noProof/>
          <w:color w:val="231F20"/>
        </w:rPr>
        <w:t>.</w:t>
      </w:r>
    </w:p>
    <w:p w:rsidR="001A2AA4" w:rsidRDefault="001A2AA4" w:rsidP="00866BDC">
      <w:pPr>
        <w:tabs>
          <w:tab w:val="left" w:pos="0"/>
        </w:tabs>
        <w:autoSpaceDE w:val="0"/>
        <w:autoSpaceDN w:val="0"/>
        <w:adjustRightInd w:val="0"/>
        <w:spacing w:after="200"/>
        <w:ind w:left="357"/>
        <w:jc w:val="both"/>
      </w:pPr>
    </w:p>
    <w:p w:rsidR="00D205A6" w:rsidRPr="008A489B" w:rsidRDefault="00D205A6" w:rsidP="00B54632">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projekt </w:t>
      </w:r>
      <w:r w:rsidR="00CB6B96">
        <w:t xml:space="preserve">je </w:t>
      </w:r>
      <w:r w:rsidR="002E1128">
        <w:rPr>
          <w:b/>
        </w:rPr>
        <w:t>3</w:t>
      </w:r>
      <w:r w:rsidR="00A95B9C">
        <w:rPr>
          <w:b/>
        </w:rPr>
        <w:t xml:space="preserve">0 mil. Kč. </w:t>
      </w:r>
    </w:p>
    <w:p w:rsidR="002D24BC" w:rsidRDefault="002D24BC" w:rsidP="00F57424">
      <w:pPr>
        <w:autoSpaceDE w:val="0"/>
        <w:autoSpaceDN w:val="0"/>
        <w:adjustRightInd w:val="0"/>
        <w:spacing w:before="120"/>
        <w:ind w:right="-108"/>
        <w:jc w:val="both"/>
      </w:pPr>
      <w:r w:rsidRPr="00734653">
        <w:t xml:space="preserve">Maximální výše celkových </w:t>
      </w:r>
      <w:r w:rsidR="006F7026">
        <w:t xml:space="preserve">způsobilých výdajů na projekt je </w:t>
      </w:r>
      <w:r w:rsidR="00A95B9C" w:rsidRPr="00A95B9C">
        <w:rPr>
          <w:b/>
        </w:rPr>
        <w:t>200</w:t>
      </w:r>
      <w:r w:rsidR="006F7026" w:rsidRPr="00061785">
        <w:rPr>
          <w:b/>
        </w:rPr>
        <w:t xml:space="preserve"> </w:t>
      </w:r>
      <w:r w:rsidR="00061785" w:rsidRPr="00061785">
        <w:rPr>
          <w:b/>
        </w:rPr>
        <w:t>m</w:t>
      </w:r>
      <w:r w:rsidR="00866BDC">
        <w:rPr>
          <w:b/>
        </w:rPr>
        <w:t>i</w:t>
      </w:r>
      <w:r w:rsidR="00061785" w:rsidRPr="00061785">
        <w:rPr>
          <w:b/>
        </w:rPr>
        <w:t>l</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3467BA" w:rsidRDefault="003467BA" w:rsidP="00B54632">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2B095D">
        <w:rPr>
          <w:color w:val="000000"/>
        </w:rPr>
        <w:t>Podporovány budou projekty, které nezakládají nedovolenou veřejnou podporu (viz čl. 107 Smlouvy o fungování EU).</w:t>
      </w:r>
    </w:p>
    <w:p w:rsidR="00D81375" w:rsidRDefault="00D81375" w:rsidP="00B54632">
      <w:pPr>
        <w:autoSpaceDE w:val="0"/>
        <w:autoSpaceDN w:val="0"/>
        <w:adjustRightInd w:val="0"/>
        <w:jc w:val="both"/>
        <w:rPr>
          <w:b/>
          <w:bCs/>
          <w:u w:val="single"/>
        </w:rPr>
      </w:pPr>
    </w:p>
    <w:p w:rsidR="00F42248" w:rsidRPr="008A489B" w:rsidRDefault="00F42248" w:rsidP="00B54632">
      <w:pPr>
        <w:autoSpaceDE w:val="0"/>
        <w:autoSpaceDN w:val="0"/>
        <w:adjustRightInd w:val="0"/>
        <w:jc w:val="both"/>
        <w:rPr>
          <w:b/>
          <w:bCs/>
          <w:u w:val="single"/>
        </w:rPr>
      </w:pPr>
      <w:r w:rsidRPr="008A489B">
        <w:rPr>
          <w:b/>
          <w:bCs/>
          <w:u w:val="single"/>
        </w:rPr>
        <w:t>Křížové financování</w:t>
      </w:r>
    </w:p>
    <w:p w:rsidR="00F42248" w:rsidRPr="008A489B" w:rsidRDefault="00F42248" w:rsidP="00B54632">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Příjmy projektu</w:t>
      </w:r>
    </w:p>
    <w:p w:rsidR="00D205A6" w:rsidRDefault="00CB6B96" w:rsidP="00375833">
      <w:pPr>
        <w:jc w:val="both"/>
        <w:rPr>
          <w:color w:val="000000"/>
        </w:rPr>
      </w:pPr>
      <w:r>
        <w:rPr>
          <w:color w:val="000000"/>
        </w:rPr>
        <w:t xml:space="preserve">Pokud projekt generuje příjmy, žadatelé a příjemci postupují podle kapitoly </w:t>
      </w:r>
      <w:r w:rsidR="004224BD">
        <w:rPr>
          <w:color w:val="000000"/>
        </w:rPr>
        <w:t>4.1</w:t>
      </w:r>
      <w:r w:rsidR="00CE0576">
        <w:rPr>
          <w:color w:val="000000"/>
        </w:rPr>
        <w:t>3</w:t>
      </w:r>
      <w:r w:rsidR="004224BD">
        <w:rPr>
          <w:color w:val="000000"/>
        </w:rPr>
        <w:t xml:space="preserve"> </w:t>
      </w:r>
      <w:r w:rsidR="002B095D">
        <w:rPr>
          <w:color w:val="000000"/>
        </w:rPr>
        <w:t>P</w:t>
      </w:r>
      <w:r>
        <w:rPr>
          <w:color w:val="000000"/>
        </w:rPr>
        <w:t>říručky pro žadatele a příjemce.</w:t>
      </w:r>
    </w:p>
    <w:p w:rsidR="00471123" w:rsidRPr="008A489B" w:rsidRDefault="00471123" w:rsidP="00375833">
      <w:pPr>
        <w:jc w:val="both"/>
      </w:pPr>
    </w:p>
    <w:p w:rsidR="009D7555" w:rsidRPr="008A489B" w:rsidRDefault="009D7555" w:rsidP="00B54632">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553AA6" w:rsidRDefault="009D7555" w:rsidP="009C73D1">
      <w:pPr>
        <w:autoSpaceDE w:val="0"/>
        <w:autoSpaceDN w:val="0"/>
        <w:adjustRightInd w:val="0"/>
        <w:jc w:val="both"/>
      </w:pPr>
      <w:r w:rsidRPr="00553AA6">
        <w:t>Všechny projekty musí projít kontrolou přijatelnosti, kontrolou formálních náležitostí</w:t>
      </w:r>
      <w:r w:rsidR="000D699B" w:rsidRPr="00553AA6">
        <w:t xml:space="preserve">, </w:t>
      </w:r>
      <w:r w:rsidR="00EF3811" w:rsidRPr="00553AA6">
        <w:t>hodnocením podle kritérií pro hodno</w:t>
      </w:r>
      <w:r w:rsidR="000D699B" w:rsidRPr="00553AA6">
        <w:t>cení kvality projektu</w:t>
      </w:r>
      <w:r w:rsidR="00CB6B96">
        <w:t>,</w:t>
      </w:r>
      <w:r w:rsidR="00EF3811" w:rsidRPr="00553AA6">
        <w:t xml:space="preserve"> schválených Monitorovacím výborem IOP</w:t>
      </w:r>
      <w:r w:rsidR="002A2A39" w:rsidRPr="00553AA6">
        <w:t>.</w:t>
      </w:r>
      <w:r w:rsidR="00EF3811" w:rsidRPr="00553AA6">
        <w:t xml:space="preserve"> </w:t>
      </w:r>
      <w:r w:rsidR="002A2A39" w:rsidRPr="00553AA6">
        <w:t>S</w:t>
      </w:r>
      <w:r w:rsidR="00EF3811" w:rsidRPr="00553AA6">
        <w:t>eznam kritérií je uveden v Příručce pro žadatele a příjemce</w:t>
      </w:r>
      <w:r w:rsidR="00375833" w:rsidRPr="00553AA6">
        <w:t>.</w:t>
      </w:r>
    </w:p>
    <w:p w:rsidR="00B54632" w:rsidRDefault="00B54632" w:rsidP="00B54632">
      <w:pPr>
        <w:autoSpaceDE w:val="0"/>
        <w:autoSpaceDN w:val="0"/>
        <w:adjustRightInd w:val="0"/>
        <w:jc w:val="both"/>
        <w:rPr>
          <w:b/>
          <w:bCs/>
          <w:iCs/>
          <w:u w:val="single"/>
        </w:rPr>
      </w:pPr>
    </w:p>
    <w:p w:rsidR="00511905" w:rsidRDefault="00511905" w:rsidP="00B54632">
      <w:pPr>
        <w:autoSpaceDE w:val="0"/>
        <w:autoSpaceDN w:val="0"/>
        <w:adjustRightInd w:val="0"/>
        <w:jc w:val="both"/>
        <w:rPr>
          <w:b/>
          <w:bCs/>
          <w:iCs/>
          <w:u w:val="single"/>
        </w:rPr>
      </w:pPr>
    </w:p>
    <w:p w:rsidR="006B12C4" w:rsidRPr="008A489B" w:rsidRDefault="006B12C4" w:rsidP="00B54632">
      <w:pPr>
        <w:autoSpaceDE w:val="0"/>
        <w:autoSpaceDN w:val="0"/>
        <w:adjustRightInd w:val="0"/>
        <w:jc w:val="both"/>
        <w:rPr>
          <w:b/>
          <w:bCs/>
          <w:iCs/>
          <w:u w:val="single"/>
        </w:rPr>
      </w:pPr>
      <w:r w:rsidRPr="008A489B">
        <w:rPr>
          <w:b/>
          <w:bCs/>
          <w:iCs/>
          <w:u w:val="single"/>
        </w:rPr>
        <w:lastRenderedPageBreak/>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10"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7B53C3" w:rsidRDefault="007B53C3" w:rsidP="007B53C3">
      <w:pPr>
        <w:jc w:val="both"/>
      </w:pPr>
      <w:r>
        <w:rPr>
          <w:b/>
          <w:bCs/>
          <w:color w:val="000000"/>
        </w:rPr>
        <w:t xml:space="preserve">Tištěné verze </w:t>
      </w:r>
      <w:r w:rsidR="008C2BF1" w:rsidRPr="00667A0C">
        <w:rPr>
          <w:b/>
          <w:bCs/>
          <w:color w:val="000000"/>
        </w:rPr>
        <w:t xml:space="preserve">projektových žádostí finálně uložených v aplikaci Benefit7 </w:t>
      </w:r>
      <w:r w:rsidR="00375833" w:rsidRPr="00667A0C">
        <w:rPr>
          <w:b/>
          <w:bCs/>
          <w:color w:val="000000"/>
        </w:rPr>
        <w:t>bud</w:t>
      </w:r>
      <w:r w:rsidR="003C7954">
        <w:rPr>
          <w:b/>
          <w:bCs/>
          <w:color w:val="000000"/>
        </w:rPr>
        <w:t>e</w:t>
      </w:r>
      <w:r>
        <w:rPr>
          <w:b/>
          <w:bCs/>
          <w:color w:val="000000"/>
        </w:rPr>
        <w:t xml:space="preserve"> </w:t>
      </w:r>
      <w:r w:rsidR="005A234C" w:rsidRPr="00667A0C">
        <w:rPr>
          <w:b/>
        </w:rPr>
        <w:t xml:space="preserve">od </w:t>
      </w:r>
      <w:r w:rsidR="00C010AA">
        <w:rPr>
          <w:b/>
        </w:rPr>
        <w:br/>
      </w:r>
      <w:r w:rsidR="004927E0" w:rsidRPr="004927E0">
        <w:rPr>
          <w:b/>
        </w:rPr>
        <w:t>25</w:t>
      </w:r>
      <w:r w:rsidR="00471123" w:rsidRPr="004927E0">
        <w:rPr>
          <w:b/>
        </w:rPr>
        <w:t xml:space="preserve">. </w:t>
      </w:r>
      <w:r w:rsidR="004E3A7B" w:rsidRPr="004927E0">
        <w:rPr>
          <w:b/>
        </w:rPr>
        <w:t>dubna</w:t>
      </w:r>
      <w:r w:rsidRPr="004927E0">
        <w:rPr>
          <w:b/>
        </w:rPr>
        <w:t xml:space="preserve"> 2014 </w:t>
      </w:r>
      <w:r w:rsidR="005A234C" w:rsidRPr="004927E0">
        <w:rPr>
          <w:b/>
        </w:rPr>
        <w:t xml:space="preserve">od 9 hod. do </w:t>
      </w:r>
      <w:r w:rsidR="004927E0" w:rsidRPr="004927E0">
        <w:rPr>
          <w:b/>
        </w:rPr>
        <w:t>30</w:t>
      </w:r>
      <w:r w:rsidR="00CC6589" w:rsidRPr="004927E0">
        <w:rPr>
          <w:b/>
        </w:rPr>
        <w:t>.</w:t>
      </w:r>
      <w:r w:rsidR="004927E0" w:rsidRPr="004927E0">
        <w:rPr>
          <w:b/>
        </w:rPr>
        <w:t xml:space="preserve"> června</w:t>
      </w:r>
      <w:r w:rsidR="00B108EF" w:rsidRPr="004927E0">
        <w:rPr>
          <w:b/>
        </w:rPr>
        <w:t xml:space="preserve"> </w:t>
      </w:r>
      <w:r w:rsidR="005A234C" w:rsidRPr="004927E0">
        <w:rPr>
          <w:b/>
        </w:rPr>
        <w:t>201</w:t>
      </w:r>
      <w:r w:rsidR="00CC6589" w:rsidRPr="004927E0">
        <w:rPr>
          <w:b/>
        </w:rPr>
        <w:t>4</w:t>
      </w:r>
      <w:r w:rsidR="008C2BF1" w:rsidRPr="004927E0">
        <w:rPr>
          <w:b/>
        </w:rPr>
        <w:t xml:space="preserve"> do 14 hod. </w:t>
      </w:r>
      <w:r w:rsidR="00375833" w:rsidRPr="009F44E6">
        <w:rPr>
          <w:b/>
        </w:rPr>
        <w:t xml:space="preserve">přijímat </w:t>
      </w:r>
      <w:r w:rsidR="003B7078" w:rsidRPr="009F44E6">
        <w:rPr>
          <w:b/>
        </w:rPr>
        <w:t xml:space="preserve">Hlavní kancelář </w:t>
      </w:r>
      <w:r w:rsidR="003C7954" w:rsidRPr="009F44E6">
        <w:rPr>
          <w:b/>
          <w:bCs/>
          <w:color w:val="000000"/>
        </w:rPr>
        <w:t>Centr</w:t>
      </w:r>
      <w:r w:rsidR="003B7078" w:rsidRPr="009F44E6">
        <w:rPr>
          <w:b/>
          <w:bCs/>
          <w:color w:val="000000"/>
        </w:rPr>
        <w:t>a</w:t>
      </w:r>
      <w:r w:rsidR="003C7954" w:rsidRPr="009F44E6">
        <w:rPr>
          <w:b/>
          <w:bCs/>
          <w:color w:val="000000"/>
        </w:rPr>
        <w:t xml:space="preserve"> pro</w:t>
      </w:r>
      <w:r w:rsidR="003C7954" w:rsidRPr="003C7954">
        <w:rPr>
          <w:b/>
          <w:bCs/>
          <w:color w:val="000000"/>
        </w:rPr>
        <w:t xml:space="preserve"> regionální rozvoj ČR </w:t>
      </w:r>
      <w:r w:rsidR="003C7954" w:rsidRPr="003C7954">
        <w:rPr>
          <w:b/>
          <w:bCs/>
        </w:rPr>
        <w:t xml:space="preserve">se sídlem v Praze 2, </w:t>
      </w:r>
      <w:r w:rsidR="00CE51D6">
        <w:rPr>
          <w:b/>
          <w:bCs/>
        </w:rPr>
        <w:t xml:space="preserve">sekretariát generální ředitelky, </w:t>
      </w:r>
      <w:r w:rsidR="003C7954" w:rsidRPr="003C7954">
        <w:rPr>
          <w:b/>
          <w:bCs/>
        </w:rPr>
        <w:t>Vinohradská 46</w:t>
      </w:r>
      <w:r w:rsidRPr="003C7954">
        <w:t>.</w:t>
      </w:r>
    </w:p>
    <w:p w:rsidR="00C31C51" w:rsidRDefault="006B12C4" w:rsidP="00C31C51">
      <w:pPr>
        <w:keepNext/>
        <w:keepLines/>
        <w:spacing w:before="240" w:after="120"/>
        <w:jc w:val="both"/>
        <w:rPr>
          <w:b/>
          <w:bCs/>
          <w:u w:val="single"/>
        </w:rPr>
      </w:pPr>
      <w:r w:rsidRPr="00EF3811">
        <w:rPr>
          <w:b/>
          <w:bCs/>
          <w:u w:val="single"/>
        </w:rPr>
        <w:t>Příručka pro žadatele a pří</w:t>
      </w:r>
      <w:r w:rsidR="00020A0B" w:rsidRPr="00EF3811">
        <w:rPr>
          <w:b/>
          <w:bCs/>
          <w:u w:val="single"/>
        </w:rPr>
        <w:t xml:space="preserve">jemce </w:t>
      </w:r>
    </w:p>
    <w:p w:rsidR="006B12C4" w:rsidRPr="00C31C51" w:rsidRDefault="006B12C4" w:rsidP="00C31C51">
      <w:pPr>
        <w:keepNext/>
        <w:keepLines/>
        <w:spacing w:before="240" w:after="120"/>
        <w:jc w:val="both"/>
        <w:rPr>
          <w:b/>
          <w:bCs/>
          <w:u w:val="single"/>
        </w:rPr>
      </w:pPr>
      <w:r w:rsidRPr="009C73D1">
        <w:rPr>
          <w:color w:val="000000"/>
        </w:rPr>
        <w:t xml:space="preserve">Žadatelé se musí řídit </w:t>
      </w:r>
      <w:r w:rsidRPr="009C73D1">
        <w:rPr>
          <w:b/>
          <w:color w:val="000000"/>
        </w:rPr>
        <w:t>Příručkou pro žadatele a příjemce</w:t>
      </w:r>
      <w:r w:rsidRPr="009C73D1">
        <w:rPr>
          <w:b/>
          <w:bCs/>
          <w:color w:val="000000"/>
        </w:rPr>
        <w:t xml:space="preserve"> </w:t>
      </w:r>
      <w:r w:rsidRPr="009C73D1">
        <w:rPr>
          <w:b/>
          <w:color w:val="000000"/>
        </w:rPr>
        <w:t>pro</w:t>
      </w:r>
      <w:r w:rsidRPr="009C73D1">
        <w:rPr>
          <w:color w:val="000000"/>
        </w:rPr>
        <w:t xml:space="preserve"> </w:t>
      </w:r>
      <w:r w:rsidRPr="009C73D1">
        <w:rPr>
          <w:b/>
          <w:bCs/>
        </w:rPr>
        <w:t xml:space="preserve">oblast intervence </w:t>
      </w:r>
      <w:r w:rsidR="004E3A7B" w:rsidRPr="009C73D1">
        <w:rPr>
          <w:b/>
          <w:bCs/>
        </w:rPr>
        <w:t>5.1</w:t>
      </w:r>
      <w:r w:rsidR="00553AA6" w:rsidRPr="009C73D1">
        <w:rPr>
          <w:b/>
          <w:bCs/>
        </w:rPr>
        <w:t xml:space="preserve"> N</w:t>
      </w:r>
      <w:r w:rsidR="002E1128" w:rsidRPr="009C73D1">
        <w:rPr>
          <w:b/>
          <w:bCs/>
        </w:rPr>
        <w:t>árodní podpora využití potenciálu kulturního dědictví</w:t>
      </w:r>
      <w:r w:rsidR="00DF50DE" w:rsidRPr="009C73D1">
        <w:rPr>
          <w:b/>
          <w:bCs/>
        </w:rPr>
        <w:t>,</w:t>
      </w:r>
      <w:r w:rsidR="007B66A5" w:rsidRPr="009C73D1">
        <w:rPr>
          <w:color w:val="000000"/>
        </w:rPr>
        <w:t xml:space="preserve"> platnou </w:t>
      </w:r>
      <w:r w:rsidR="002D0E28" w:rsidRPr="009C73D1">
        <w:rPr>
          <w:color w:val="000000"/>
        </w:rPr>
        <w:t xml:space="preserve">od </w:t>
      </w:r>
      <w:r w:rsidR="004927E0" w:rsidRPr="009C73D1">
        <w:rPr>
          <w:color w:val="000000"/>
        </w:rPr>
        <w:t>25</w:t>
      </w:r>
      <w:r w:rsidR="007B66A5" w:rsidRPr="009C73D1">
        <w:rPr>
          <w:color w:val="000000"/>
        </w:rPr>
        <w:t xml:space="preserve">. </w:t>
      </w:r>
      <w:r w:rsidR="004E3A7B" w:rsidRPr="009C73D1">
        <w:rPr>
          <w:color w:val="000000"/>
        </w:rPr>
        <w:t>dubna</w:t>
      </w:r>
      <w:r w:rsidR="00F57424" w:rsidRPr="009C73D1">
        <w:rPr>
          <w:color w:val="000000"/>
        </w:rPr>
        <w:t xml:space="preserve"> </w:t>
      </w:r>
      <w:r w:rsidR="007B66A5" w:rsidRPr="009C73D1">
        <w:rPr>
          <w:color w:val="000000"/>
        </w:rPr>
        <w:t>201</w:t>
      </w:r>
      <w:r w:rsidR="002D0E28" w:rsidRPr="009C73D1">
        <w:rPr>
          <w:color w:val="000000"/>
        </w:rPr>
        <w:t>4</w:t>
      </w:r>
      <w:r w:rsidR="007B66A5" w:rsidRPr="009C73D1">
        <w:rPr>
          <w:color w:val="000000"/>
        </w:rPr>
        <w:t xml:space="preserve">.  </w:t>
      </w:r>
    </w:p>
    <w:p w:rsidR="00C078B0" w:rsidRDefault="006B12C4" w:rsidP="009C73D1">
      <w:pPr>
        <w:autoSpaceDE w:val="0"/>
        <w:autoSpaceDN w:val="0"/>
        <w:adjustRightInd w:val="0"/>
        <w:jc w:val="both"/>
        <w:rPr>
          <w:b/>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zveřejněn</w:t>
      </w:r>
      <w:r w:rsidR="002A2A39">
        <w:rPr>
          <w:color w:val="000000"/>
        </w:rPr>
        <w:t>é</w:t>
      </w:r>
      <w:r w:rsidRPr="009C2482">
        <w:rPr>
          <w:color w:val="000000"/>
        </w:rPr>
        <w:t xml:space="preserve"> na stránkách </w:t>
      </w:r>
      <w:hyperlink r:id="rId11" w:history="1">
        <w:r w:rsidR="004E3A7B" w:rsidRPr="00B05A4F">
          <w:rPr>
            <w:rStyle w:val="Hypertextovodkaz"/>
            <w:b/>
          </w:rPr>
          <w:t>http://www.strukturalni-fondy.cz/iop/5-1</w:t>
        </w:r>
      </w:hyperlink>
      <w:r w:rsidR="00C31C51" w:rsidRPr="00C31C51">
        <w:rPr>
          <w:rStyle w:val="Hypertextovodkaz"/>
          <w:color w:val="auto"/>
          <w:u w:val="none"/>
        </w:rPr>
        <w:t>.</w:t>
      </w:r>
    </w:p>
    <w:sectPr w:rsidR="00C078B0" w:rsidSect="00375833">
      <w:headerReference w:type="even" r:id="rId12"/>
      <w:headerReference w:type="default" r:id="rId13"/>
      <w:footerReference w:type="even" r:id="rId14"/>
      <w:footerReference w:type="default" r:id="rId15"/>
      <w:headerReference w:type="first" r:id="rId16"/>
      <w:footerReference w:type="first" r:id="rId17"/>
      <w:pgSz w:w="11906" w:h="16838"/>
      <w:pgMar w:top="92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DBE0" w15:done="0"/>
  <w15:commentEx w15:paraId="3FDEE10A" w15:done="0"/>
  <w15:commentEx w15:paraId="646C0D1B" w15:done="0"/>
  <w15:commentEx w15:paraId="203FA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E1" w:rsidRDefault="00E438E1">
      <w:r>
        <w:separator/>
      </w:r>
    </w:p>
  </w:endnote>
  <w:endnote w:type="continuationSeparator" w:id="0">
    <w:p w:rsidR="00E438E1" w:rsidRDefault="00E438E1">
      <w:r>
        <w:continuationSeparator/>
      </w:r>
    </w:p>
  </w:endnote>
  <w:endnote w:type="continuationNotice" w:id="1">
    <w:p w:rsidR="00E438E1" w:rsidRDefault="00E4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E1" w:rsidRDefault="00E438E1"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438E1" w:rsidRDefault="00E438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814168"/>
      <w:docPartObj>
        <w:docPartGallery w:val="Page Numbers (Bottom of Page)"/>
        <w:docPartUnique/>
      </w:docPartObj>
    </w:sdtPr>
    <w:sdtEndPr/>
    <w:sdtContent>
      <w:p w:rsidR="00D8349C" w:rsidRDefault="00D8349C">
        <w:pPr>
          <w:pStyle w:val="Zpat"/>
          <w:jc w:val="center"/>
        </w:pPr>
        <w:r>
          <w:fldChar w:fldCharType="begin"/>
        </w:r>
        <w:r>
          <w:instrText>PAGE   \* MERGEFORMAT</w:instrText>
        </w:r>
        <w:r>
          <w:fldChar w:fldCharType="separate"/>
        </w:r>
        <w:r w:rsidR="00E344A0">
          <w:rPr>
            <w:noProof/>
          </w:rPr>
          <w:t>4</w:t>
        </w:r>
        <w:r>
          <w:fldChar w:fldCharType="end"/>
        </w:r>
      </w:p>
    </w:sdtContent>
  </w:sdt>
  <w:p w:rsidR="00ED056F" w:rsidRDefault="00ED056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C" w:rsidRDefault="00D834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E1" w:rsidRDefault="00E438E1">
      <w:r>
        <w:separator/>
      </w:r>
    </w:p>
  </w:footnote>
  <w:footnote w:type="continuationSeparator" w:id="0">
    <w:p w:rsidR="00E438E1" w:rsidRDefault="00E438E1">
      <w:r>
        <w:continuationSeparator/>
      </w:r>
    </w:p>
  </w:footnote>
  <w:footnote w:type="continuationNotice" w:id="1">
    <w:p w:rsidR="00E438E1" w:rsidRDefault="00E438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C" w:rsidRDefault="00D834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E1" w:rsidRDefault="00E438E1">
    <w:pPr>
      <w:pStyle w:val="Zhlav"/>
    </w:pPr>
  </w:p>
  <w:p w:rsidR="00E438E1" w:rsidRDefault="00E438E1">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C" w:rsidRDefault="00D834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427A02"/>
    <w:multiLevelType w:val="hybridMultilevel"/>
    <w:tmpl w:val="F104DC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B03DE4"/>
    <w:multiLevelType w:val="hybridMultilevel"/>
    <w:tmpl w:val="995E278A"/>
    <w:lvl w:ilvl="0" w:tplc="0405000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D8C1CAC"/>
    <w:multiLevelType w:val="hybridMultilevel"/>
    <w:tmpl w:val="3E628B06"/>
    <w:lvl w:ilvl="0" w:tplc="04050001">
      <w:start w:val="1"/>
      <w:numFmt w:val="bullet"/>
      <w:lvlText w:val=""/>
      <w:lvlJc w:val="left"/>
      <w:pPr>
        <w:ind w:left="533" w:hanging="360"/>
      </w:pPr>
      <w:rPr>
        <w:rFonts w:ascii="Symbol" w:hAnsi="Symbol" w:hint="default"/>
      </w:rPr>
    </w:lvl>
    <w:lvl w:ilvl="1" w:tplc="04050003">
      <w:start w:val="1"/>
      <w:numFmt w:val="bullet"/>
      <w:lvlText w:val="o"/>
      <w:lvlJc w:val="left"/>
      <w:pPr>
        <w:ind w:left="1253" w:hanging="360"/>
      </w:pPr>
      <w:rPr>
        <w:rFonts w:ascii="Courier New" w:hAnsi="Courier New" w:cs="Courier New" w:hint="default"/>
      </w:rPr>
    </w:lvl>
    <w:lvl w:ilvl="2" w:tplc="04050005" w:tentative="1">
      <w:start w:val="1"/>
      <w:numFmt w:val="bullet"/>
      <w:lvlText w:val=""/>
      <w:lvlJc w:val="left"/>
      <w:pPr>
        <w:ind w:left="1973" w:hanging="360"/>
      </w:pPr>
      <w:rPr>
        <w:rFonts w:ascii="Wingdings" w:hAnsi="Wingdings" w:hint="default"/>
      </w:rPr>
    </w:lvl>
    <w:lvl w:ilvl="3" w:tplc="04050001" w:tentative="1">
      <w:start w:val="1"/>
      <w:numFmt w:val="bullet"/>
      <w:lvlText w:val=""/>
      <w:lvlJc w:val="left"/>
      <w:pPr>
        <w:ind w:left="2693" w:hanging="360"/>
      </w:pPr>
      <w:rPr>
        <w:rFonts w:ascii="Symbol" w:hAnsi="Symbol" w:hint="default"/>
      </w:rPr>
    </w:lvl>
    <w:lvl w:ilvl="4" w:tplc="04050003" w:tentative="1">
      <w:start w:val="1"/>
      <w:numFmt w:val="bullet"/>
      <w:lvlText w:val="o"/>
      <w:lvlJc w:val="left"/>
      <w:pPr>
        <w:ind w:left="3413" w:hanging="360"/>
      </w:pPr>
      <w:rPr>
        <w:rFonts w:ascii="Courier New" w:hAnsi="Courier New" w:cs="Courier New" w:hint="default"/>
      </w:rPr>
    </w:lvl>
    <w:lvl w:ilvl="5" w:tplc="04050005" w:tentative="1">
      <w:start w:val="1"/>
      <w:numFmt w:val="bullet"/>
      <w:lvlText w:val=""/>
      <w:lvlJc w:val="left"/>
      <w:pPr>
        <w:ind w:left="4133" w:hanging="360"/>
      </w:pPr>
      <w:rPr>
        <w:rFonts w:ascii="Wingdings" w:hAnsi="Wingdings" w:hint="default"/>
      </w:rPr>
    </w:lvl>
    <w:lvl w:ilvl="6" w:tplc="04050001" w:tentative="1">
      <w:start w:val="1"/>
      <w:numFmt w:val="bullet"/>
      <w:lvlText w:val=""/>
      <w:lvlJc w:val="left"/>
      <w:pPr>
        <w:ind w:left="4853" w:hanging="360"/>
      </w:pPr>
      <w:rPr>
        <w:rFonts w:ascii="Symbol" w:hAnsi="Symbol" w:hint="default"/>
      </w:rPr>
    </w:lvl>
    <w:lvl w:ilvl="7" w:tplc="04050003" w:tentative="1">
      <w:start w:val="1"/>
      <w:numFmt w:val="bullet"/>
      <w:lvlText w:val="o"/>
      <w:lvlJc w:val="left"/>
      <w:pPr>
        <w:ind w:left="5573" w:hanging="360"/>
      </w:pPr>
      <w:rPr>
        <w:rFonts w:ascii="Courier New" w:hAnsi="Courier New" w:cs="Courier New" w:hint="default"/>
      </w:rPr>
    </w:lvl>
    <w:lvl w:ilvl="8" w:tplc="04050005" w:tentative="1">
      <w:start w:val="1"/>
      <w:numFmt w:val="bullet"/>
      <w:lvlText w:val=""/>
      <w:lvlJc w:val="left"/>
      <w:pPr>
        <w:ind w:left="6293" w:hanging="360"/>
      </w:pPr>
      <w:rPr>
        <w:rFonts w:ascii="Wingdings" w:hAnsi="Wingdings" w:hint="default"/>
      </w:rPr>
    </w:lvl>
  </w:abstractNum>
  <w:abstractNum w:abstractNumId="13">
    <w:nsid w:val="33515B86"/>
    <w:multiLevelType w:val="hybridMultilevel"/>
    <w:tmpl w:val="ED4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C136E4"/>
    <w:multiLevelType w:val="hybridMultilevel"/>
    <w:tmpl w:val="14488D12"/>
    <w:lvl w:ilvl="0" w:tplc="25302C1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D17FCC"/>
    <w:multiLevelType w:val="hybridMultilevel"/>
    <w:tmpl w:val="14824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055890"/>
    <w:multiLevelType w:val="hybridMultilevel"/>
    <w:tmpl w:val="CCB0FF88"/>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1"/>
  </w:num>
  <w:num w:numId="3">
    <w:abstractNumId w:val="2"/>
  </w:num>
  <w:num w:numId="4">
    <w:abstractNumId w:val="16"/>
  </w:num>
  <w:num w:numId="5">
    <w:abstractNumId w:val="10"/>
  </w:num>
  <w:num w:numId="6">
    <w:abstractNumId w:val="14"/>
  </w:num>
  <w:num w:numId="7">
    <w:abstractNumId w:val="4"/>
  </w:num>
  <w:num w:numId="8">
    <w:abstractNumId w:val="24"/>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9"/>
  </w:num>
  <w:num w:numId="15">
    <w:abstractNumId w:val="0"/>
  </w:num>
  <w:num w:numId="16">
    <w:abstractNumId w:val="20"/>
  </w:num>
  <w:num w:numId="17">
    <w:abstractNumId w:val="25"/>
  </w:num>
  <w:num w:numId="18">
    <w:abstractNumId w:val="15"/>
  </w:num>
  <w:num w:numId="19">
    <w:abstractNumId w:val="26"/>
  </w:num>
  <w:num w:numId="20">
    <w:abstractNumId w:val="11"/>
  </w:num>
  <w:num w:numId="21">
    <w:abstractNumId w:val="6"/>
  </w:num>
  <w:num w:numId="22">
    <w:abstractNumId w:val="9"/>
  </w:num>
  <w:num w:numId="23">
    <w:abstractNumId w:val="22"/>
  </w:num>
  <w:num w:numId="24">
    <w:abstractNumId w:val="13"/>
  </w:num>
  <w:num w:numId="25">
    <w:abstractNumId w:val="17"/>
  </w:num>
  <w:num w:numId="26">
    <w:abstractNumId w:val="8"/>
  </w:num>
  <w:num w:numId="27">
    <w:abstractNumId w:val="27"/>
  </w:num>
  <w:num w:numId="28">
    <w:abstractNumId w:val="12"/>
  </w:num>
  <w:num w:numId="29">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a Kracíková">
    <w15:presenceInfo w15:providerId="AD" w15:userId="S-1-5-21-2520605084-4201546103-271428517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201AD"/>
    <w:rsid w:val="00020A0B"/>
    <w:rsid w:val="0002113E"/>
    <w:rsid w:val="000269F2"/>
    <w:rsid w:val="00026CB6"/>
    <w:rsid w:val="00026F92"/>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7818"/>
    <w:rsid w:val="000B0E1B"/>
    <w:rsid w:val="000B4CCF"/>
    <w:rsid w:val="000C0590"/>
    <w:rsid w:val="000C4E94"/>
    <w:rsid w:val="000D39A4"/>
    <w:rsid w:val="000D682C"/>
    <w:rsid w:val="000D699B"/>
    <w:rsid w:val="000E0B8A"/>
    <w:rsid w:val="000E2B98"/>
    <w:rsid w:val="000E7A60"/>
    <w:rsid w:val="000F3544"/>
    <w:rsid w:val="001072A6"/>
    <w:rsid w:val="00116BE9"/>
    <w:rsid w:val="00122A29"/>
    <w:rsid w:val="00124114"/>
    <w:rsid w:val="00127323"/>
    <w:rsid w:val="00130D26"/>
    <w:rsid w:val="0014257E"/>
    <w:rsid w:val="00145585"/>
    <w:rsid w:val="00145B80"/>
    <w:rsid w:val="00145D5D"/>
    <w:rsid w:val="00154DE5"/>
    <w:rsid w:val="0015546C"/>
    <w:rsid w:val="00157853"/>
    <w:rsid w:val="0015795C"/>
    <w:rsid w:val="001601DF"/>
    <w:rsid w:val="00161EE5"/>
    <w:rsid w:val="00167683"/>
    <w:rsid w:val="00170C9D"/>
    <w:rsid w:val="00173BDE"/>
    <w:rsid w:val="001A0196"/>
    <w:rsid w:val="001A2AA4"/>
    <w:rsid w:val="001A5CF7"/>
    <w:rsid w:val="001A6B9A"/>
    <w:rsid w:val="001A75BF"/>
    <w:rsid w:val="001B0C8A"/>
    <w:rsid w:val="001C7A0C"/>
    <w:rsid w:val="001D0048"/>
    <w:rsid w:val="001D0714"/>
    <w:rsid w:val="001D0B2C"/>
    <w:rsid w:val="001D7BD4"/>
    <w:rsid w:val="001E16AF"/>
    <w:rsid w:val="001E1D31"/>
    <w:rsid w:val="001E203C"/>
    <w:rsid w:val="001E5879"/>
    <w:rsid w:val="001E5C09"/>
    <w:rsid w:val="00204712"/>
    <w:rsid w:val="00207521"/>
    <w:rsid w:val="002153ED"/>
    <w:rsid w:val="00215912"/>
    <w:rsid w:val="00223B58"/>
    <w:rsid w:val="00225A09"/>
    <w:rsid w:val="0022724F"/>
    <w:rsid w:val="00231DD1"/>
    <w:rsid w:val="00234883"/>
    <w:rsid w:val="00236468"/>
    <w:rsid w:val="00243AD2"/>
    <w:rsid w:val="00246269"/>
    <w:rsid w:val="00252DA2"/>
    <w:rsid w:val="00252DB7"/>
    <w:rsid w:val="002569AA"/>
    <w:rsid w:val="002578D2"/>
    <w:rsid w:val="00260655"/>
    <w:rsid w:val="00261BEE"/>
    <w:rsid w:val="002658DA"/>
    <w:rsid w:val="00266AF2"/>
    <w:rsid w:val="0027441E"/>
    <w:rsid w:val="00282AB6"/>
    <w:rsid w:val="00291E90"/>
    <w:rsid w:val="002A2A39"/>
    <w:rsid w:val="002A2B39"/>
    <w:rsid w:val="002A4582"/>
    <w:rsid w:val="002A5645"/>
    <w:rsid w:val="002B095D"/>
    <w:rsid w:val="002B0A4D"/>
    <w:rsid w:val="002B3453"/>
    <w:rsid w:val="002C2E95"/>
    <w:rsid w:val="002C340F"/>
    <w:rsid w:val="002C53B2"/>
    <w:rsid w:val="002C54BB"/>
    <w:rsid w:val="002C6D92"/>
    <w:rsid w:val="002D0D12"/>
    <w:rsid w:val="002D0E28"/>
    <w:rsid w:val="002D1707"/>
    <w:rsid w:val="002D24BC"/>
    <w:rsid w:val="002D4EFF"/>
    <w:rsid w:val="002D52CC"/>
    <w:rsid w:val="002E0BBC"/>
    <w:rsid w:val="002E1128"/>
    <w:rsid w:val="002F172F"/>
    <w:rsid w:val="002F51A6"/>
    <w:rsid w:val="002F74A7"/>
    <w:rsid w:val="002F75B5"/>
    <w:rsid w:val="002F7CD9"/>
    <w:rsid w:val="00302189"/>
    <w:rsid w:val="003035F7"/>
    <w:rsid w:val="0030394F"/>
    <w:rsid w:val="00303C30"/>
    <w:rsid w:val="003055DF"/>
    <w:rsid w:val="00314578"/>
    <w:rsid w:val="0031588F"/>
    <w:rsid w:val="00315E49"/>
    <w:rsid w:val="00321CAA"/>
    <w:rsid w:val="00324D7D"/>
    <w:rsid w:val="00325842"/>
    <w:rsid w:val="0032701B"/>
    <w:rsid w:val="0033123F"/>
    <w:rsid w:val="003369F2"/>
    <w:rsid w:val="00341C7F"/>
    <w:rsid w:val="003467BA"/>
    <w:rsid w:val="00347E79"/>
    <w:rsid w:val="00350D6E"/>
    <w:rsid w:val="00352393"/>
    <w:rsid w:val="00364213"/>
    <w:rsid w:val="00367643"/>
    <w:rsid w:val="0037276B"/>
    <w:rsid w:val="00373201"/>
    <w:rsid w:val="00373934"/>
    <w:rsid w:val="00375233"/>
    <w:rsid w:val="00375833"/>
    <w:rsid w:val="003758B7"/>
    <w:rsid w:val="0037659B"/>
    <w:rsid w:val="00377A8D"/>
    <w:rsid w:val="00382119"/>
    <w:rsid w:val="0038364C"/>
    <w:rsid w:val="00385B95"/>
    <w:rsid w:val="003869F4"/>
    <w:rsid w:val="00391F91"/>
    <w:rsid w:val="00397C2E"/>
    <w:rsid w:val="003A2166"/>
    <w:rsid w:val="003A76F4"/>
    <w:rsid w:val="003A7E65"/>
    <w:rsid w:val="003B0106"/>
    <w:rsid w:val="003B1194"/>
    <w:rsid w:val="003B6620"/>
    <w:rsid w:val="003B7078"/>
    <w:rsid w:val="003C36AB"/>
    <w:rsid w:val="003C7954"/>
    <w:rsid w:val="003D0A07"/>
    <w:rsid w:val="003D661A"/>
    <w:rsid w:val="003E4097"/>
    <w:rsid w:val="003E7EE5"/>
    <w:rsid w:val="003F5445"/>
    <w:rsid w:val="003F6178"/>
    <w:rsid w:val="00400CBC"/>
    <w:rsid w:val="00404D2E"/>
    <w:rsid w:val="00411016"/>
    <w:rsid w:val="004224BD"/>
    <w:rsid w:val="00423BE5"/>
    <w:rsid w:val="00424719"/>
    <w:rsid w:val="00425C6E"/>
    <w:rsid w:val="00433F4A"/>
    <w:rsid w:val="00434478"/>
    <w:rsid w:val="004356A1"/>
    <w:rsid w:val="0043639C"/>
    <w:rsid w:val="0043784F"/>
    <w:rsid w:val="00441BE7"/>
    <w:rsid w:val="00454799"/>
    <w:rsid w:val="004611B8"/>
    <w:rsid w:val="004616B6"/>
    <w:rsid w:val="00466F97"/>
    <w:rsid w:val="00471123"/>
    <w:rsid w:val="004726EA"/>
    <w:rsid w:val="004778DE"/>
    <w:rsid w:val="00477F26"/>
    <w:rsid w:val="0049068C"/>
    <w:rsid w:val="004927E0"/>
    <w:rsid w:val="00494E01"/>
    <w:rsid w:val="004954EE"/>
    <w:rsid w:val="004A05C9"/>
    <w:rsid w:val="004A0D0A"/>
    <w:rsid w:val="004A6099"/>
    <w:rsid w:val="004A7590"/>
    <w:rsid w:val="004A7F3E"/>
    <w:rsid w:val="004B08EC"/>
    <w:rsid w:val="004B0A82"/>
    <w:rsid w:val="004B0C5A"/>
    <w:rsid w:val="004C147E"/>
    <w:rsid w:val="004C3A0A"/>
    <w:rsid w:val="004D0858"/>
    <w:rsid w:val="004E1936"/>
    <w:rsid w:val="004E3A7B"/>
    <w:rsid w:val="004E61D4"/>
    <w:rsid w:val="004F1078"/>
    <w:rsid w:val="004F6964"/>
    <w:rsid w:val="00503762"/>
    <w:rsid w:val="00505495"/>
    <w:rsid w:val="005078FC"/>
    <w:rsid w:val="00511905"/>
    <w:rsid w:val="0052623D"/>
    <w:rsid w:val="005311DA"/>
    <w:rsid w:val="005357F5"/>
    <w:rsid w:val="005402EA"/>
    <w:rsid w:val="00546211"/>
    <w:rsid w:val="005505BA"/>
    <w:rsid w:val="00550DA5"/>
    <w:rsid w:val="00553474"/>
    <w:rsid w:val="00553AA6"/>
    <w:rsid w:val="0055786A"/>
    <w:rsid w:val="00575E6A"/>
    <w:rsid w:val="005800FF"/>
    <w:rsid w:val="00591CE2"/>
    <w:rsid w:val="005A02AC"/>
    <w:rsid w:val="005A07DC"/>
    <w:rsid w:val="005A0F74"/>
    <w:rsid w:val="005A234C"/>
    <w:rsid w:val="005A67F5"/>
    <w:rsid w:val="005A6FC1"/>
    <w:rsid w:val="005B0F04"/>
    <w:rsid w:val="005B18C2"/>
    <w:rsid w:val="005B38E7"/>
    <w:rsid w:val="005C028E"/>
    <w:rsid w:val="005C0E87"/>
    <w:rsid w:val="005D2209"/>
    <w:rsid w:val="005D291B"/>
    <w:rsid w:val="005D4890"/>
    <w:rsid w:val="005E7CDC"/>
    <w:rsid w:val="00607B54"/>
    <w:rsid w:val="0061376C"/>
    <w:rsid w:val="00614457"/>
    <w:rsid w:val="006212CE"/>
    <w:rsid w:val="00636A90"/>
    <w:rsid w:val="00636ACF"/>
    <w:rsid w:val="00645EFB"/>
    <w:rsid w:val="00646655"/>
    <w:rsid w:val="00650FB7"/>
    <w:rsid w:val="0065159D"/>
    <w:rsid w:val="00653B70"/>
    <w:rsid w:val="006622E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011A"/>
    <w:rsid w:val="006F7026"/>
    <w:rsid w:val="00722115"/>
    <w:rsid w:val="00727297"/>
    <w:rsid w:val="00734653"/>
    <w:rsid w:val="007366A2"/>
    <w:rsid w:val="00746E46"/>
    <w:rsid w:val="0075096E"/>
    <w:rsid w:val="00762E5D"/>
    <w:rsid w:val="007653FE"/>
    <w:rsid w:val="00765DE7"/>
    <w:rsid w:val="00766615"/>
    <w:rsid w:val="00771DD3"/>
    <w:rsid w:val="00775844"/>
    <w:rsid w:val="0077597C"/>
    <w:rsid w:val="00786103"/>
    <w:rsid w:val="007923B8"/>
    <w:rsid w:val="00795C54"/>
    <w:rsid w:val="007A0253"/>
    <w:rsid w:val="007B3F8A"/>
    <w:rsid w:val="007B53C3"/>
    <w:rsid w:val="007B66A5"/>
    <w:rsid w:val="007C0562"/>
    <w:rsid w:val="007C0646"/>
    <w:rsid w:val="007D2E5C"/>
    <w:rsid w:val="007D30EF"/>
    <w:rsid w:val="007D3B7C"/>
    <w:rsid w:val="007E51DB"/>
    <w:rsid w:val="00801AA4"/>
    <w:rsid w:val="00803181"/>
    <w:rsid w:val="00815842"/>
    <w:rsid w:val="00825597"/>
    <w:rsid w:val="00837EB2"/>
    <w:rsid w:val="00843ACA"/>
    <w:rsid w:val="00851321"/>
    <w:rsid w:val="00852985"/>
    <w:rsid w:val="00866BDC"/>
    <w:rsid w:val="0087133C"/>
    <w:rsid w:val="00882476"/>
    <w:rsid w:val="00884759"/>
    <w:rsid w:val="00884A3B"/>
    <w:rsid w:val="0089099A"/>
    <w:rsid w:val="008A0CC5"/>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1F8E"/>
    <w:rsid w:val="00956CD5"/>
    <w:rsid w:val="00960E48"/>
    <w:rsid w:val="00967BEF"/>
    <w:rsid w:val="00973644"/>
    <w:rsid w:val="00982B2B"/>
    <w:rsid w:val="00986163"/>
    <w:rsid w:val="00991375"/>
    <w:rsid w:val="009A4125"/>
    <w:rsid w:val="009B2D3C"/>
    <w:rsid w:val="009C2482"/>
    <w:rsid w:val="009C409F"/>
    <w:rsid w:val="009C4770"/>
    <w:rsid w:val="009C70E8"/>
    <w:rsid w:val="009C73D1"/>
    <w:rsid w:val="009D027B"/>
    <w:rsid w:val="009D31CB"/>
    <w:rsid w:val="009D7555"/>
    <w:rsid w:val="009D7A5D"/>
    <w:rsid w:val="009E5FA8"/>
    <w:rsid w:val="009E62D0"/>
    <w:rsid w:val="009F02E9"/>
    <w:rsid w:val="009F0FB2"/>
    <w:rsid w:val="009F1095"/>
    <w:rsid w:val="009F44E6"/>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95B9C"/>
    <w:rsid w:val="00AA1500"/>
    <w:rsid w:val="00AA16B4"/>
    <w:rsid w:val="00AA5DA2"/>
    <w:rsid w:val="00AA7008"/>
    <w:rsid w:val="00AB3A03"/>
    <w:rsid w:val="00AB53DA"/>
    <w:rsid w:val="00AB5A5C"/>
    <w:rsid w:val="00AC2D2F"/>
    <w:rsid w:val="00AC5EF7"/>
    <w:rsid w:val="00AC71C9"/>
    <w:rsid w:val="00AD26D5"/>
    <w:rsid w:val="00AD3B57"/>
    <w:rsid w:val="00AD4E26"/>
    <w:rsid w:val="00AE0B61"/>
    <w:rsid w:val="00AE685D"/>
    <w:rsid w:val="00AF14C7"/>
    <w:rsid w:val="00AF1C00"/>
    <w:rsid w:val="00AF4C04"/>
    <w:rsid w:val="00B03C73"/>
    <w:rsid w:val="00B108EF"/>
    <w:rsid w:val="00B271C0"/>
    <w:rsid w:val="00B30541"/>
    <w:rsid w:val="00B321D4"/>
    <w:rsid w:val="00B32FAA"/>
    <w:rsid w:val="00B34467"/>
    <w:rsid w:val="00B433CE"/>
    <w:rsid w:val="00B4698C"/>
    <w:rsid w:val="00B5273D"/>
    <w:rsid w:val="00B54632"/>
    <w:rsid w:val="00B559FB"/>
    <w:rsid w:val="00B649A3"/>
    <w:rsid w:val="00B64CA1"/>
    <w:rsid w:val="00B761CF"/>
    <w:rsid w:val="00B81932"/>
    <w:rsid w:val="00B82F82"/>
    <w:rsid w:val="00B839AE"/>
    <w:rsid w:val="00B83EEC"/>
    <w:rsid w:val="00B8416A"/>
    <w:rsid w:val="00B8494C"/>
    <w:rsid w:val="00B90E26"/>
    <w:rsid w:val="00B92C8B"/>
    <w:rsid w:val="00BA4893"/>
    <w:rsid w:val="00BA62B2"/>
    <w:rsid w:val="00BC2F02"/>
    <w:rsid w:val="00BD720E"/>
    <w:rsid w:val="00BD7FB3"/>
    <w:rsid w:val="00BE3965"/>
    <w:rsid w:val="00BE64C0"/>
    <w:rsid w:val="00BF1D91"/>
    <w:rsid w:val="00BF3A9E"/>
    <w:rsid w:val="00BF4AD3"/>
    <w:rsid w:val="00C00538"/>
    <w:rsid w:val="00C010AA"/>
    <w:rsid w:val="00C031E2"/>
    <w:rsid w:val="00C05C8B"/>
    <w:rsid w:val="00C078B0"/>
    <w:rsid w:val="00C1249F"/>
    <w:rsid w:val="00C12C2E"/>
    <w:rsid w:val="00C2155C"/>
    <w:rsid w:val="00C31C51"/>
    <w:rsid w:val="00C31CCF"/>
    <w:rsid w:val="00C3219B"/>
    <w:rsid w:val="00C40792"/>
    <w:rsid w:val="00C4222C"/>
    <w:rsid w:val="00C5029B"/>
    <w:rsid w:val="00C541A0"/>
    <w:rsid w:val="00C614A1"/>
    <w:rsid w:val="00C627DA"/>
    <w:rsid w:val="00C6532C"/>
    <w:rsid w:val="00C653E3"/>
    <w:rsid w:val="00C67B7B"/>
    <w:rsid w:val="00C73903"/>
    <w:rsid w:val="00C7645F"/>
    <w:rsid w:val="00C82F84"/>
    <w:rsid w:val="00C841BD"/>
    <w:rsid w:val="00C916E6"/>
    <w:rsid w:val="00C93A01"/>
    <w:rsid w:val="00C9542A"/>
    <w:rsid w:val="00C96B3B"/>
    <w:rsid w:val="00CA347F"/>
    <w:rsid w:val="00CA5C94"/>
    <w:rsid w:val="00CB6B96"/>
    <w:rsid w:val="00CC323F"/>
    <w:rsid w:val="00CC6589"/>
    <w:rsid w:val="00CC75C6"/>
    <w:rsid w:val="00CD742E"/>
    <w:rsid w:val="00CE00AB"/>
    <w:rsid w:val="00CE0576"/>
    <w:rsid w:val="00CE51D6"/>
    <w:rsid w:val="00CE5570"/>
    <w:rsid w:val="00CF0C2B"/>
    <w:rsid w:val="00CF0FD7"/>
    <w:rsid w:val="00CF7739"/>
    <w:rsid w:val="00D205A6"/>
    <w:rsid w:val="00D3022B"/>
    <w:rsid w:val="00D3117B"/>
    <w:rsid w:val="00D36C02"/>
    <w:rsid w:val="00D406FB"/>
    <w:rsid w:val="00D42A7C"/>
    <w:rsid w:val="00D44213"/>
    <w:rsid w:val="00D44E4D"/>
    <w:rsid w:val="00D45FB7"/>
    <w:rsid w:val="00D477AF"/>
    <w:rsid w:val="00D5233A"/>
    <w:rsid w:val="00D53992"/>
    <w:rsid w:val="00D55EEE"/>
    <w:rsid w:val="00D60BC1"/>
    <w:rsid w:val="00D673CF"/>
    <w:rsid w:val="00D67A86"/>
    <w:rsid w:val="00D67E72"/>
    <w:rsid w:val="00D71FD1"/>
    <w:rsid w:val="00D81375"/>
    <w:rsid w:val="00D8349C"/>
    <w:rsid w:val="00D868D2"/>
    <w:rsid w:val="00D932D0"/>
    <w:rsid w:val="00D976BA"/>
    <w:rsid w:val="00DA010C"/>
    <w:rsid w:val="00DA367D"/>
    <w:rsid w:val="00DA7032"/>
    <w:rsid w:val="00DB44F2"/>
    <w:rsid w:val="00DB51CB"/>
    <w:rsid w:val="00DB642A"/>
    <w:rsid w:val="00DC08C3"/>
    <w:rsid w:val="00DC2474"/>
    <w:rsid w:val="00DC5593"/>
    <w:rsid w:val="00DC6EFD"/>
    <w:rsid w:val="00DD434E"/>
    <w:rsid w:val="00DD68DB"/>
    <w:rsid w:val="00DE4287"/>
    <w:rsid w:val="00DE45BB"/>
    <w:rsid w:val="00DF0F7F"/>
    <w:rsid w:val="00DF18DE"/>
    <w:rsid w:val="00DF4C72"/>
    <w:rsid w:val="00DF50DE"/>
    <w:rsid w:val="00DF71B8"/>
    <w:rsid w:val="00E00F03"/>
    <w:rsid w:val="00E0262F"/>
    <w:rsid w:val="00E06F79"/>
    <w:rsid w:val="00E10D4A"/>
    <w:rsid w:val="00E16FA2"/>
    <w:rsid w:val="00E235D2"/>
    <w:rsid w:val="00E2385A"/>
    <w:rsid w:val="00E31E99"/>
    <w:rsid w:val="00E344A0"/>
    <w:rsid w:val="00E4072F"/>
    <w:rsid w:val="00E407B6"/>
    <w:rsid w:val="00E4164C"/>
    <w:rsid w:val="00E438E1"/>
    <w:rsid w:val="00E44891"/>
    <w:rsid w:val="00E4688A"/>
    <w:rsid w:val="00E50810"/>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E7C"/>
    <w:rsid w:val="00EB7F75"/>
    <w:rsid w:val="00EC0B19"/>
    <w:rsid w:val="00EC53D5"/>
    <w:rsid w:val="00EC71FD"/>
    <w:rsid w:val="00ED056F"/>
    <w:rsid w:val="00ED2F16"/>
    <w:rsid w:val="00ED76A3"/>
    <w:rsid w:val="00EE48EE"/>
    <w:rsid w:val="00EE4B00"/>
    <w:rsid w:val="00EE664C"/>
    <w:rsid w:val="00EF059B"/>
    <w:rsid w:val="00EF0F5C"/>
    <w:rsid w:val="00EF1F6F"/>
    <w:rsid w:val="00EF3811"/>
    <w:rsid w:val="00F00BE5"/>
    <w:rsid w:val="00F10A33"/>
    <w:rsid w:val="00F131F0"/>
    <w:rsid w:val="00F2201F"/>
    <w:rsid w:val="00F34B20"/>
    <w:rsid w:val="00F42248"/>
    <w:rsid w:val="00F44112"/>
    <w:rsid w:val="00F53336"/>
    <w:rsid w:val="00F54BAA"/>
    <w:rsid w:val="00F57424"/>
    <w:rsid w:val="00F6488C"/>
    <w:rsid w:val="00F674E5"/>
    <w:rsid w:val="00F7238F"/>
    <w:rsid w:val="00F759EC"/>
    <w:rsid w:val="00F80C75"/>
    <w:rsid w:val="00F8234B"/>
    <w:rsid w:val="00F97304"/>
    <w:rsid w:val="00FA2F35"/>
    <w:rsid w:val="00FB5630"/>
    <w:rsid w:val="00FB5C71"/>
    <w:rsid w:val="00FB65A6"/>
    <w:rsid w:val="00FB6CFF"/>
    <w:rsid w:val="00FC64E4"/>
    <w:rsid w:val="00FC780A"/>
    <w:rsid w:val="00FF36EB"/>
    <w:rsid w:val="00FF38F8"/>
    <w:rsid w:val="00FF3B9C"/>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uiPriority w:val="99"/>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uiPriority w:val="99"/>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uiPriority w:val="99"/>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uiPriority w:val="99"/>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uiPriority w:val="99"/>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uiPriority w:val="99"/>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3707">
      <w:bodyDiv w:val="1"/>
      <w:marLeft w:val="0"/>
      <w:marRight w:val="0"/>
      <w:marTop w:val="0"/>
      <w:marBottom w:val="0"/>
      <w:divBdr>
        <w:top w:val="none" w:sz="0" w:space="0" w:color="auto"/>
        <w:left w:val="none" w:sz="0" w:space="0" w:color="auto"/>
        <w:bottom w:val="none" w:sz="0" w:space="0" w:color="auto"/>
        <w:right w:val="none" w:sz="0" w:space="0" w:color="auto"/>
      </w:divBdr>
    </w:div>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878276235">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5-1"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eu-zadost.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5998-C1E9-49EB-9898-A08B03DDAB0D}">
  <ds:schemaRefs>
    <ds:schemaRef ds:uri="http://schemas.openxmlformats.org/officeDocument/2006/bibliography"/>
  </ds:schemaRefs>
</ds:datastoreItem>
</file>

<file path=customXml/itemProps2.xml><?xml version="1.0" encoding="utf-8"?>
<ds:datastoreItem xmlns:ds="http://schemas.openxmlformats.org/officeDocument/2006/customXml" ds:itemID="{2E03C616-417C-4E8D-B6D5-52DE6F4D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908</Words>
  <Characters>5685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6580</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Martina Fišerová</cp:lastModifiedBy>
  <cp:revision>4</cp:revision>
  <cp:lastPrinted>2014-06-18T07:01:00Z</cp:lastPrinted>
  <dcterms:created xsi:type="dcterms:W3CDTF">2014-06-16T07:53:00Z</dcterms:created>
  <dcterms:modified xsi:type="dcterms:W3CDTF">2014-06-18T07:03:00Z</dcterms:modified>
</cp:coreProperties>
</file>