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09" w:rsidRDefault="002A4309" w:rsidP="001A587B">
      <w:pPr>
        <w:pStyle w:val="Bntext"/>
        <w:jc w:val="center"/>
        <w:rPr>
          <w:rFonts w:asciiTheme="minorHAnsi" w:hAnsiTheme="minorHAnsi" w:cs="Calibri"/>
          <w:b/>
          <w:bCs/>
          <w:kern w:val="28"/>
          <w:sz w:val="36"/>
          <w:szCs w:val="36"/>
        </w:rPr>
      </w:pPr>
    </w:p>
    <w:p w:rsidR="001A587B" w:rsidRPr="00E30CD0" w:rsidRDefault="001A587B" w:rsidP="001A587B">
      <w:pPr>
        <w:pStyle w:val="Bntext"/>
        <w:jc w:val="center"/>
        <w:rPr>
          <w:rFonts w:asciiTheme="minorHAnsi" w:hAnsiTheme="minorHAnsi" w:cs="Calibri"/>
          <w:b/>
          <w:bCs/>
          <w:kern w:val="28"/>
          <w:sz w:val="36"/>
          <w:szCs w:val="36"/>
        </w:rPr>
      </w:pPr>
      <w:r w:rsidRPr="00E30CD0">
        <w:rPr>
          <w:rFonts w:asciiTheme="minorHAnsi" w:hAnsiTheme="minorHAnsi" w:cs="Calibri"/>
          <w:b/>
          <w:bCs/>
          <w:kern w:val="28"/>
          <w:sz w:val="36"/>
          <w:szCs w:val="36"/>
        </w:rPr>
        <w:t xml:space="preserve">Návrhy úprav Programového dokumentu IOP </w:t>
      </w:r>
    </w:p>
    <w:p w:rsidR="001A587B" w:rsidRPr="00E30CD0" w:rsidRDefault="001A587B" w:rsidP="001A587B">
      <w:pPr>
        <w:pStyle w:val="Bntext"/>
        <w:jc w:val="center"/>
        <w:rPr>
          <w:rFonts w:asciiTheme="minorHAnsi" w:hAnsiTheme="minorHAnsi" w:cs="Calibri"/>
          <w:b/>
          <w:i/>
        </w:rPr>
      </w:pPr>
      <w:r w:rsidRPr="00E30CD0">
        <w:rPr>
          <w:rFonts w:asciiTheme="minorHAnsi" w:hAnsiTheme="minorHAnsi" w:cs="Calibri"/>
          <w:b/>
          <w:i/>
        </w:rPr>
        <w:t xml:space="preserve">Podklad ŘO IOP pro jednání Monitorovacího výboru IOP dne </w:t>
      </w:r>
      <w:r>
        <w:rPr>
          <w:rFonts w:asciiTheme="minorHAnsi" w:hAnsiTheme="minorHAnsi" w:cs="Calibri"/>
          <w:b/>
          <w:i/>
        </w:rPr>
        <w:t>3. 6. 2014</w:t>
      </w:r>
    </w:p>
    <w:p w:rsidR="00B97600" w:rsidRPr="006C6E40" w:rsidRDefault="00B97600" w:rsidP="00B97600">
      <w:pPr>
        <w:spacing w:after="120" w:line="312" w:lineRule="auto"/>
        <w:jc w:val="center"/>
        <w:rPr>
          <w:rFonts w:ascii="Arial" w:hAnsi="Arial" w:cs="Arial"/>
          <w:b/>
        </w:rPr>
      </w:pPr>
    </w:p>
    <w:p w:rsidR="00544980" w:rsidRDefault="005F0F7B" w:rsidP="002A4309">
      <w:pPr>
        <w:spacing w:after="120" w:line="312" w:lineRule="auto"/>
        <w:jc w:val="both"/>
        <w:rPr>
          <w:rFonts w:ascii="Arial" w:hAnsi="Arial" w:cs="Arial"/>
        </w:rPr>
      </w:pPr>
      <w:r w:rsidRPr="006C6E40">
        <w:rPr>
          <w:rFonts w:ascii="Arial" w:hAnsi="Arial" w:cs="Arial"/>
        </w:rPr>
        <w:t>Řídící orgán Integrovaného operačního programu</w:t>
      </w:r>
      <w:r w:rsidR="005F0F70" w:rsidRPr="006C6E40">
        <w:rPr>
          <w:rFonts w:ascii="Arial" w:hAnsi="Arial" w:cs="Arial"/>
        </w:rPr>
        <w:t xml:space="preserve"> provede v roce 2014 revizi Programového dokumentu </w:t>
      </w:r>
      <w:r w:rsidR="008E2B16" w:rsidRPr="006C6E40">
        <w:rPr>
          <w:rFonts w:ascii="Arial" w:hAnsi="Arial" w:cs="Arial"/>
        </w:rPr>
        <w:t xml:space="preserve">IOP </w:t>
      </w:r>
      <w:r w:rsidR="005F0F70" w:rsidRPr="006C6E40">
        <w:rPr>
          <w:rFonts w:ascii="Arial" w:hAnsi="Arial" w:cs="Arial"/>
        </w:rPr>
        <w:t>dle článku</w:t>
      </w:r>
      <w:r w:rsidR="00D6077E" w:rsidRPr="006C6E40">
        <w:rPr>
          <w:rFonts w:ascii="Arial" w:hAnsi="Arial" w:cs="Arial"/>
        </w:rPr>
        <w:t xml:space="preserve"> 33 odst. 1 Nařízení 1083/2006.</w:t>
      </w:r>
      <w:r w:rsidR="00557C46" w:rsidRPr="006C6E40">
        <w:rPr>
          <w:rFonts w:ascii="Arial" w:hAnsi="Arial" w:cs="Arial"/>
        </w:rPr>
        <w:t xml:space="preserve"> </w:t>
      </w:r>
    </w:p>
    <w:p w:rsidR="00544980" w:rsidRPr="00544980" w:rsidRDefault="00544980" w:rsidP="002A4309">
      <w:pPr>
        <w:spacing w:after="120" w:line="312" w:lineRule="auto"/>
        <w:jc w:val="both"/>
        <w:rPr>
          <w:rFonts w:ascii="Arial" w:hAnsi="Arial" w:cs="Arial"/>
        </w:rPr>
      </w:pPr>
      <w:r w:rsidRPr="00544980">
        <w:rPr>
          <w:rFonts w:ascii="Arial" w:hAnsi="Arial" w:cs="Arial"/>
        </w:rPr>
        <w:t>Revize operačního programu je možná, pokud se opírá o tyto důvody:</w:t>
      </w:r>
    </w:p>
    <w:p w:rsidR="00544980" w:rsidRPr="00544980" w:rsidRDefault="00544980" w:rsidP="002A4309">
      <w:pPr>
        <w:numPr>
          <w:ilvl w:val="0"/>
          <w:numId w:val="5"/>
        </w:numPr>
        <w:spacing w:after="120" w:line="312" w:lineRule="auto"/>
        <w:jc w:val="both"/>
        <w:rPr>
          <w:rFonts w:ascii="Arial" w:hAnsi="Arial" w:cs="Arial"/>
        </w:rPr>
      </w:pPr>
      <w:r w:rsidRPr="00544980">
        <w:rPr>
          <w:rFonts w:ascii="Arial" w:hAnsi="Arial" w:cs="Arial"/>
          <w:b/>
        </w:rPr>
        <w:t>významné socioekonomické změny</w:t>
      </w:r>
      <w:r w:rsidR="00772A4E">
        <w:rPr>
          <w:rFonts w:ascii="Arial" w:hAnsi="Arial" w:cs="Arial"/>
        </w:rPr>
        <w:t xml:space="preserve"> (např. finanční krize),</w:t>
      </w:r>
    </w:p>
    <w:p w:rsidR="00544980" w:rsidRPr="00544980" w:rsidRDefault="00544980" w:rsidP="002A4309">
      <w:pPr>
        <w:numPr>
          <w:ilvl w:val="0"/>
          <w:numId w:val="5"/>
        </w:numPr>
        <w:spacing w:after="120" w:line="312" w:lineRule="auto"/>
        <w:jc w:val="both"/>
        <w:rPr>
          <w:rFonts w:ascii="Arial" w:hAnsi="Arial" w:cs="Arial"/>
        </w:rPr>
      </w:pPr>
      <w:r w:rsidRPr="00544980">
        <w:rPr>
          <w:rFonts w:ascii="Arial" w:hAnsi="Arial" w:cs="Arial"/>
          <w:b/>
        </w:rPr>
        <w:t>významná změna priorit EU anebo celostátních nebo regionálních priorit</w:t>
      </w:r>
      <w:r w:rsidR="00772A4E">
        <w:rPr>
          <w:rFonts w:ascii="Arial" w:hAnsi="Arial" w:cs="Arial"/>
        </w:rPr>
        <w:t>,</w:t>
      </w:r>
    </w:p>
    <w:p w:rsidR="00544980" w:rsidRPr="00544980" w:rsidRDefault="00544980" w:rsidP="002A4309">
      <w:pPr>
        <w:numPr>
          <w:ilvl w:val="0"/>
          <w:numId w:val="5"/>
        </w:numPr>
        <w:spacing w:after="120" w:line="312" w:lineRule="auto"/>
        <w:jc w:val="both"/>
        <w:rPr>
          <w:rFonts w:ascii="Arial" w:hAnsi="Arial" w:cs="Arial"/>
          <w:b/>
        </w:rPr>
      </w:pPr>
      <w:r w:rsidRPr="00544980">
        <w:rPr>
          <w:rFonts w:ascii="Arial" w:hAnsi="Arial" w:cs="Arial"/>
        </w:rPr>
        <w:t xml:space="preserve">zjištění odklonu od původně stanovených cílů, </w:t>
      </w:r>
      <w:r w:rsidRPr="00544980">
        <w:rPr>
          <w:rFonts w:ascii="Arial" w:hAnsi="Arial" w:cs="Arial"/>
          <w:b/>
        </w:rPr>
        <w:t>odhalených pomocí monitorovacího systému,</w:t>
      </w:r>
    </w:p>
    <w:p w:rsidR="00544980" w:rsidRPr="00544980" w:rsidRDefault="00544980" w:rsidP="002A4309">
      <w:pPr>
        <w:numPr>
          <w:ilvl w:val="0"/>
          <w:numId w:val="5"/>
        </w:numPr>
        <w:spacing w:after="120" w:line="312" w:lineRule="auto"/>
        <w:jc w:val="both"/>
        <w:rPr>
          <w:rFonts w:ascii="Arial" w:hAnsi="Arial" w:cs="Arial"/>
        </w:rPr>
      </w:pPr>
      <w:r w:rsidRPr="00544980">
        <w:rPr>
          <w:rFonts w:ascii="Arial" w:hAnsi="Arial" w:cs="Arial"/>
          <w:b/>
        </w:rPr>
        <w:t>obtíže při provádění OP</w:t>
      </w:r>
      <w:r w:rsidRPr="00544980">
        <w:rPr>
          <w:rFonts w:ascii="Arial" w:hAnsi="Arial" w:cs="Arial"/>
        </w:rPr>
        <w:t>.</w:t>
      </w:r>
    </w:p>
    <w:p w:rsidR="00544980" w:rsidRPr="00544980" w:rsidRDefault="00544980" w:rsidP="002A4309">
      <w:pPr>
        <w:spacing w:after="120" w:line="312" w:lineRule="auto"/>
        <w:jc w:val="both"/>
        <w:rPr>
          <w:rFonts w:ascii="Arial" w:hAnsi="Arial" w:cs="Arial"/>
        </w:rPr>
      </w:pPr>
      <w:r w:rsidRPr="00544980">
        <w:rPr>
          <w:rFonts w:ascii="Arial" w:hAnsi="Arial" w:cs="Arial"/>
        </w:rPr>
        <w:t>Změny operačního programu konzultoval ŘO IOP s Národním orgánem pro koordinaci (NOK</w:t>
      </w:r>
      <w:r>
        <w:rPr>
          <w:rFonts w:ascii="Arial" w:hAnsi="Arial" w:cs="Arial"/>
        </w:rPr>
        <w:t>)</w:t>
      </w:r>
      <w:r w:rsidRPr="00544980">
        <w:rPr>
          <w:rFonts w:ascii="Arial" w:hAnsi="Arial" w:cs="Arial"/>
        </w:rPr>
        <w:t xml:space="preserve">. </w:t>
      </w:r>
    </w:p>
    <w:p w:rsidR="005F0F7B" w:rsidRDefault="00557C46" w:rsidP="002A4309">
      <w:pPr>
        <w:spacing w:after="120" w:line="312" w:lineRule="auto"/>
        <w:jc w:val="both"/>
        <w:rPr>
          <w:rFonts w:ascii="Arial" w:hAnsi="Arial" w:cs="Arial"/>
        </w:rPr>
      </w:pPr>
      <w:r w:rsidRPr="006C6E40">
        <w:rPr>
          <w:rFonts w:ascii="Arial" w:hAnsi="Arial" w:cs="Arial"/>
        </w:rPr>
        <w:t>Veškeré změny provedené v Programovém dokumentu IOP budou v souladu s Metodickým pokynem k revizi operačních programů 2007 – 2013.</w:t>
      </w:r>
    </w:p>
    <w:p w:rsidR="002A4309" w:rsidRDefault="002A4309" w:rsidP="002A4309">
      <w:pPr>
        <w:spacing w:after="120" w:line="312" w:lineRule="auto"/>
        <w:jc w:val="both"/>
        <w:rPr>
          <w:rFonts w:ascii="Arial" w:hAnsi="Arial" w:cs="Arial"/>
        </w:rPr>
      </w:pPr>
    </w:p>
    <w:p w:rsidR="002A4309" w:rsidRPr="002A4309" w:rsidRDefault="002A4309" w:rsidP="002A4309">
      <w:pPr>
        <w:spacing w:after="120" w:line="312" w:lineRule="auto"/>
        <w:jc w:val="both"/>
        <w:rPr>
          <w:rFonts w:ascii="Arial" w:hAnsi="Arial" w:cs="Arial"/>
        </w:rPr>
      </w:pPr>
      <w:r w:rsidRPr="002A4309">
        <w:rPr>
          <w:rFonts w:ascii="Arial" w:hAnsi="Arial" w:cs="Arial"/>
        </w:rPr>
        <w:t>Přílohy</w:t>
      </w:r>
      <w:r w:rsidR="00772A4E">
        <w:rPr>
          <w:rFonts w:ascii="Arial" w:hAnsi="Arial" w:cs="Arial"/>
        </w:rPr>
        <w:t>:</w:t>
      </w:r>
    </w:p>
    <w:p w:rsidR="002A4309" w:rsidRDefault="002A4309" w:rsidP="002A4309">
      <w:pPr>
        <w:pStyle w:val="Odstavecseseznamem"/>
        <w:numPr>
          <w:ilvl w:val="0"/>
          <w:numId w:val="6"/>
        </w:numPr>
        <w:spacing w:after="120" w:line="312" w:lineRule="auto"/>
        <w:jc w:val="both"/>
        <w:rPr>
          <w:rFonts w:ascii="Arial" w:hAnsi="Arial" w:cs="Arial"/>
        </w:rPr>
      </w:pPr>
      <w:r w:rsidRPr="002A4309">
        <w:rPr>
          <w:rFonts w:ascii="Arial" w:hAnsi="Arial" w:cs="Arial"/>
        </w:rPr>
        <w:t>Harmonogram změn P</w:t>
      </w:r>
      <w:r>
        <w:rPr>
          <w:rFonts w:ascii="Arial" w:hAnsi="Arial" w:cs="Arial"/>
        </w:rPr>
        <w:t>rogramového dokumentu IOP – 2014</w:t>
      </w:r>
    </w:p>
    <w:p w:rsidR="009E4DB8" w:rsidRPr="002A4309" w:rsidRDefault="009E4DB8" w:rsidP="002A4309">
      <w:pPr>
        <w:pStyle w:val="Odstavecseseznamem"/>
        <w:numPr>
          <w:ilvl w:val="0"/>
          <w:numId w:val="6"/>
        </w:numPr>
        <w:spacing w:after="120" w:line="312" w:lineRule="auto"/>
        <w:jc w:val="both"/>
        <w:rPr>
          <w:rFonts w:ascii="Arial" w:hAnsi="Arial" w:cs="Arial"/>
        </w:rPr>
      </w:pPr>
      <w:r>
        <w:rPr>
          <w:rFonts w:ascii="Arial" w:hAnsi="Arial" w:cs="Arial"/>
        </w:rPr>
        <w:t xml:space="preserve">Technický dokument </w:t>
      </w:r>
      <w:r w:rsidR="002F01EA">
        <w:rPr>
          <w:rFonts w:ascii="Arial" w:hAnsi="Arial" w:cs="Arial"/>
        </w:rPr>
        <w:t>k u</w:t>
      </w:r>
      <w:r w:rsidR="00C27343">
        <w:rPr>
          <w:rFonts w:ascii="Arial" w:hAnsi="Arial" w:cs="Arial"/>
        </w:rPr>
        <w:t>platnění výjimek dle čl. 95</w:t>
      </w:r>
      <w:r w:rsidR="00CB019B">
        <w:rPr>
          <w:rFonts w:ascii="Arial" w:hAnsi="Arial" w:cs="Arial"/>
        </w:rPr>
        <w:t xml:space="preserve"> nařízení (ES) č. 1083/2006</w:t>
      </w:r>
    </w:p>
    <w:p w:rsidR="002A4309" w:rsidRPr="006C6E40" w:rsidRDefault="002A4309" w:rsidP="002A4309">
      <w:pPr>
        <w:spacing w:after="120" w:line="312" w:lineRule="auto"/>
        <w:jc w:val="both"/>
        <w:rPr>
          <w:rFonts w:ascii="Arial" w:hAnsi="Arial" w:cs="Arial"/>
        </w:rPr>
      </w:pPr>
    </w:p>
    <w:p w:rsidR="00544980" w:rsidRDefault="00544980">
      <w:pPr>
        <w:rPr>
          <w:rFonts w:ascii="Arial" w:hAnsi="Arial" w:cs="Arial"/>
        </w:rPr>
      </w:pPr>
      <w:r>
        <w:rPr>
          <w:rFonts w:ascii="Arial" w:hAnsi="Arial" w:cs="Arial"/>
        </w:rPr>
        <w:br w:type="page"/>
      </w:r>
    </w:p>
    <w:p w:rsidR="005F0F7B" w:rsidRDefault="00544980" w:rsidP="00B97600">
      <w:pPr>
        <w:spacing w:after="120" w:line="312" w:lineRule="auto"/>
        <w:jc w:val="both"/>
        <w:rPr>
          <w:rFonts w:ascii="Arial" w:hAnsi="Arial" w:cs="Arial"/>
        </w:rPr>
      </w:pPr>
      <w:r>
        <w:rPr>
          <w:rFonts w:ascii="Arial" w:hAnsi="Arial" w:cs="Arial"/>
        </w:rPr>
        <w:lastRenderedPageBreak/>
        <w:t>Navrhované změny a jejich odůvodnění</w:t>
      </w:r>
    </w:p>
    <w:p w:rsidR="00544980" w:rsidRPr="006C6E40" w:rsidRDefault="00544980" w:rsidP="00B97600">
      <w:pPr>
        <w:spacing w:after="120" w:line="312" w:lineRule="auto"/>
        <w:jc w:val="both"/>
        <w:rPr>
          <w:rFonts w:ascii="Arial" w:hAnsi="Arial" w:cs="Arial"/>
        </w:rPr>
      </w:pPr>
    </w:p>
    <w:p w:rsidR="0001740E" w:rsidRPr="006C6E40" w:rsidRDefault="00C27343" w:rsidP="00B97600">
      <w:pPr>
        <w:pStyle w:val="Odstavecseseznamem"/>
        <w:numPr>
          <w:ilvl w:val="0"/>
          <w:numId w:val="3"/>
        </w:numPr>
        <w:spacing w:after="120" w:line="312" w:lineRule="auto"/>
        <w:jc w:val="both"/>
        <w:rPr>
          <w:rFonts w:ascii="Arial" w:hAnsi="Arial" w:cs="Arial"/>
          <w:b/>
          <w:i/>
        </w:rPr>
      </w:pPr>
      <w:r>
        <w:rPr>
          <w:rFonts w:ascii="Arial" w:hAnsi="Arial" w:cs="Arial"/>
          <w:b/>
          <w:i/>
        </w:rPr>
        <w:t>Z</w:t>
      </w:r>
      <w:r w:rsidR="00F32482">
        <w:rPr>
          <w:rFonts w:ascii="Arial" w:hAnsi="Arial" w:cs="Arial"/>
          <w:b/>
          <w:i/>
        </w:rPr>
        <w:t>m</w:t>
      </w:r>
      <w:r>
        <w:rPr>
          <w:rFonts w:ascii="Arial" w:hAnsi="Arial" w:cs="Arial"/>
          <w:b/>
          <w:i/>
        </w:rPr>
        <w:t>ěny finančních tabulek v</w:t>
      </w:r>
      <w:r w:rsidR="0099021C" w:rsidRPr="006C6E40">
        <w:rPr>
          <w:rFonts w:ascii="Arial" w:hAnsi="Arial" w:cs="Arial"/>
          <w:b/>
          <w:i/>
        </w:rPr>
        <w:t xml:space="preserve"> souvislosti se snížením částek </w:t>
      </w:r>
      <w:proofErr w:type="spellStart"/>
      <w:r w:rsidR="0099021C" w:rsidRPr="006C6E40">
        <w:rPr>
          <w:rFonts w:ascii="Arial" w:hAnsi="Arial" w:cs="Arial"/>
          <w:b/>
          <w:i/>
        </w:rPr>
        <w:t>dekomitmentu</w:t>
      </w:r>
      <w:proofErr w:type="spellEnd"/>
      <w:r>
        <w:rPr>
          <w:rFonts w:ascii="Arial" w:hAnsi="Arial" w:cs="Arial"/>
          <w:b/>
          <w:i/>
        </w:rPr>
        <w:t xml:space="preserve"> roku 2013 aplikací čl. 95 </w:t>
      </w:r>
      <w:r w:rsidR="0099021C" w:rsidRPr="006C6E40">
        <w:rPr>
          <w:rFonts w:ascii="Arial" w:hAnsi="Arial" w:cs="Arial"/>
          <w:b/>
          <w:i/>
        </w:rPr>
        <w:t xml:space="preserve">nařízení (ES) č. 1083/2006. </w:t>
      </w:r>
    </w:p>
    <w:p w:rsidR="00111136" w:rsidRPr="006F2E2F" w:rsidRDefault="00111136" w:rsidP="00111136">
      <w:pPr>
        <w:spacing w:after="120" w:line="312" w:lineRule="auto"/>
        <w:jc w:val="both"/>
        <w:rPr>
          <w:rFonts w:ascii="Arial" w:hAnsi="Arial" w:cs="Arial"/>
          <w:i/>
        </w:rPr>
      </w:pPr>
      <w:r w:rsidRPr="006F2E2F">
        <w:rPr>
          <w:rFonts w:ascii="Arial" w:hAnsi="Arial" w:cs="Arial"/>
          <w:i/>
        </w:rPr>
        <w:t xml:space="preserve">Předkládané změny jsou v souladu s čl. 33 Nařízení 1083/2006, odst. 1, písm. d) v důsledku obtíží při provádění. </w:t>
      </w:r>
    </w:p>
    <w:p w:rsidR="00111136" w:rsidRDefault="006D1CD8" w:rsidP="00B97600">
      <w:pPr>
        <w:spacing w:after="120" w:line="312" w:lineRule="auto"/>
        <w:jc w:val="both"/>
        <w:rPr>
          <w:rFonts w:ascii="Arial" w:hAnsi="Arial" w:cs="Arial"/>
        </w:rPr>
      </w:pPr>
      <w:r>
        <w:rPr>
          <w:rFonts w:ascii="Arial" w:hAnsi="Arial" w:cs="Arial"/>
        </w:rPr>
        <w:t xml:space="preserve">Změna finančních </w:t>
      </w:r>
      <w:r w:rsidR="008E536E">
        <w:rPr>
          <w:rFonts w:ascii="Arial" w:hAnsi="Arial" w:cs="Arial"/>
        </w:rPr>
        <w:t>tabulek bude provedena v souvislosti se nesplněním povinnosti N+</w:t>
      </w:r>
      <w:r w:rsidR="00524AED">
        <w:rPr>
          <w:rFonts w:ascii="Arial" w:hAnsi="Arial" w:cs="Arial"/>
        </w:rPr>
        <w:t>3</w:t>
      </w:r>
      <w:r w:rsidR="008E536E">
        <w:rPr>
          <w:rFonts w:ascii="Arial" w:hAnsi="Arial" w:cs="Arial"/>
        </w:rPr>
        <w:t>/N+</w:t>
      </w:r>
      <w:r w:rsidR="00524AED">
        <w:rPr>
          <w:rFonts w:ascii="Arial" w:hAnsi="Arial" w:cs="Arial"/>
        </w:rPr>
        <w:t>2</w:t>
      </w:r>
      <w:r w:rsidR="00DB1A0C">
        <w:rPr>
          <w:rFonts w:ascii="Arial" w:hAnsi="Arial" w:cs="Arial"/>
        </w:rPr>
        <w:t>.</w:t>
      </w:r>
    </w:p>
    <w:p w:rsidR="00C752C5" w:rsidRPr="00C752C5" w:rsidRDefault="00C752C5" w:rsidP="00C752C5">
      <w:pPr>
        <w:autoSpaceDE w:val="0"/>
        <w:autoSpaceDN w:val="0"/>
        <w:adjustRightInd w:val="0"/>
        <w:spacing w:line="314" w:lineRule="auto"/>
        <w:jc w:val="both"/>
        <w:rPr>
          <w:rFonts w:ascii="Arial" w:hAnsi="Arial" w:cs="Arial"/>
          <w:bCs/>
        </w:rPr>
      </w:pPr>
      <w:r w:rsidRPr="00C752C5">
        <w:rPr>
          <w:rFonts w:ascii="Arial" w:hAnsi="Arial" w:cs="Arial"/>
          <w:bCs/>
        </w:rPr>
        <w:t xml:space="preserve">Do konce roku 2013 byly schváleny k realizaci projekty ve výši 1 770 mil. EUR (celkové způsobilé výdaje), což představuje 93 % z celkové alokace. Příjemcům byly proplaceny prostředky v částce 1 008,5 mil. EUR, tedy 52,9 % z celkové alokace. Certifikovány byly výdaje ve výši 987,3 mil EUR (51,5 %). </w:t>
      </w:r>
    </w:p>
    <w:p w:rsidR="00C752C5" w:rsidRPr="00C752C5" w:rsidRDefault="00C752C5" w:rsidP="00C752C5">
      <w:pPr>
        <w:autoSpaceDE w:val="0"/>
        <w:autoSpaceDN w:val="0"/>
        <w:adjustRightInd w:val="0"/>
        <w:spacing w:line="348" w:lineRule="auto"/>
        <w:jc w:val="both"/>
        <w:rPr>
          <w:rFonts w:ascii="Arial" w:hAnsi="Arial" w:cs="Arial"/>
        </w:rPr>
      </w:pPr>
      <w:r w:rsidRPr="00C752C5">
        <w:rPr>
          <w:rFonts w:ascii="Arial" w:hAnsi="Arial" w:cs="Arial"/>
        </w:rPr>
        <w:t xml:space="preserve">Výhled čerpání na začátku roku 2013 odhadoval ztrátu alokace ve výši 5 mld. Kč. Díky realizaci řady opatření se podařilo snížit ztrátu alokace přibližně na 1,5 až 2,17 mil. EUR v cíli Regionální konkurenceschopnost a zaměstnanost. V cíli Konvergence ke ztrátě alokace nedošlo. Výsledná ztráta bude zřejmá až po posouzení aplikace čl. 95 Obecného Nařízení Evropskou komisí. </w:t>
      </w:r>
    </w:p>
    <w:p w:rsidR="00D6077E" w:rsidRPr="006C6E40" w:rsidRDefault="0001740E" w:rsidP="00B97600">
      <w:pPr>
        <w:spacing w:after="120" w:line="312" w:lineRule="auto"/>
        <w:jc w:val="both"/>
        <w:rPr>
          <w:rFonts w:ascii="Arial" w:hAnsi="Arial" w:cs="Arial"/>
        </w:rPr>
      </w:pPr>
      <w:r w:rsidRPr="006C6E40">
        <w:rPr>
          <w:rFonts w:ascii="Arial" w:hAnsi="Arial" w:cs="Arial"/>
        </w:rPr>
        <w:t xml:space="preserve">V IOP se tato změna týká projektů, kde proběhlo administrativní řízení mezi orgánem vypisujícím výběrové řízení a příjemcem. </w:t>
      </w:r>
    </w:p>
    <w:p w:rsidR="004418FD" w:rsidRDefault="00C12984" w:rsidP="005F7BEE">
      <w:pPr>
        <w:jc w:val="both"/>
        <w:rPr>
          <w:rFonts w:ascii="Arial" w:hAnsi="Arial" w:cs="Arial"/>
        </w:rPr>
      </w:pPr>
      <w:r>
        <w:rPr>
          <w:rFonts w:ascii="Arial" w:hAnsi="Arial" w:cs="Arial"/>
        </w:rPr>
        <w:t>U</w:t>
      </w:r>
      <w:r w:rsidR="0001740E" w:rsidRPr="006C6E40">
        <w:rPr>
          <w:rFonts w:ascii="Arial" w:hAnsi="Arial" w:cs="Arial"/>
        </w:rPr>
        <w:t xml:space="preserve"> projektů</w:t>
      </w:r>
    </w:p>
    <w:p w:rsidR="004418FD" w:rsidRPr="004418FD" w:rsidRDefault="00915AAC" w:rsidP="005F7BEE">
      <w:pPr>
        <w:pStyle w:val="Odstavecseseznamem"/>
        <w:numPr>
          <w:ilvl w:val="0"/>
          <w:numId w:val="11"/>
        </w:numPr>
        <w:jc w:val="both"/>
        <w:rPr>
          <w:rFonts w:ascii="Arial" w:hAnsi="Arial" w:cs="Arial"/>
        </w:rPr>
      </w:pPr>
      <w:r w:rsidRPr="00FB25A7">
        <w:rPr>
          <w:rFonts w:ascii="Arial" w:hAnsi="Arial" w:cs="Arial"/>
          <w:b/>
        </w:rPr>
        <w:t>CZ.1.06/1.1.00/07.06404</w:t>
      </w:r>
      <w:r w:rsidRPr="004418FD">
        <w:rPr>
          <w:rFonts w:ascii="Arial" w:hAnsi="Arial" w:cs="Arial"/>
        </w:rPr>
        <w:t xml:space="preserve">, </w:t>
      </w:r>
      <w:r w:rsidR="00F75D75" w:rsidRPr="004418FD">
        <w:rPr>
          <w:rFonts w:ascii="Arial" w:hAnsi="Arial" w:cs="Arial"/>
        </w:rPr>
        <w:t>Systém ekonomických a projektových informací v</w:t>
      </w:r>
      <w:r w:rsidR="00FB25A7">
        <w:rPr>
          <w:rFonts w:ascii="Arial" w:hAnsi="Arial" w:cs="Arial"/>
        </w:rPr>
        <w:t> </w:t>
      </w:r>
      <w:proofErr w:type="spellStart"/>
      <w:r w:rsidR="00F75D75" w:rsidRPr="004418FD">
        <w:rPr>
          <w:rFonts w:ascii="Arial" w:hAnsi="Arial" w:cs="Arial"/>
        </w:rPr>
        <w:t>eGovernmentu</w:t>
      </w:r>
      <w:proofErr w:type="spellEnd"/>
      <w:r w:rsidR="00FB25A7">
        <w:rPr>
          <w:rFonts w:ascii="Arial" w:hAnsi="Arial" w:cs="Arial"/>
        </w:rPr>
        <w:t>,</w:t>
      </w:r>
    </w:p>
    <w:p w:rsidR="004418FD" w:rsidRPr="004418FD" w:rsidRDefault="00915AAC" w:rsidP="005F7BEE">
      <w:pPr>
        <w:pStyle w:val="Odstavecseseznamem"/>
        <w:numPr>
          <w:ilvl w:val="0"/>
          <w:numId w:val="11"/>
        </w:numPr>
        <w:jc w:val="both"/>
        <w:rPr>
          <w:rFonts w:ascii="Arial" w:hAnsi="Arial" w:cs="Arial"/>
        </w:rPr>
      </w:pPr>
      <w:r w:rsidRPr="00FB25A7">
        <w:rPr>
          <w:rFonts w:ascii="Arial" w:hAnsi="Arial" w:cs="Arial"/>
          <w:b/>
        </w:rPr>
        <w:t>CZ.1.06/1.1.00/03.05995,</w:t>
      </w:r>
      <w:r w:rsidRPr="004418FD">
        <w:rPr>
          <w:rFonts w:ascii="Arial" w:hAnsi="Arial" w:cs="Arial"/>
        </w:rPr>
        <w:t xml:space="preserve"> </w:t>
      </w:r>
      <w:r w:rsidR="00F75D75" w:rsidRPr="00F75D75">
        <w:rPr>
          <w:rFonts w:ascii="Arial" w:hAnsi="Arial" w:cs="Arial"/>
        </w:rPr>
        <w:t>Projekt Centrální místo Služeb - Komunikační infrastruktura Informačních systémů veřejné správy</w:t>
      </w:r>
      <w:r w:rsidR="00FB25A7">
        <w:rPr>
          <w:rFonts w:ascii="Arial" w:hAnsi="Arial" w:cs="Arial"/>
        </w:rPr>
        <w:t>,</w:t>
      </w:r>
    </w:p>
    <w:p w:rsidR="004418FD" w:rsidRPr="004418FD" w:rsidRDefault="00915AAC" w:rsidP="005F7BEE">
      <w:pPr>
        <w:pStyle w:val="Odstavecseseznamem"/>
        <w:numPr>
          <w:ilvl w:val="0"/>
          <w:numId w:val="11"/>
        </w:numPr>
        <w:jc w:val="both"/>
        <w:rPr>
          <w:rFonts w:ascii="Arial" w:hAnsi="Arial" w:cs="Arial"/>
        </w:rPr>
      </w:pPr>
      <w:r w:rsidRPr="00FB25A7">
        <w:rPr>
          <w:rFonts w:ascii="Arial" w:hAnsi="Arial" w:cs="Arial"/>
          <w:b/>
        </w:rPr>
        <w:t>CZ.1.06/1.1.00/03.06325</w:t>
      </w:r>
      <w:r w:rsidRPr="004418FD">
        <w:rPr>
          <w:rFonts w:ascii="Arial" w:hAnsi="Arial" w:cs="Arial"/>
        </w:rPr>
        <w:t xml:space="preserve">, </w:t>
      </w:r>
      <w:r w:rsidR="00F75D75" w:rsidRPr="00F75D75">
        <w:rPr>
          <w:rFonts w:ascii="Arial" w:hAnsi="Arial" w:cs="Arial"/>
        </w:rPr>
        <w:t>Úprava evidence obyvatel a vytvoření relevantního datového fondu pro ROB</w:t>
      </w:r>
      <w:r w:rsidR="00FB25A7">
        <w:rPr>
          <w:rFonts w:ascii="Arial" w:hAnsi="Arial" w:cs="Arial"/>
        </w:rPr>
        <w:t>,</w:t>
      </w:r>
    </w:p>
    <w:p w:rsidR="004418FD" w:rsidRPr="004418FD" w:rsidRDefault="00915AAC" w:rsidP="005F7BEE">
      <w:pPr>
        <w:pStyle w:val="Odstavecseseznamem"/>
        <w:numPr>
          <w:ilvl w:val="0"/>
          <w:numId w:val="11"/>
        </w:numPr>
        <w:jc w:val="both"/>
        <w:rPr>
          <w:rFonts w:ascii="Arial" w:hAnsi="Arial" w:cs="Arial"/>
        </w:rPr>
      </w:pPr>
      <w:r w:rsidRPr="00FB25A7">
        <w:rPr>
          <w:rFonts w:ascii="Arial" w:hAnsi="Arial" w:cs="Arial"/>
          <w:b/>
        </w:rPr>
        <w:t>CZ.1.06/1.1.00/07.06381</w:t>
      </w:r>
      <w:r w:rsidRPr="004418FD">
        <w:rPr>
          <w:rFonts w:ascii="Arial" w:hAnsi="Arial" w:cs="Arial"/>
        </w:rPr>
        <w:t xml:space="preserve">, </w:t>
      </w:r>
      <w:r w:rsidR="00F75D75" w:rsidRPr="00F75D75">
        <w:rPr>
          <w:rFonts w:ascii="Arial" w:hAnsi="Arial" w:cs="Arial"/>
        </w:rPr>
        <w:t>DMS ČUZK v návaznosti na zavedení elektronické konverze dokumentů a datové schránky</w:t>
      </w:r>
      <w:r w:rsidR="00FB25A7">
        <w:rPr>
          <w:rFonts w:ascii="Arial" w:hAnsi="Arial" w:cs="Arial"/>
        </w:rPr>
        <w:t>,</w:t>
      </w:r>
    </w:p>
    <w:p w:rsidR="004418FD" w:rsidRPr="004418FD" w:rsidRDefault="00915AAC" w:rsidP="005F7BEE">
      <w:pPr>
        <w:pStyle w:val="Odstavecseseznamem"/>
        <w:numPr>
          <w:ilvl w:val="0"/>
          <w:numId w:val="11"/>
        </w:numPr>
        <w:jc w:val="both"/>
        <w:rPr>
          <w:rFonts w:ascii="Arial" w:hAnsi="Arial" w:cs="Arial"/>
        </w:rPr>
      </w:pPr>
      <w:r w:rsidRPr="00FB25A7">
        <w:rPr>
          <w:rFonts w:ascii="Arial" w:hAnsi="Arial" w:cs="Arial"/>
          <w:b/>
        </w:rPr>
        <w:t>CZ.1.06/1.1.00/07.06387,</w:t>
      </w:r>
      <w:r w:rsidRPr="004418FD">
        <w:rPr>
          <w:rFonts w:ascii="Arial" w:hAnsi="Arial" w:cs="Arial"/>
        </w:rPr>
        <w:t xml:space="preserve"> </w:t>
      </w:r>
      <w:r w:rsidR="00F75D75" w:rsidRPr="00F75D75">
        <w:rPr>
          <w:rFonts w:ascii="Arial" w:hAnsi="Arial" w:cs="Arial"/>
        </w:rPr>
        <w:t xml:space="preserve">Vybudování Access </w:t>
      </w:r>
      <w:proofErr w:type="spellStart"/>
      <w:r w:rsidR="00F75D75" w:rsidRPr="00F75D75">
        <w:rPr>
          <w:rFonts w:ascii="Arial" w:hAnsi="Arial" w:cs="Arial"/>
        </w:rPr>
        <w:t>Points</w:t>
      </w:r>
      <w:proofErr w:type="spellEnd"/>
      <w:r w:rsidR="00F75D75" w:rsidRPr="00F75D75">
        <w:rPr>
          <w:rFonts w:ascii="Arial" w:hAnsi="Arial" w:cs="Arial"/>
        </w:rPr>
        <w:t xml:space="preserve"> - přístupových míst ČR do Evropské architektury sociálního zabezpečení</w:t>
      </w:r>
      <w:r w:rsidR="00FB25A7">
        <w:rPr>
          <w:rFonts w:ascii="Arial" w:hAnsi="Arial" w:cs="Arial"/>
        </w:rPr>
        <w:t>,</w:t>
      </w:r>
    </w:p>
    <w:p w:rsidR="004418FD" w:rsidRPr="004418FD" w:rsidRDefault="00915AAC" w:rsidP="005F7BEE">
      <w:pPr>
        <w:pStyle w:val="Odstavecseseznamem"/>
        <w:numPr>
          <w:ilvl w:val="0"/>
          <w:numId w:val="11"/>
        </w:numPr>
        <w:jc w:val="both"/>
        <w:rPr>
          <w:rFonts w:ascii="Arial" w:hAnsi="Arial" w:cs="Arial"/>
        </w:rPr>
      </w:pPr>
      <w:r w:rsidRPr="00FB25A7">
        <w:rPr>
          <w:rFonts w:ascii="Arial" w:hAnsi="Arial" w:cs="Arial"/>
          <w:b/>
        </w:rPr>
        <w:t>CZ.1.06/1.1.00/10.06977</w:t>
      </w:r>
      <w:r w:rsidR="004418FD" w:rsidRPr="00FB25A7">
        <w:rPr>
          <w:rFonts w:ascii="Arial" w:hAnsi="Arial" w:cs="Arial"/>
          <w:b/>
        </w:rPr>
        <w:t>,</w:t>
      </w:r>
      <w:r w:rsidR="004418FD" w:rsidRPr="004418FD">
        <w:rPr>
          <w:rFonts w:ascii="Arial" w:hAnsi="Arial" w:cs="Arial"/>
        </w:rPr>
        <w:t xml:space="preserve"> </w:t>
      </w:r>
      <w:r w:rsidR="00F75D75" w:rsidRPr="00F75D75">
        <w:rPr>
          <w:rFonts w:ascii="Arial" w:hAnsi="Arial" w:cs="Arial"/>
        </w:rPr>
        <w:t>Národní digitální archiv</w:t>
      </w:r>
      <w:r w:rsidR="00FB25A7">
        <w:rPr>
          <w:rFonts w:ascii="Arial" w:hAnsi="Arial" w:cs="Arial"/>
        </w:rPr>
        <w:t>,</w:t>
      </w:r>
    </w:p>
    <w:p w:rsidR="004418FD" w:rsidRPr="004418FD" w:rsidRDefault="004418FD" w:rsidP="005F7BEE">
      <w:pPr>
        <w:pStyle w:val="Odstavecseseznamem"/>
        <w:numPr>
          <w:ilvl w:val="0"/>
          <w:numId w:val="11"/>
        </w:numPr>
        <w:jc w:val="both"/>
        <w:rPr>
          <w:rFonts w:ascii="Arial" w:hAnsi="Arial" w:cs="Arial"/>
        </w:rPr>
      </w:pPr>
      <w:r w:rsidRPr="00FB25A7">
        <w:rPr>
          <w:rFonts w:ascii="Arial" w:hAnsi="Arial" w:cs="Arial"/>
          <w:b/>
        </w:rPr>
        <w:t>CZ.1.06/1.1.00/03.06267,</w:t>
      </w:r>
      <w:r w:rsidRPr="004418FD">
        <w:rPr>
          <w:rFonts w:ascii="Arial" w:hAnsi="Arial" w:cs="Arial"/>
        </w:rPr>
        <w:t xml:space="preserve"> </w:t>
      </w:r>
      <w:r w:rsidR="00F75D75" w:rsidRPr="00F75D75">
        <w:rPr>
          <w:rFonts w:ascii="Arial" w:hAnsi="Arial" w:cs="Arial"/>
        </w:rPr>
        <w:t>Systém elektronické spisové služby</w:t>
      </w:r>
      <w:r w:rsidR="00FB25A7">
        <w:rPr>
          <w:rFonts w:ascii="Arial" w:hAnsi="Arial" w:cs="Arial"/>
        </w:rPr>
        <w:t>,</w:t>
      </w:r>
    </w:p>
    <w:p w:rsidR="004418FD" w:rsidRPr="004418FD" w:rsidRDefault="004418FD" w:rsidP="005F7BEE">
      <w:pPr>
        <w:pStyle w:val="Odstavecseseznamem"/>
        <w:numPr>
          <w:ilvl w:val="0"/>
          <w:numId w:val="11"/>
        </w:numPr>
        <w:jc w:val="both"/>
        <w:rPr>
          <w:rFonts w:ascii="Arial" w:hAnsi="Arial" w:cs="Arial"/>
        </w:rPr>
      </w:pPr>
      <w:r w:rsidRPr="00FB25A7">
        <w:rPr>
          <w:rFonts w:ascii="Arial" w:hAnsi="Arial" w:cs="Arial"/>
          <w:b/>
        </w:rPr>
        <w:t>CZ.1.06/1.1.00/07.06389</w:t>
      </w:r>
      <w:r w:rsidR="00F75D75" w:rsidRPr="00FB25A7">
        <w:rPr>
          <w:rFonts w:ascii="Arial" w:hAnsi="Arial" w:cs="Arial"/>
          <w:b/>
        </w:rPr>
        <w:t>,</w:t>
      </w:r>
      <w:r w:rsidR="00F75D75">
        <w:rPr>
          <w:rFonts w:ascii="Arial" w:hAnsi="Arial" w:cs="Arial"/>
        </w:rPr>
        <w:t xml:space="preserve"> </w:t>
      </w:r>
      <w:r w:rsidR="00F75D75" w:rsidRPr="00F75D75">
        <w:rPr>
          <w:rFonts w:ascii="Arial" w:hAnsi="Arial" w:cs="Arial"/>
        </w:rPr>
        <w:t>Zavedení E-CUSTOMS-elektronické a harmonizované celnictví v</w:t>
      </w:r>
      <w:r w:rsidR="00FB25A7">
        <w:rPr>
          <w:rFonts w:ascii="Arial" w:hAnsi="Arial" w:cs="Arial"/>
        </w:rPr>
        <w:t> </w:t>
      </w:r>
      <w:r w:rsidR="00F75D75" w:rsidRPr="00F75D75">
        <w:rPr>
          <w:rFonts w:ascii="Arial" w:hAnsi="Arial" w:cs="Arial"/>
        </w:rPr>
        <w:t>EU</w:t>
      </w:r>
    </w:p>
    <w:p w:rsidR="005D3A86" w:rsidRDefault="004418FD" w:rsidP="005F7BEE">
      <w:pPr>
        <w:jc w:val="both"/>
        <w:rPr>
          <w:rFonts w:ascii="Arial" w:hAnsi="Arial" w:cs="Arial"/>
        </w:rPr>
      </w:pPr>
      <w:r>
        <w:rPr>
          <w:rFonts w:ascii="Arial" w:hAnsi="Arial" w:cs="Arial"/>
        </w:rPr>
        <w:t xml:space="preserve">je zřejmý odkladný účinek a čl. 95 lze použít. </w:t>
      </w:r>
      <w:r w:rsidR="007A44FF">
        <w:rPr>
          <w:rFonts w:ascii="Arial" w:hAnsi="Arial" w:cs="Arial"/>
        </w:rPr>
        <w:t>Zdroje EU, které PCO nemohl vykázat Evropské komis</w:t>
      </w:r>
      <w:r w:rsidR="00524AED">
        <w:rPr>
          <w:rFonts w:ascii="Arial" w:hAnsi="Arial" w:cs="Arial"/>
        </w:rPr>
        <w:t>i,</w:t>
      </w:r>
      <w:r w:rsidR="007A44FF">
        <w:rPr>
          <w:rFonts w:ascii="Arial" w:hAnsi="Arial" w:cs="Arial"/>
        </w:rPr>
        <w:t xml:space="preserve"> jsou ve výši 635 137,19 EUR</w:t>
      </w:r>
      <w:r w:rsidR="006438ED">
        <w:rPr>
          <w:rFonts w:ascii="Arial" w:hAnsi="Arial" w:cs="Arial"/>
        </w:rPr>
        <w:t xml:space="preserve"> a národní veřejné zdroje, které byly řízením ovlivněny</w:t>
      </w:r>
      <w:r w:rsidR="00524AED">
        <w:rPr>
          <w:rFonts w:ascii="Arial" w:hAnsi="Arial" w:cs="Arial"/>
        </w:rPr>
        <w:t>,</w:t>
      </w:r>
      <w:r w:rsidR="006438ED">
        <w:rPr>
          <w:rFonts w:ascii="Arial" w:hAnsi="Arial" w:cs="Arial"/>
        </w:rPr>
        <w:t xml:space="preserve"> ve výši 2 885 241,46 Kč</w:t>
      </w:r>
      <w:r w:rsidR="007A44FF">
        <w:rPr>
          <w:rFonts w:ascii="Arial" w:hAnsi="Arial" w:cs="Arial"/>
        </w:rPr>
        <w:t xml:space="preserve">. </w:t>
      </w:r>
      <w:r w:rsidR="00524AED">
        <w:rPr>
          <w:rFonts w:ascii="Arial" w:hAnsi="Arial" w:cs="Arial"/>
        </w:rPr>
        <w:t>Pro</w:t>
      </w:r>
      <w:r w:rsidR="005D3A86">
        <w:rPr>
          <w:rFonts w:ascii="Arial" w:hAnsi="Arial" w:cs="Arial"/>
        </w:rPr>
        <w:t xml:space="preserve"> t</w:t>
      </w:r>
      <w:r w:rsidR="00524AED">
        <w:rPr>
          <w:rFonts w:ascii="Arial" w:hAnsi="Arial" w:cs="Arial"/>
        </w:rPr>
        <w:t>y</w:t>
      </w:r>
      <w:r w:rsidR="005D3A86">
        <w:rPr>
          <w:rFonts w:ascii="Arial" w:hAnsi="Arial" w:cs="Arial"/>
        </w:rPr>
        <w:t>to projekt</w:t>
      </w:r>
      <w:r w:rsidR="00524AED">
        <w:rPr>
          <w:rFonts w:ascii="Arial" w:hAnsi="Arial" w:cs="Arial"/>
        </w:rPr>
        <w:t>y</w:t>
      </w:r>
      <w:r w:rsidR="005D3A86">
        <w:rPr>
          <w:rFonts w:ascii="Arial" w:hAnsi="Arial" w:cs="Arial"/>
        </w:rPr>
        <w:t xml:space="preserve"> ŘO IOP zdůvodn</w:t>
      </w:r>
      <w:r w:rsidR="00524AED">
        <w:rPr>
          <w:rFonts w:ascii="Arial" w:hAnsi="Arial" w:cs="Arial"/>
        </w:rPr>
        <w:t>il</w:t>
      </w:r>
      <w:r w:rsidR="009B611D">
        <w:rPr>
          <w:rFonts w:ascii="Arial" w:hAnsi="Arial" w:cs="Arial"/>
        </w:rPr>
        <w:t xml:space="preserve"> dopad řízení na realizaci projektu. </w:t>
      </w:r>
    </w:p>
    <w:p w:rsidR="000634AB" w:rsidRPr="004418FD" w:rsidRDefault="00524AED" w:rsidP="005F7BEE">
      <w:pPr>
        <w:jc w:val="both"/>
        <w:rPr>
          <w:rFonts w:ascii="Arial" w:hAnsi="Arial" w:cs="Arial"/>
        </w:rPr>
      </w:pPr>
      <w:r>
        <w:rPr>
          <w:rFonts w:ascii="Arial" w:hAnsi="Arial" w:cs="Arial"/>
        </w:rPr>
        <w:lastRenderedPageBreak/>
        <w:t>Pro</w:t>
      </w:r>
      <w:r w:rsidR="0004650F">
        <w:rPr>
          <w:rFonts w:ascii="Arial" w:hAnsi="Arial" w:cs="Arial"/>
        </w:rPr>
        <w:t xml:space="preserve"> </w:t>
      </w:r>
      <w:r w:rsidR="006F6080">
        <w:rPr>
          <w:rFonts w:ascii="Arial" w:hAnsi="Arial" w:cs="Arial"/>
        </w:rPr>
        <w:t xml:space="preserve">zbývající </w:t>
      </w:r>
      <w:r w:rsidR="0004650F">
        <w:rPr>
          <w:rFonts w:ascii="Arial" w:hAnsi="Arial" w:cs="Arial"/>
        </w:rPr>
        <w:t>projekt</w:t>
      </w:r>
      <w:r>
        <w:rPr>
          <w:rFonts w:ascii="Arial" w:hAnsi="Arial" w:cs="Arial"/>
        </w:rPr>
        <w:t>y</w:t>
      </w:r>
      <w:r w:rsidR="000634AB">
        <w:rPr>
          <w:rFonts w:ascii="Arial" w:hAnsi="Arial" w:cs="Arial"/>
        </w:rPr>
        <w:t xml:space="preserve"> nebylo možné odkladný účinek </w:t>
      </w:r>
      <w:r w:rsidR="00ED5D33">
        <w:rPr>
          <w:rFonts w:ascii="Arial" w:hAnsi="Arial" w:cs="Arial"/>
        </w:rPr>
        <w:t xml:space="preserve">jednoznačně </w:t>
      </w:r>
      <w:r w:rsidR="000634AB">
        <w:rPr>
          <w:rFonts w:ascii="Arial" w:hAnsi="Arial" w:cs="Arial"/>
        </w:rPr>
        <w:t>prokázat</w:t>
      </w:r>
      <w:r>
        <w:rPr>
          <w:rFonts w:ascii="Arial" w:hAnsi="Arial" w:cs="Arial"/>
        </w:rPr>
        <w:t>.</w:t>
      </w:r>
      <w:r w:rsidR="000634AB">
        <w:rPr>
          <w:rFonts w:ascii="Arial" w:hAnsi="Arial" w:cs="Arial"/>
        </w:rPr>
        <w:t xml:space="preserve"> </w:t>
      </w:r>
    </w:p>
    <w:p w:rsidR="00915AAC" w:rsidRPr="008E2A3B" w:rsidRDefault="008E2A3B" w:rsidP="005F7BEE">
      <w:pPr>
        <w:jc w:val="both"/>
        <w:rPr>
          <w:rFonts w:ascii="Arial" w:hAnsi="Arial" w:cs="Arial"/>
        </w:rPr>
      </w:pPr>
      <w:r w:rsidRPr="008E2A3B">
        <w:rPr>
          <w:rFonts w:ascii="Arial" w:hAnsi="Arial" w:cs="Arial"/>
        </w:rPr>
        <w:t xml:space="preserve">Přesnou částku </w:t>
      </w:r>
      <w:r w:rsidR="000520D1">
        <w:rPr>
          <w:rFonts w:ascii="Arial" w:hAnsi="Arial" w:cs="Arial"/>
        </w:rPr>
        <w:t xml:space="preserve">ztráty alokace </w:t>
      </w:r>
      <w:r w:rsidRPr="008E2A3B">
        <w:rPr>
          <w:rFonts w:ascii="Arial" w:hAnsi="Arial" w:cs="Arial"/>
        </w:rPr>
        <w:t xml:space="preserve">Evropská komise dosud nepotvrdila. </w:t>
      </w:r>
      <w:r w:rsidR="000520D1">
        <w:rPr>
          <w:rFonts w:ascii="Arial" w:hAnsi="Arial" w:cs="Arial"/>
        </w:rPr>
        <w:t>Z</w:t>
      </w:r>
      <w:r w:rsidRPr="008E2A3B">
        <w:rPr>
          <w:rFonts w:ascii="Arial" w:hAnsi="Arial" w:cs="Arial"/>
        </w:rPr>
        <w:t xml:space="preserve">měna </w:t>
      </w:r>
      <w:r w:rsidR="00524AED">
        <w:rPr>
          <w:rFonts w:ascii="Arial" w:hAnsi="Arial" w:cs="Arial"/>
        </w:rPr>
        <w:t xml:space="preserve">alokace </w:t>
      </w:r>
      <w:r w:rsidRPr="008E2A3B">
        <w:rPr>
          <w:rFonts w:ascii="Arial" w:hAnsi="Arial" w:cs="Arial"/>
        </w:rPr>
        <w:t>upřesn</w:t>
      </w:r>
      <w:r w:rsidR="000520D1">
        <w:rPr>
          <w:rFonts w:ascii="Arial" w:hAnsi="Arial" w:cs="Arial"/>
        </w:rPr>
        <w:t>í Řídící orgán IOP</w:t>
      </w:r>
      <w:r w:rsidRPr="008E2A3B">
        <w:rPr>
          <w:rFonts w:ascii="Arial" w:hAnsi="Arial" w:cs="Arial"/>
        </w:rPr>
        <w:t xml:space="preserve"> v písemné proceduře. </w:t>
      </w:r>
    </w:p>
    <w:p w:rsidR="00915AAC" w:rsidRDefault="00915AAC" w:rsidP="005F7BEE">
      <w:pPr>
        <w:spacing w:after="120" w:line="312" w:lineRule="auto"/>
        <w:jc w:val="both"/>
        <w:rPr>
          <w:rFonts w:ascii="Arial" w:hAnsi="Arial" w:cs="Arial"/>
        </w:rPr>
      </w:pPr>
    </w:p>
    <w:p w:rsidR="002A4309" w:rsidRDefault="002A4309">
      <w:pPr>
        <w:rPr>
          <w:rFonts w:ascii="Arial" w:hAnsi="Arial" w:cs="Arial"/>
        </w:rPr>
      </w:pPr>
      <w:r>
        <w:rPr>
          <w:rFonts w:ascii="Arial" w:hAnsi="Arial" w:cs="Arial"/>
        </w:rPr>
        <w:br w:type="page"/>
      </w:r>
    </w:p>
    <w:p w:rsidR="002B7FFA" w:rsidRPr="006C6E40" w:rsidRDefault="000520D1" w:rsidP="00C51E69">
      <w:pPr>
        <w:pStyle w:val="Odstavecseseznamem"/>
        <w:numPr>
          <w:ilvl w:val="0"/>
          <w:numId w:val="3"/>
        </w:numPr>
        <w:spacing w:after="120" w:line="312" w:lineRule="auto"/>
        <w:jc w:val="both"/>
        <w:rPr>
          <w:rFonts w:ascii="Arial" w:hAnsi="Arial" w:cs="Arial"/>
          <w:b/>
          <w:i/>
        </w:rPr>
      </w:pPr>
      <w:r>
        <w:rPr>
          <w:rFonts w:ascii="Arial" w:hAnsi="Arial" w:cs="Arial"/>
          <w:b/>
          <w:i/>
        </w:rPr>
        <w:lastRenderedPageBreak/>
        <w:t>Doplnění</w:t>
      </w:r>
      <w:r w:rsidR="007B3505">
        <w:rPr>
          <w:rFonts w:ascii="Arial" w:hAnsi="Arial" w:cs="Arial"/>
          <w:b/>
          <w:i/>
        </w:rPr>
        <w:t xml:space="preserve"> implementační struktury</w:t>
      </w:r>
    </w:p>
    <w:p w:rsidR="008E2A2A" w:rsidRPr="006F2E2F" w:rsidRDefault="008E2A2A" w:rsidP="008E2A2A">
      <w:pPr>
        <w:spacing w:after="120" w:line="312" w:lineRule="auto"/>
        <w:jc w:val="both"/>
        <w:rPr>
          <w:rFonts w:ascii="Arial" w:hAnsi="Arial" w:cs="Arial"/>
          <w:i/>
        </w:rPr>
      </w:pPr>
      <w:r w:rsidRPr="006F2E2F">
        <w:rPr>
          <w:rFonts w:ascii="Arial" w:hAnsi="Arial" w:cs="Arial"/>
          <w:i/>
        </w:rPr>
        <w:t>Předkládané změny jsou v souladu s čl. 33 Nařízení 1083/2006, odst. 1, písm. c) „s ohledem na hodnocení podle článku 48 odstavec 3.“</w:t>
      </w:r>
    </w:p>
    <w:p w:rsidR="00FA0EF6" w:rsidRDefault="008F67B7" w:rsidP="00FA0EF6">
      <w:pPr>
        <w:spacing w:after="120" w:line="312" w:lineRule="auto"/>
        <w:jc w:val="both"/>
        <w:rPr>
          <w:rFonts w:ascii="Arial" w:hAnsi="Arial" w:cs="Arial"/>
        </w:rPr>
      </w:pPr>
      <w:r>
        <w:rPr>
          <w:rFonts w:ascii="Arial" w:hAnsi="Arial" w:cs="Arial"/>
        </w:rPr>
        <w:t>V návaznosti na U</w:t>
      </w:r>
      <w:r w:rsidR="00FA0EF6" w:rsidRPr="00FA0EF6">
        <w:rPr>
          <w:rFonts w:ascii="Arial" w:hAnsi="Arial" w:cs="Arial"/>
        </w:rPr>
        <w:t xml:space="preserve">snesení vlády </w:t>
      </w:r>
      <w:r w:rsidR="0040219D">
        <w:rPr>
          <w:rFonts w:ascii="Arial" w:hAnsi="Arial" w:cs="Arial"/>
        </w:rPr>
        <w:t xml:space="preserve">České republiky </w:t>
      </w:r>
      <w:r w:rsidR="00FA0EF6" w:rsidRPr="00FA0EF6">
        <w:rPr>
          <w:rFonts w:ascii="Arial" w:hAnsi="Arial" w:cs="Arial"/>
        </w:rPr>
        <w:t>číslo 567 ze dne 31. července 2013 k Informaci o rizikových projektech a oblastech v Integrovaném operačním programu ukončilo výkon činnosti Ministerstvo kultury jako zprostředkující subjekt Integrovaného operačního programu.</w:t>
      </w:r>
    </w:p>
    <w:p w:rsidR="006C08C9" w:rsidRDefault="006C08C9" w:rsidP="00FA0EF6">
      <w:pPr>
        <w:spacing w:after="120" w:line="312" w:lineRule="auto"/>
        <w:jc w:val="both"/>
        <w:rPr>
          <w:rFonts w:ascii="Arial" w:hAnsi="Arial" w:cs="Arial"/>
        </w:rPr>
      </w:pPr>
      <w:r w:rsidRPr="006C08C9">
        <w:rPr>
          <w:rFonts w:ascii="Arial" w:hAnsi="Arial" w:cs="Arial"/>
        </w:rPr>
        <w:t xml:space="preserve">V souvislosti s usnesením vlády byl mezi Ministerstvem pro místní rozvoj a Ministerstvem kultury uzavřen dodatek č. 1 k Dohodě o delegování úkolů Řídícího orgánů Integrovaného operačního programu na Ministerstvo kultury jako Zprostředkující subjekt v rámci implementace Integrovaného operačního programu pro období 2007 až 2013, ve kterém se výkon funkce prostředkujícího subjektu a poskytovatele dotace pro oblast 5.1 převedl zpět na Řídící orgán IOP, Dohoda o delegování byla ukončena ke dni 31. 10. 2013. </w:t>
      </w:r>
    </w:p>
    <w:p w:rsidR="000544EB" w:rsidRPr="000544EB" w:rsidRDefault="000544EB" w:rsidP="000544EB">
      <w:pPr>
        <w:jc w:val="both"/>
        <w:rPr>
          <w:rFonts w:ascii="Arial" w:hAnsi="Arial" w:cs="Arial"/>
        </w:rPr>
      </w:pPr>
      <w:r w:rsidRPr="000544EB">
        <w:rPr>
          <w:rFonts w:ascii="Arial" w:hAnsi="Arial" w:cs="Arial"/>
        </w:rPr>
        <w:t>Vzhledem k nárůstu agendy ŘO IOP:</w:t>
      </w:r>
    </w:p>
    <w:p w:rsidR="0092222A" w:rsidRPr="0092222A" w:rsidRDefault="0092222A" w:rsidP="0092222A">
      <w:pPr>
        <w:pStyle w:val="Odstavecseseznamem"/>
        <w:numPr>
          <w:ilvl w:val="0"/>
          <w:numId w:val="10"/>
        </w:numPr>
        <w:jc w:val="both"/>
        <w:rPr>
          <w:rFonts w:ascii="Arial" w:hAnsi="Arial" w:cs="Arial"/>
        </w:rPr>
      </w:pPr>
      <w:r w:rsidRPr="0092222A">
        <w:rPr>
          <w:rFonts w:ascii="Arial" w:hAnsi="Arial" w:cs="Arial"/>
        </w:rPr>
        <w:t>z důvodu vysoké fluktuace a s tím spojené administrativní náročnost s vyhlašováním a realizací výběrových řízení v souladu s Metodikou výběru zaměstnanců implementujících fondy Evropské unie v progra</w:t>
      </w:r>
      <w:r w:rsidR="000544EB">
        <w:rPr>
          <w:rFonts w:ascii="Arial" w:hAnsi="Arial" w:cs="Arial"/>
        </w:rPr>
        <w:t>movém období let 2007 až 2013 a </w:t>
      </w:r>
      <w:r w:rsidRPr="0092222A">
        <w:rPr>
          <w:rFonts w:ascii="Arial" w:hAnsi="Arial" w:cs="Arial"/>
        </w:rPr>
        <w:t>v programovém období 2014+ schváleného usnesením vlády České republiky ze dne 2 května 2012 č. 313;</w:t>
      </w:r>
    </w:p>
    <w:p w:rsidR="0092222A" w:rsidRPr="0092222A" w:rsidRDefault="0092222A" w:rsidP="0092222A">
      <w:pPr>
        <w:pStyle w:val="Odstavecseseznamem"/>
        <w:jc w:val="both"/>
        <w:rPr>
          <w:rFonts w:ascii="Arial" w:hAnsi="Arial" w:cs="Arial"/>
        </w:rPr>
      </w:pPr>
    </w:p>
    <w:p w:rsidR="0092222A" w:rsidRPr="0092222A" w:rsidRDefault="0092222A" w:rsidP="0092222A">
      <w:pPr>
        <w:pStyle w:val="Odstavecseseznamem"/>
        <w:numPr>
          <w:ilvl w:val="0"/>
          <w:numId w:val="10"/>
        </w:numPr>
        <w:jc w:val="both"/>
        <w:rPr>
          <w:rFonts w:ascii="Arial" w:hAnsi="Arial" w:cs="Arial"/>
        </w:rPr>
      </w:pPr>
      <w:r w:rsidRPr="0092222A">
        <w:rPr>
          <w:rFonts w:ascii="Arial" w:hAnsi="Arial" w:cs="Arial"/>
        </w:rPr>
        <w:t>z důvodu navýšení počtu pracovníků hrazených z TP IOP a to v souvislosti s delimitací agendy z MK ČR na MMR ČR/CRR ČR dle Usnesení vlády České republiky ze dne 31. července 2013 č. 567 a přípravou Integrovaného regionálního operačního programu;</w:t>
      </w:r>
    </w:p>
    <w:p w:rsidR="0092222A" w:rsidRPr="0092222A" w:rsidRDefault="0092222A" w:rsidP="0092222A">
      <w:pPr>
        <w:pStyle w:val="Odstavecseseznamem"/>
        <w:jc w:val="both"/>
        <w:rPr>
          <w:rFonts w:ascii="Arial" w:hAnsi="Arial" w:cs="Arial"/>
        </w:rPr>
      </w:pPr>
    </w:p>
    <w:p w:rsidR="0092222A" w:rsidRPr="0092222A" w:rsidRDefault="0092222A" w:rsidP="0092222A">
      <w:pPr>
        <w:pStyle w:val="Odstavecseseznamem"/>
        <w:numPr>
          <w:ilvl w:val="0"/>
          <w:numId w:val="10"/>
        </w:numPr>
        <w:jc w:val="both"/>
        <w:rPr>
          <w:rFonts w:ascii="Arial" w:hAnsi="Arial" w:cs="Arial"/>
        </w:rPr>
      </w:pPr>
      <w:r w:rsidRPr="0092222A">
        <w:rPr>
          <w:rFonts w:ascii="Arial" w:hAnsi="Arial" w:cs="Arial"/>
        </w:rPr>
        <w:t>z důvodu navýšení počtu pracovníků zapojených do finančního ohodnocení dle metodiky finančního ohodnocení zaměstnanců implementujících NSRR v programovém období 2007 až 2013 schváleného Usnesením Vlády České republiky ze dne 26. října 2009 č. 1332;</w:t>
      </w:r>
    </w:p>
    <w:p w:rsidR="0092222A" w:rsidRPr="0092222A" w:rsidRDefault="0092222A" w:rsidP="0092222A">
      <w:pPr>
        <w:jc w:val="both"/>
        <w:rPr>
          <w:rFonts w:ascii="Arial" w:hAnsi="Arial" w:cs="Arial"/>
        </w:rPr>
      </w:pPr>
      <w:r w:rsidRPr="0092222A">
        <w:rPr>
          <w:rFonts w:ascii="Arial" w:hAnsi="Arial" w:cs="Arial"/>
        </w:rPr>
        <w:t xml:space="preserve">schválil ŘO IOP zařazení 0,4 přepočtených pracovních úvazků pracovníků odboru personálního </w:t>
      </w:r>
      <w:r w:rsidR="00745A9A">
        <w:rPr>
          <w:rFonts w:ascii="Arial" w:hAnsi="Arial" w:cs="Arial"/>
        </w:rPr>
        <w:t xml:space="preserve">a odboru účetnictví a finančních služeb </w:t>
      </w:r>
      <w:r w:rsidRPr="0092222A">
        <w:rPr>
          <w:rFonts w:ascii="Arial" w:hAnsi="Arial" w:cs="Arial"/>
        </w:rPr>
        <w:t>do implementační struktury IOP.</w:t>
      </w:r>
    </w:p>
    <w:p w:rsidR="00FA0EF6" w:rsidRPr="00FA0EF6" w:rsidRDefault="00FA0EF6" w:rsidP="00FA0EF6">
      <w:pPr>
        <w:spacing w:after="120" w:line="312" w:lineRule="auto"/>
        <w:jc w:val="both"/>
        <w:rPr>
          <w:rFonts w:ascii="Arial" w:hAnsi="Arial" w:cs="Arial"/>
        </w:rPr>
      </w:pPr>
      <w:r w:rsidRPr="00FA0EF6">
        <w:rPr>
          <w:rFonts w:ascii="Arial" w:hAnsi="Arial" w:cs="Arial"/>
        </w:rPr>
        <w:t>Spolu s vyřazením Ministerstva kultury a zařazením odboru personálního</w:t>
      </w:r>
      <w:r w:rsidR="00745A9A">
        <w:rPr>
          <w:rFonts w:ascii="Arial" w:hAnsi="Arial" w:cs="Arial"/>
        </w:rPr>
        <w:t xml:space="preserve"> a odboru účetnictví a finančních služeb</w:t>
      </w:r>
      <w:r w:rsidRPr="00FA0EF6">
        <w:rPr>
          <w:rFonts w:ascii="Arial" w:hAnsi="Arial" w:cs="Arial"/>
        </w:rPr>
        <w:t>, došlo k úp</w:t>
      </w:r>
      <w:r w:rsidR="000544EB">
        <w:rPr>
          <w:rFonts w:ascii="Arial" w:hAnsi="Arial" w:cs="Arial"/>
        </w:rPr>
        <w:t>ravě organizační struktury IOP.</w:t>
      </w:r>
    </w:p>
    <w:p w:rsidR="00FA0EF6" w:rsidRPr="00FA0EF6" w:rsidRDefault="00FA0EF6" w:rsidP="00FA0EF6">
      <w:pPr>
        <w:spacing w:after="120" w:line="312" w:lineRule="auto"/>
        <w:jc w:val="both"/>
        <w:rPr>
          <w:rFonts w:ascii="Arial" w:hAnsi="Arial" w:cs="Arial"/>
        </w:rPr>
      </w:pPr>
      <w:r w:rsidRPr="00FA0EF6">
        <w:rPr>
          <w:rFonts w:ascii="Arial" w:hAnsi="Arial" w:cs="Arial"/>
        </w:rPr>
        <w:t>Změna implementace se týká i textu Programového dokumentu IOP, ale jedná se o změnu nepodstatné povahy, proto ji ŘO IOP navrhuje s podstatnými změnami.</w:t>
      </w:r>
    </w:p>
    <w:p w:rsidR="006F2E2F" w:rsidRDefault="006F2E2F">
      <w:pPr>
        <w:rPr>
          <w:rFonts w:ascii="Arial" w:hAnsi="Arial" w:cs="Arial"/>
          <w:b/>
          <w:i/>
        </w:rPr>
      </w:pPr>
      <w:r>
        <w:rPr>
          <w:rFonts w:ascii="Arial" w:hAnsi="Arial" w:cs="Arial"/>
          <w:b/>
          <w:i/>
        </w:rPr>
        <w:br w:type="page"/>
      </w:r>
    </w:p>
    <w:p w:rsidR="00536305" w:rsidRDefault="00536305">
      <w:pPr>
        <w:rPr>
          <w:rFonts w:ascii="Arial" w:hAnsi="Arial" w:cs="Arial"/>
          <w:b/>
          <w:i/>
        </w:rPr>
      </w:pPr>
    </w:p>
    <w:p w:rsidR="002A4309" w:rsidRPr="00205CC3" w:rsidRDefault="002A4309" w:rsidP="002A4309">
      <w:pPr>
        <w:jc w:val="center"/>
        <w:rPr>
          <w:b/>
          <w:sz w:val="28"/>
        </w:rPr>
      </w:pPr>
      <w:r w:rsidRPr="00205CC3">
        <w:rPr>
          <w:b/>
          <w:sz w:val="28"/>
        </w:rPr>
        <w:t xml:space="preserve">Příloha č. 1 </w:t>
      </w:r>
      <w:r w:rsidR="00C752C5">
        <w:rPr>
          <w:b/>
          <w:sz w:val="28"/>
        </w:rPr>
        <w:t>–</w:t>
      </w:r>
      <w:r w:rsidRPr="00205CC3">
        <w:rPr>
          <w:b/>
          <w:sz w:val="28"/>
        </w:rPr>
        <w:t xml:space="preserve"> </w:t>
      </w:r>
      <w:r w:rsidR="00C752C5">
        <w:rPr>
          <w:b/>
          <w:sz w:val="28"/>
        </w:rPr>
        <w:t>Předpokládaný h</w:t>
      </w:r>
      <w:r w:rsidRPr="00205CC3">
        <w:rPr>
          <w:b/>
          <w:sz w:val="28"/>
        </w:rPr>
        <w:t xml:space="preserve">armonogram změn Programového dokumentu IOP </w:t>
      </w:r>
      <w:r>
        <w:rPr>
          <w:b/>
          <w:sz w:val="28"/>
        </w:rPr>
        <w:t>– 2014</w:t>
      </w:r>
      <w:r w:rsidR="000520D1">
        <w:rPr>
          <w:b/>
          <w:sz w:val="28"/>
        </w:rPr>
        <w:t>, ŘO IOP harmonogram upřesní po obdržení přesné částky ztráty alokace</w:t>
      </w:r>
    </w:p>
    <w:tbl>
      <w:tblPr>
        <w:tblStyle w:val="Mkatabulky"/>
        <w:tblW w:w="0" w:type="auto"/>
        <w:tblLook w:val="04A0"/>
      </w:tblPr>
      <w:tblGrid>
        <w:gridCol w:w="1242"/>
        <w:gridCol w:w="6237"/>
        <w:gridCol w:w="1733"/>
      </w:tblGrid>
      <w:tr w:rsidR="00D81A7A" w:rsidRPr="004119B2" w:rsidTr="00D6726D">
        <w:trPr>
          <w:trHeight w:val="506"/>
        </w:trPr>
        <w:tc>
          <w:tcPr>
            <w:tcW w:w="1242" w:type="dxa"/>
            <w:tcBorders>
              <w:bottom w:val="double" w:sz="4" w:space="0" w:color="auto"/>
            </w:tcBorders>
            <w:shd w:val="clear" w:color="auto" w:fill="C6D9F1" w:themeFill="text2" w:themeFillTint="33"/>
            <w:vAlign w:val="center"/>
          </w:tcPr>
          <w:p w:rsidR="00D81A7A" w:rsidRPr="004119B2" w:rsidRDefault="00D81A7A" w:rsidP="00F32482">
            <w:pPr>
              <w:spacing w:beforeLines="40" w:afterLines="40"/>
              <w:jc w:val="center"/>
              <w:rPr>
                <w:rFonts w:cstheme="minorHAnsi"/>
                <w:b/>
              </w:rPr>
            </w:pPr>
            <w:r w:rsidRPr="004119B2">
              <w:rPr>
                <w:rFonts w:cstheme="minorHAnsi"/>
                <w:b/>
              </w:rPr>
              <w:t>Pořadí</w:t>
            </w:r>
          </w:p>
        </w:tc>
        <w:tc>
          <w:tcPr>
            <w:tcW w:w="6237" w:type="dxa"/>
            <w:tcBorders>
              <w:bottom w:val="double" w:sz="4" w:space="0" w:color="auto"/>
            </w:tcBorders>
            <w:shd w:val="clear" w:color="auto" w:fill="C6D9F1" w:themeFill="text2" w:themeFillTint="33"/>
            <w:vAlign w:val="center"/>
          </w:tcPr>
          <w:p w:rsidR="00D81A7A" w:rsidRPr="004119B2" w:rsidRDefault="00D81A7A" w:rsidP="00F32482">
            <w:pPr>
              <w:spacing w:beforeLines="40" w:afterLines="40"/>
              <w:jc w:val="center"/>
              <w:rPr>
                <w:rFonts w:cstheme="minorHAnsi"/>
                <w:b/>
              </w:rPr>
            </w:pPr>
            <w:r w:rsidRPr="004119B2">
              <w:rPr>
                <w:rFonts w:cstheme="minorHAnsi"/>
                <w:b/>
              </w:rPr>
              <w:t>Činnost</w:t>
            </w:r>
          </w:p>
        </w:tc>
        <w:tc>
          <w:tcPr>
            <w:tcW w:w="1733" w:type="dxa"/>
            <w:tcBorders>
              <w:bottom w:val="double" w:sz="4" w:space="0" w:color="auto"/>
            </w:tcBorders>
            <w:shd w:val="clear" w:color="auto" w:fill="C6D9F1" w:themeFill="text2" w:themeFillTint="33"/>
            <w:vAlign w:val="center"/>
          </w:tcPr>
          <w:p w:rsidR="00D81A7A" w:rsidRPr="004119B2" w:rsidRDefault="00D81A7A" w:rsidP="00F32482">
            <w:pPr>
              <w:spacing w:beforeLines="40" w:afterLines="40"/>
              <w:jc w:val="center"/>
              <w:rPr>
                <w:rFonts w:cstheme="minorHAnsi"/>
                <w:b/>
              </w:rPr>
            </w:pPr>
            <w:r w:rsidRPr="004119B2">
              <w:rPr>
                <w:rFonts w:cstheme="minorHAnsi"/>
                <w:b/>
              </w:rPr>
              <w:t>Termín</w:t>
            </w:r>
          </w:p>
        </w:tc>
      </w:tr>
      <w:tr w:rsidR="00D81A7A" w:rsidRPr="004119B2" w:rsidTr="00D6726D">
        <w:tc>
          <w:tcPr>
            <w:tcW w:w="1242" w:type="dxa"/>
            <w:tcBorders>
              <w:top w:val="double" w:sz="4" w:space="0" w:color="auto"/>
            </w:tcBorders>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tcBorders>
              <w:top w:val="double" w:sz="4" w:space="0" w:color="auto"/>
            </w:tcBorders>
            <w:vAlign w:val="center"/>
          </w:tcPr>
          <w:p w:rsidR="00D81A7A" w:rsidRPr="00441F0E" w:rsidRDefault="00D81A7A" w:rsidP="00F32482">
            <w:pPr>
              <w:spacing w:beforeLines="40" w:afterLines="40"/>
              <w:rPr>
                <w:rFonts w:ascii="Arial" w:hAnsi="Arial" w:cs="Arial"/>
              </w:rPr>
            </w:pPr>
            <w:r w:rsidRPr="00441F0E">
              <w:rPr>
                <w:rFonts w:ascii="Arial" w:hAnsi="Arial" w:cs="Arial"/>
              </w:rPr>
              <w:t>Zaslání podkladů pro MoV IOP</w:t>
            </w:r>
          </w:p>
        </w:tc>
        <w:tc>
          <w:tcPr>
            <w:tcW w:w="1733" w:type="dxa"/>
            <w:tcBorders>
              <w:top w:val="double" w:sz="4" w:space="0" w:color="auto"/>
            </w:tcBorders>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20. 05. 2014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Zadání/objednávka na „Zpracování oznámení dle zákona číslo 100/2001 Sb., ke změnám IOP“</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21. 05. 2014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Prezentace návrhu změn na zasedání MoV IOP</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03. 06. 2014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Jednání MoV IOP – schválení návrhu revize PD IOP</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03. 06. 2014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 xml:space="preserve">Rozeslání oznámení dle zákona číslo 100/2001 Sb., ke změnám IOP – zahájení </w:t>
            </w:r>
            <w:proofErr w:type="spellStart"/>
            <w:r w:rsidRPr="00441F0E">
              <w:rPr>
                <w:rFonts w:ascii="Arial" w:hAnsi="Arial" w:cs="Arial"/>
              </w:rPr>
              <w:t>screeningu</w:t>
            </w:r>
            <w:proofErr w:type="spellEnd"/>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04. 06. 2014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 xml:space="preserve">Vypracování </w:t>
            </w:r>
            <w:r w:rsidR="000520D1">
              <w:rPr>
                <w:rFonts w:ascii="Arial" w:hAnsi="Arial" w:cs="Arial"/>
              </w:rPr>
              <w:t>revi</w:t>
            </w:r>
            <w:r w:rsidRPr="00441F0E">
              <w:rPr>
                <w:rFonts w:ascii="Arial" w:hAnsi="Arial" w:cs="Arial"/>
              </w:rPr>
              <w:t xml:space="preserve">ze PD IOP </w:t>
            </w:r>
            <w:r w:rsidR="000520D1">
              <w:rPr>
                <w:rFonts w:ascii="Arial" w:hAnsi="Arial" w:cs="Arial"/>
              </w:rPr>
              <w:t>po</w:t>
            </w:r>
            <w:r w:rsidRPr="00441F0E">
              <w:rPr>
                <w:rFonts w:ascii="Arial" w:hAnsi="Arial" w:cs="Arial"/>
              </w:rPr>
              <w:t>dle schválených změn</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09. 06. 2014</w:t>
            </w:r>
          </w:p>
        </w:tc>
      </w:tr>
      <w:tr w:rsidR="00D81A7A" w:rsidRPr="004119B2" w:rsidTr="00D6726D">
        <w:trPr>
          <w:trHeight w:val="169"/>
        </w:trPr>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Zpracování Návrhů na revizi podle tabulky číslo 2 MP pro revize OP se zahrnutými požadavky ŘO IOP, NOK a MoV</w:t>
            </w:r>
          </w:p>
        </w:tc>
        <w:tc>
          <w:tcPr>
            <w:tcW w:w="1733" w:type="dxa"/>
            <w:vAlign w:val="center"/>
          </w:tcPr>
          <w:p w:rsidR="00D81A7A" w:rsidRPr="00441F0E" w:rsidRDefault="00D81A7A" w:rsidP="00F32482">
            <w:pPr>
              <w:spacing w:beforeLines="40" w:afterLines="40"/>
              <w:jc w:val="center"/>
              <w:rPr>
                <w:rFonts w:ascii="Arial" w:hAnsi="Arial" w:cs="Arial"/>
              </w:rPr>
            </w:pPr>
            <w:bookmarkStart w:id="0" w:name="_GoBack"/>
            <w:bookmarkEnd w:id="0"/>
            <w:r w:rsidRPr="00441F0E">
              <w:rPr>
                <w:rFonts w:ascii="Arial" w:hAnsi="Arial" w:cs="Arial"/>
              </w:rPr>
              <w:t>09. 06. 2014</w:t>
            </w:r>
          </w:p>
        </w:tc>
      </w:tr>
      <w:tr w:rsidR="00A639F8" w:rsidRPr="004119B2" w:rsidTr="00D6726D">
        <w:trPr>
          <w:trHeight w:val="169"/>
        </w:trPr>
        <w:tc>
          <w:tcPr>
            <w:tcW w:w="1242" w:type="dxa"/>
            <w:vAlign w:val="center"/>
          </w:tcPr>
          <w:p w:rsidR="00A639F8" w:rsidRPr="00441F0E" w:rsidRDefault="00A639F8" w:rsidP="00F32482">
            <w:pPr>
              <w:pStyle w:val="Odstavecseseznamem"/>
              <w:numPr>
                <w:ilvl w:val="0"/>
                <w:numId w:val="7"/>
              </w:numPr>
              <w:spacing w:beforeLines="40" w:afterLines="40"/>
              <w:jc w:val="center"/>
              <w:rPr>
                <w:rFonts w:ascii="Arial" w:hAnsi="Arial" w:cs="Arial"/>
              </w:rPr>
            </w:pPr>
          </w:p>
        </w:tc>
        <w:tc>
          <w:tcPr>
            <w:tcW w:w="6237" w:type="dxa"/>
            <w:vAlign w:val="center"/>
          </w:tcPr>
          <w:p w:rsidR="00A639F8" w:rsidRPr="00441F0E" w:rsidRDefault="00A639F8" w:rsidP="00F32482">
            <w:pPr>
              <w:spacing w:beforeLines="40" w:afterLines="40"/>
              <w:rPr>
                <w:rFonts w:ascii="Arial" w:hAnsi="Arial" w:cs="Arial"/>
              </w:rPr>
            </w:pPr>
            <w:r>
              <w:rPr>
                <w:rFonts w:ascii="Arial" w:hAnsi="Arial" w:cs="Arial"/>
              </w:rPr>
              <w:t>Písemná procedura ke schválení revize Programového dokumentu IOP</w:t>
            </w:r>
          </w:p>
        </w:tc>
        <w:tc>
          <w:tcPr>
            <w:tcW w:w="1733" w:type="dxa"/>
            <w:vAlign w:val="center"/>
          </w:tcPr>
          <w:p w:rsidR="00A639F8" w:rsidRPr="00441F0E" w:rsidRDefault="00A639F8" w:rsidP="00F32482">
            <w:pPr>
              <w:spacing w:beforeLines="40" w:afterLines="40"/>
              <w:jc w:val="center"/>
              <w:rPr>
                <w:rFonts w:ascii="Arial" w:hAnsi="Arial" w:cs="Arial"/>
              </w:rPr>
            </w:pPr>
            <w:r>
              <w:rPr>
                <w:rFonts w:ascii="Arial" w:hAnsi="Arial" w:cs="Arial"/>
              </w:rPr>
              <w:t>09. 06. 2014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 xml:space="preserve">Připomínky k návrhu </w:t>
            </w:r>
            <w:r w:rsidR="000520D1">
              <w:rPr>
                <w:rFonts w:ascii="Arial" w:hAnsi="Arial" w:cs="Arial"/>
              </w:rPr>
              <w:t xml:space="preserve">revize </w:t>
            </w:r>
            <w:r w:rsidRPr="00441F0E">
              <w:rPr>
                <w:rFonts w:ascii="Arial" w:hAnsi="Arial" w:cs="Arial"/>
              </w:rPr>
              <w:t>PD IOP</w:t>
            </w:r>
            <w:r w:rsidRPr="00441F0E">
              <w:rPr>
                <w:rStyle w:val="Znakapoznpodarou"/>
                <w:rFonts w:ascii="Arial" w:hAnsi="Arial" w:cs="Arial"/>
              </w:rPr>
              <w:footnoteReference w:id="1"/>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do 20.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 xml:space="preserve">Odeslání </w:t>
            </w:r>
            <w:r w:rsidR="000520D1">
              <w:rPr>
                <w:rFonts w:ascii="Arial" w:hAnsi="Arial" w:cs="Arial"/>
              </w:rPr>
              <w:t>reviz</w:t>
            </w:r>
            <w:r w:rsidRPr="00441F0E">
              <w:rPr>
                <w:rFonts w:ascii="Arial" w:hAnsi="Arial" w:cs="Arial"/>
              </w:rPr>
              <w:t>e PD a žádosti o vyjádření na MŽP</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20. 06. 2014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Stanovisko MŽP podle zákona (SEA)</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do 25.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Finální verze návrhů na revizi IOP podle tabulky číslo 2 MP pro revize OP</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25. 06. 2014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Průvodní dopis EK</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25. 06. 2014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Zpracování připomínek</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25. 06. 2014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Vložení požadavku na změnu PO IOP do MSC2007</w:t>
            </w:r>
            <w:r w:rsidRPr="00441F0E">
              <w:rPr>
                <w:rStyle w:val="Znakapoznpodarou"/>
                <w:rFonts w:ascii="Arial" w:hAnsi="Arial" w:cs="Arial"/>
              </w:rPr>
              <w:footnoteReference w:id="2"/>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do 5. 07.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Autorizace žádosti o revizi IOP v MSC2007</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do 5. 07. 2014</w:t>
            </w:r>
          </w:p>
        </w:tc>
      </w:tr>
      <w:tr w:rsidR="00D81A7A" w:rsidRPr="004119B2" w:rsidTr="00D6726D">
        <w:tc>
          <w:tcPr>
            <w:tcW w:w="1242" w:type="dxa"/>
            <w:vAlign w:val="center"/>
          </w:tcPr>
          <w:p w:rsidR="00D81A7A" w:rsidRPr="00441F0E" w:rsidRDefault="00D81A7A" w:rsidP="00F32482">
            <w:pPr>
              <w:pStyle w:val="Odstavecseseznamem"/>
              <w:numPr>
                <w:ilvl w:val="0"/>
                <w:numId w:val="7"/>
              </w:numPr>
              <w:spacing w:beforeLines="40" w:afterLines="40"/>
              <w:jc w:val="center"/>
              <w:rPr>
                <w:rFonts w:ascii="Arial" w:hAnsi="Arial" w:cs="Arial"/>
              </w:rPr>
            </w:pPr>
          </w:p>
        </w:tc>
        <w:tc>
          <w:tcPr>
            <w:tcW w:w="6237" w:type="dxa"/>
            <w:vAlign w:val="center"/>
          </w:tcPr>
          <w:p w:rsidR="00D81A7A" w:rsidRPr="00441F0E" w:rsidRDefault="00D81A7A" w:rsidP="00F32482">
            <w:pPr>
              <w:spacing w:beforeLines="40" w:afterLines="40"/>
              <w:rPr>
                <w:rFonts w:ascii="Arial" w:hAnsi="Arial" w:cs="Arial"/>
              </w:rPr>
            </w:pPr>
            <w:r w:rsidRPr="00441F0E">
              <w:rPr>
                <w:rFonts w:ascii="Arial" w:hAnsi="Arial" w:cs="Arial"/>
              </w:rPr>
              <w:t xml:space="preserve">Zaslání žádosti o revizi IOP do SFC2007 </w:t>
            </w:r>
          </w:p>
        </w:tc>
        <w:tc>
          <w:tcPr>
            <w:tcW w:w="1733" w:type="dxa"/>
            <w:vAlign w:val="center"/>
          </w:tcPr>
          <w:p w:rsidR="00D81A7A" w:rsidRPr="00441F0E" w:rsidRDefault="00D81A7A" w:rsidP="00F32482">
            <w:pPr>
              <w:spacing w:beforeLines="40" w:afterLines="40"/>
              <w:jc w:val="center"/>
              <w:rPr>
                <w:rFonts w:ascii="Arial" w:hAnsi="Arial" w:cs="Arial"/>
              </w:rPr>
            </w:pPr>
            <w:r w:rsidRPr="00441F0E">
              <w:rPr>
                <w:rFonts w:ascii="Arial" w:hAnsi="Arial" w:cs="Arial"/>
              </w:rPr>
              <w:t xml:space="preserve">do </w:t>
            </w:r>
            <w:r w:rsidR="000520D1">
              <w:rPr>
                <w:rFonts w:ascii="Arial" w:hAnsi="Arial" w:cs="Arial"/>
              </w:rPr>
              <w:t>29</w:t>
            </w:r>
            <w:r w:rsidRPr="00441F0E">
              <w:rPr>
                <w:rFonts w:ascii="Arial" w:hAnsi="Arial" w:cs="Arial"/>
              </w:rPr>
              <w:t>. 0</w:t>
            </w:r>
            <w:r w:rsidR="000520D1">
              <w:rPr>
                <w:rFonts w:ascii="Arial" w:hAnsi="Arial" w:cs="Arial"/>
              </w:rPr>
              <w:t>8</w:t>
            </w:r>
            <w:r w:rsidRPr="00441F0E">
              <w:rPr>
                <w:rFonts w:ascii="Arial" w:hAnsi="Arial" w:cs="Arial"/>
              </w:rPr>
              <w:t>. 2014</w:t>
            </w:r>
          </w:p>
        </w:tc>
      </w:tr>
    </w:tbl>
    <w:p w:rsidR="0096712A" w:rsidRDefault="0096712A">
      <w:pPr>
        <w:rPr>
          <w:rFonts w:ascii="Arial" w:hAnsi="Arial" w:cs="Arial"/>
          <w:b/>
          <w:i/>
        </w:rPr>
      </w:pPr>
      <w:r>
        <w:rPr>
          <w:rFonts w:ascii="Arial" w:hAnsi="Arial" w:cs="Arial"/>
          <w:b/>
          <w:i/>
        </w:rPr>
        <w:br w:type="page"/>
      </w:r>
    </w:p>
    <w:p w:rsidR="0096712A" w:rsidRDefault="0096712A" w:rsidP="002A4309">
      <w:pPr>
        <w:spacing w:after="120" w:line="312" w:lineRule="auto"/>
        <w:jc w:val="both"/>
        <w:rPr>
          <w:b/>
          <w:sz w:val="28"/>
        </w:rPr>
      </w:pPr>
      <w:r>
        <w:rPr>
          <w:b/>
          <w:sz w:val="28"/>
        </w:rPr>
        <w:lastRenderedPageBreak/>
        <w:t>Příloha č. 2</w:t>
      </w:r>
      <w:r w:rsidRPr="00205CC3">
        <w:rPr>
          <w:b/>
          <w:sz w:val="28"/>
        </w:rPr>
        <w:t xml:space="preserve"> </w:t>
      </w:r>
      <w:r w:rsidR="00230FB7">
        <w:rPr>
          <w:b/>
          <w:sz w:val="28"/>
        </w:rPr>
        <w:t>– Technický dokument k </w:t>
      </w:r>
      <w:r w:rsidR="005F7BEE">
        <w:rPr>
          <w:b/>
          <w:sz w:val="28"/>
        </w:rPr>
        <w:t xml:space="preserve">uplatnění výjimek dle č. 95 </w:t>
      </w:r>
    </w:p>
    <w:p w:rsidR="00F67338" w:rsidRDefault="00F67338" w:rsidP="00F67338">
      <w:pPr>
        <w:pStyle w:val="Odstavecseseznamem"/>
        <w:numPr>
          <w:ilvl w:val="0"/>
          <w:numId w:val="8"/>
        </w:numPr>
        <w:spacing w:after="120" w:line="312" w:lineRule="auto"/>
        <w:jc w:val="both"/>
        <w:rPr>
          <w:rFonts w:ascii="Arial" w:hAnsi="Arial" w:cs="Arial"/>
        </w:rPr>
      </w:pPr>
      <w:r>
        <w:rPr>
          <w:rFonts w:ascii="Arial" w:hAnsi="Arial" w:cs="Arial"/>
        </w:rPr>
        <w:t>Podmínky pro aplikaci čl. 95</w:t>
      </w:r>
    </w:p>
    <w:p w:rsidR="00F67338" w:rsidRDefault="00F67338" w:rsidP="00F67338">
      <w:pPr>
        <w:spacing w:after="120" w:line="312" w:lineRule="auto"/>
        <w:jc w:val="both"/>
        <w:rPr>
          <w:rFonts w:ascii="Arial" w:hAnsi="Arial" w:cs="Arial"/>
        </w:rPr>
      </w:pPr>
      <w:r>
        <w:rPr>
          <w:rFonts w:ascii="Arial" w:hAnsi="Arial" w:cs="Arial"/>
        </w:rPr>
        <w:t>Zásadním aspektem pro aplikaci čl. 95 je splnění tří podmínek, kdy musí členský stát:</w:t>
      </w:r>
    </w:p>
    <w:p w:rsidR="00F67338" w:rsidRDefault="00764651" w:rsidP="00F67338">
      <w:pPr>
        <w:pStyle w:val="Odstavecseseznamem"/>
        <w:numPr>
          <w:ilvl w:val="0"/>
          <w:numId w:val="9"/>
        </w:numPr>
        <w:spacing w:after="120" w:line="312" w:lineRule="auto"/>
        <w:jc w:val="both"/>
        <w:rPr>
          <w:rFonts w:ascii="Arial" w:hAnsi="Arial" w:cs="Arial"/>
        </w:rPr>
      </w:pPr>
      <w:r>
        <w:rPr>
          <w:rFonts w:ascii="Arial" w:hAnsi="Arial" w:cs="Arial"/>
        </w:rPr>
        <w:t>p</w:t>
      </w:r>
      <w:r w:rsidR="00F67338">
        <w:rPr>
          <w:rFonts w:ascii="Arial" w:hAnsi="Arial" w:cs="Arial"/>
        </w:rPr>
        <w:t>rokázat, že soudní řízení nebo administrativní řízení se týká konkrétního projektu</w:t>
      </w:r>
    </w:p>
    <w:p w:rsidR="00F67338" w:rsidRDefault="00F67338" w:rsidP="00F67338">
      <w:pPr>
        <w:pStyle w:val="Odstavecseseznamem"/>
        <w:numPr>
          <w:ilvl w:val="1"/>
          <w:numId w:val="9"/>
        </w:numPr>
        <w:spacing w:after="120" w:line="312" w:lineRule="auto"/>
        <w:jc w:val="both"/>
        <w:rPr>
          <w:rFonts w:ascii="Arial" w:hAnsi="Arial" w:cs="Arial"/>
        </w:rPr>
      </w:pPr>
      <w:r>
        <w:rPr>
          <w:rFonts w:ascii="Arial" w:hAnsi="Arial" w:cs="Arial"/>
        </w:rPr>
        <w:t>Řídící orgán předloží dokumentaci prokazující, že existuje soudní nebo administrativní řízení týkající se daného projektu</w:t>
      </w:r>
      <w:r w:rsidR="000520D1">
        <w:rPr>
          <w:rFonts w:ascii="Arial" w:hAnsi="Arial" w:cs="Arial"/>
        </w:rPr>
        <w:t>;</w:t>
      </w:r>
    </w:p>
    <w:p w:rsidR="00F67338" w:rsidRDefault="00764651" w:rsidP="00F67338">
      <w:pPr>
        <w:pStyle w:val="Odstavecseseznamem"/>
        <w:numPr>
          <w:ilvl w:val="0"/>
          <w:numId w:val="9"/>
        </w:numPr>
        <w:spacing w:after="120" w:line="312" w:lineRule="auto"/>
        <w:jc w:val="both"/>
        <w:rPr>
          <w:rFonts w:ascii="Arial" w:hAnsi="Arial" w:cs="Arial"/>
        </w:rPr>
      </w:pPr>
      <w:r>
        <w:rPr>
          <w:rFonts w:ascii="Arial" w:hAnsi="Arial" w:cs="Arial"/>
        </w:rPr>
        <w:t>p</w:t>
      </w:r>
      <w:r w:rsidR="00F67338">
        <w:rPr>
          <w:rFonts w:ascii="Arial" w:hAnsi="Arial" w:cs="Arial"/>
        </w:rPr>
        <w:t>rokázat, že soudní řízení nebo administrativní řízení má odkladný účinek dle národní legislativy nebo soudního systému</w:t>
      </w:r>
    </w:p>
    <w:p w:rsidR="00F67338" w:rsidRDefault="00F67338" w:rsidP="00F67338">
      <w:pPr>
        <w:pStyle w:val="Odstavecseseznamem"/>
        <w:numPr>
          <w:ilvl w:val="1"/>
          <w:numId w:val="9"/>
        </w:numPr>
        <w:spacing w:after="120" w:line="312" w:lineRule="auto"/>
        <w:jc w:val="both"/>
        <w:rPr>
          <w:rFonts w:ascii="Arial" w:hAnsi="Arial" w:cs="Arial"/>
        </w:rPr>
      </w:pPr>
      <w:r>
        <w:rPr>
          <w:rFonts w:ascii="Arial" w:hAnsi="Arial" w:cs="Arial"/>
        </w:rPr>
        <w:t xml:space="preserve">Řídící orgán prokáže, že implementace projektu nebo jeho části (kontrakt) byla soudní/administrativní cestou pozastavena; nemohlo tak dojít k dokončení výběrového řízení nebo nemohlo dojít k podepsání </w:t>
      </w:r>
      <w:r w:rsidR="007011F5">
        <w:rPr>
          <w:rFonts w:ascii="Arial" w:hAnsi="Arial" w:cs="Arial"/>
        </w:rPr>
        <w:t>rozhodnutí o </w:t>
      </w:r>
      <w:r>
        <w:rPr>
          <w:rFonts w:ascii="Arial" w:hAnsi="Arial" w:cs="Arial"/>
        </w:rPr>
        <w:t>udělení dotace</w:t>
      </w:r>
    </w:p>
    <w:p w:rsidR="00F67338" w:rsidRDefault="00764651" w:rsidP="00F67338">
      <w:pPr>
        <w:pStyle w:val="Odstavecseseznamem"/>
        <w:numPr>
          <w:ilvl w:val="1"/>
          <w:numId w:val="9"/>
        </w:numPr>
        <w:spacing w:after="120" w:line="312" w:lineRule="auto"/>
        <w:jc w:val="both"/>
        <w:rPr>
          <w:rFonts w:ascii="Arial" w:hAnsi="Arial" w:cs="Arial"/>
        </w:rPr>
      </w:pPr>
      <w:r>
        <w:rPr>
          <w:rFonts w:ascii="Arial" w:hAnsi="Arial" w:cs="Arial"/>
        </w:rPr>
        <w:t>p</w:t>
      </w:r>
      <w:r w:rsidR="00F67338">
        <w:rPr>
          <w:rFonts w:ascii="Arial" w:hAnsi="Arial" w:cs="Arial"/>
        </w:rPr>
        <w:t>okud se jedná o</w:t>
      </w:r>
      <w:r w:rsidR="007111DC">
        <w:rPr>
          <w:rFonts w:ascii="Arial" w:hAnsi="Arial" w:cs="Arial"/>
        </w:rPr>
        <w:t xml:space="preserve"> odvolání, které nemá odkladný ú</w:t>
      </w:r>
      <w:r w:rsidR="00F67338">
        <w:rPr>
          <w:rFonts w:ascii="Arial" w:hAnsi="Arial" w:cs="Arial"/>
        </w:rPr>
        <w:t>činek, ale kde řídící orgán sám rozhodl, že není možné pokračovat, není to dostatečné; interní spory nebo zdržení v souvislosti s implementačními problémy se neberou v</w:t>
      </w:r>
      <w:r w:rsidR="000520D1">
        <w:rPr>
          <w:rFonts w:ascii="Arial" w:hAnsi="Arial" w:cs="Arial"/>
        </w:rPr>
        <w:t> </w:t>
      </w:r>
      <w:r w:rsidR="00F67338">
        <w:rPr>
          <w:rFonts w:ascii="Arial" w:hAnsi="Arial" w:cs="Arial"/>
        </w:rPr>
        <w:t>úvahu</w:t>
      </w:r>
      <w:r w:rsidR="000520D1">
        <w:rPr>
          <w:rFonts w:ascii="Arial" w:hAnsi="Arial" w:cs="Arial"/>
        </w:rPr>
        <w:t>;</w:t>
      </w:r>
    </w:p>
    <w:p w:rsidR="00F67338" w:rsidRDefault="000B749F" w:rsidP="00F67338">
      <w:pPr>
        <w:pStyle w:val="Odstavecseseznamem"/>
        <w:numPr>
          <w:ilvl w:val="0"/>
          <w:numId w:val="9"/>
        </w:numPr>
        <w:spacing w:after="120" w:line="312" w:lineRule="auto"/>
        <w:jc w:val="both"/>
        <w:rPr>
          <w:rFonts w:ascii="Arial" w:hAnsi="Arial" w:cs="Arial"/>
        </w:rPr>
      </w:pPr>
      <w:r>
        <w:rPr>
          <w:rFonts w:ascii="Arial" w:hAnsi="Arial" w:cs="Arial"/>
        </w:rPr>
        <w:t>p</w:t>
      </w:r>
      <w:r w:rsidR="00BE6878">
        <w:rPr>
          <w:rFonts w:ascii="Arial" w:hAnsi="Arial" w:cs="Arial"/>
        </w:rPr>
        <w:t xml:space="preserve">rokázat, že certifikační orgán nemůže/nemohl vykázat výdaje Komise (a zdůvodnit částku, o kterou bude snížen </w:t>
      </w:r>
      <w:proofErr w:type="spellStart"/>
      <w:r w:rsidR="00BE6878">
        <w:rPr>
          <w:rFonts w:ascii="Arial" w:hAnsi="Arial" w:cs="Arial"/>
        </w:rPr>
        <w:t>dekomitment</w:t>
      </w:r>
      <w:proofErr w:type="spellEnd"/>
      <w:r w:rsidR="00BE6878">
        <w:rPr>
          <w:rFonts w:ascii="Arial" w:hAnsi="Arial" w:cs="Arial"/>
        </w:rPr>
        <w:t>)</w:t>
      </w:r>
    </w:p>
    <w:p w:rsidR="00BE6878" w:rsidRDefault="000B749F" w:rsidP="00BE6878">
      <w:pPr>
        <w:pStyle w:val="Odstavecseseznamem"/>
        <w:numPr>
          <w:ilvl w:val="1"/>
          <w:numId w:val="9"/>
        </w:numPr>
        <w:spacing w:after="120" w:line="312" w:lineRule="auto"/>
        <w:jc w:val="both"/>
        <w:rPr>
          <w:rFonts w:ascii="Arial" w:hAnsi="Arial" w:cs="Arial"/>
        </w:rPr>
      </w:pPr>
      <w:r>
        <w:rPr>
          <w:rFonts w:ascii="Arial" w:hAnsi="Arial" w:cs="Arial"/>
        </w:rPr>
        <w:t>a</w:t>
      </w:r>
      <w:r w:rsidR="00292395">
        <w:rPr>
          <w:rFonts w:ascii="Arial" w:hAnsi="Arial" w:cs="Arial"/>
        </w:rPr>
        <w:t>dministrativní/soudní řízení musí mít dopad na schopnost národních orgánů vykazovat výdaje Komisi. Pouze částky, které nemohou být vykázány Komisi z důvodů pozastavení, je možné zohlednit jako částky nevykázané certifikačním orgánem Komisi. Pokud je ovlivněna pouze část projektu, např. kontakt v projektu je předmětem pozastavení, pouze hodnota tohoto kontraktu může být považována jako ta, která nemohla být vykázána Komisi</w:t>
      </w:r>
      <w:r w:rsidR="000520D1">
        <w:rPr>
          <w:rFonts w:ascii="Arial" w:hAnsi="Arial" w:cs="Arial"/>
        </w:rPr>
        <w:t>;</w:t>
      </w:r>
    </w:p>
    <w:p w:rsidR="007F5DB3" w:rsidRDefault="000B749F" w:rsidP="007F5DB3">
      <w:pPr>
        <w:pStyle w:val="Odstavecseseznamem"/>
        <w:numPr>
          <w:ilvl w:val="1"/>
          <w:numId w:val="9"/>
        </w:numPr>
        <w:spacing w:after="120" w:line="312" w:lineRule="auto"/>
        <w:jc w:val="both"/>
        <w:rPr>
          <w:rFonts w:ascii="Arial" w:hAnsi="Arial" w:cs="Arial"/>
        </w:rPr>
      </w:pPr>
      <w:r>
        <w:rPr>
          <w:rFonts w:ascii="Arial" w:hAnsi="Arial" w:cs="Arial"/>
        </w:rPr>
        <w:t>n</w:t>
      </w:r>
      <w:r w:rsidR="007F5DB3">
        <w:rPr>
          <w:rFonts w:ascii="Arial" w:hAnsi="Arial" w:cs="Arial"/>
        </w:rPr>
        <w:t>avíc musí členský stát připravit řádné posouzení částek, jež nemohly být deklarovány EK; např. u projektu, jehož realizace trvá 5 let a je přerušen na 12 měsíců, nebude korektní počítat celou částku.</w:t>
      </w:r>
    </w:p>
    <w:p w:rsidR="007F5DB3" w:rsidRDefault="007F5DB3" w:rsidP="007F5DB3">
      <w:pPr>
        <w:spacing w:after="120" w:line="312" w:lineRule="auto"/>
        <w:jc w:val="both"/>
        <w:rPr>
          <w:rFonts w:ascii="Arial" w:hAnsi="Arial" w:cs="Arial"/>
        </w:rPr>
      </w:pPr>
      <w:r>
        <w:rPr>
          <w:rFonts w:ascii="Arial" w:hAnsi="Arial" w:cs="Arial"/>
        </w:rPr>
        <w:t>EK by přivítala, kdyby česká strana vysvětlila, na základě jakého právního předpisu (zákon nebo vnitřní předpisy ÚOHS) má rozhodnutí nebo předběžný krok ÚOHS odklad</w:t>
      </w:r>
      <w:r w:rsidR="008466AA">
        <w:rPr>
          <w:rFonts w:ascii="Arial" w:hAnsi="Arial" w:cs="Arial"/>
        </w:rPr>
        <w:t>ný účinek a </w:t>
      </w:r>
      <w:r>
        <w:rPr>
          <w:rFonts w:ascii="Arial" w:hAnsi="Arial" w:cs="Arial"/>
        </w:rPr>
        <w:t>doporučuje dodat rozhodnutí ÚOHS. V této souvislosti Komise neformálně naznačuje, že zdůvodnění odkladného účinku posuzování odvolání na straně ÚOHS může být sporné s ohl</w:t>
      </w:r>
      <w:r w:rsidR="003932C9">
        <w:rPr>
          <w:rFonts w:ascii="Arial" w:hAnsi="Arial" w:cs="Arial"/>
        </w:rPr>
        <w:t>e</w:t>
      </w:r>
      <w:r>
        <w:rPr>
          <w:rFonts w:ascii="Arial" w:hAnsi="Arial" w:cs="Arial"/>
        </w:rPr>
        <w:t xml:space="preserve">dem na skutečnosti, že jde o standardní odvolací proceduru a české orgány si jsou dobře vědomi, že rozhodování </w:t>
      </w:r>
      <w:r w:rsidR="002205A9">
        <w:rPr>
          <w:rFonts w:ascii="Arial" w:hAnsi="Arial" w:cs="Arial"/>
        </w:rPr>
        <w:t>ÚOHS trvá delší dobu. Nicméně ty</w:t>
      </w:r>
      <w:r>
        <w:rPr>
          <w:rFonts w:ascii="Arial" w:hAnsi="Arial" w:cs="Arial"/>
        </w:rPr>
        <w:t>to poc</w:t>
      </w:r>
      <w:r w:rsidR="002205A9">
        <w:rPr>
          <w:rFonts w:ascii="Arial" w:hAnsi="Arial" w:cs="Arial"/>
        </w:rPr>
        <w:t>hybnosti by dle názoru SZ neměly</w:t>
      </w:r>
      <w:r>
        <w:rPr>
          <w:rFonts w:ascii="Arial" w:hAnsi="Arial" w:cs="Arial"/>
        </w:rPr>
        <w:t xml:space="preserve"> omezovat české orgány při př</w:t>
      </w:r>
      <w:r w:rsidR="002205A9">
        <w:rPr>
          <w:rFonts w:ascii="Arial" w:hAnsi="Arial" w:cs="Arial"/>
        </w:rPr>
        <w:t>edkládání doplněné argumentace.</w:t>
      </w:r>
    </w:p>
    <w:p w:rsidR="007F5DB3" w:rsidRDefault="003932C9" w:rsidP="003932C9">
      <w:pPr>
        <w:pStyle w:val="Odstavecseseznamem"/>
        <w:numPr>
          <w:ilvl w:val="0"/>
          <w:numId w:val="8"/>
        </w:numPr>
        <w:spacing w:after="120" w:line="312" w:lineRule="auto"/>
        <w:jc w:val="both"/>
        <w:rPr>
          <w:rFonts w:ascii="Arial" w:hAnsi="Arial" w:cs="Arial"/>
        </w:rPr>
      </w:pPr>
      <w:r>
        <w:rPr>
          <w:rFonts w:ascii="Arial" w:hAnsi="Arial" w:cs="Arial"/>
        </w:rPr>
        <w:t>Metodika výpočtu</w:t>
      </w:r>
    </w:p>
    <w:p w:rsidR="003932C9" w:rsidRPr="009E4DB8" w:rsidRDefault="003932C9" w:rsidP="009E4DB8">
      <w:pPr>
        <w:spacing w:after="120" w:line="312" w:lineRule="auto"/>
        <w:jc w:val="both"/>
        <w:rPr>
          <w:rFonts w:ascii="Arial" w:hAnsi="Arial" w:cs="Arial"/>
        </w:rPr>
      </w:pPr>
      <w:r w:rsidRPr="009E4DB8">
        <w:rPr>
          <w:rFonts w:ascii="Arial" w:hAnsi="Arial" w:cs="Arial"/>
        </w:rPr>
        <w:t xml:space="preserve">Výpočet pro </w:t>
      </w:r>
      <w:proofErr w:type="spellStart"/>
      <w:r w:rsidRPr="009E4DB8">
        <w:rPr>
          <w:rFonts w:ascii="Arial" w:hAnsi="Arial" w:cs="Arial"/>
        </w:rPr>
        <w:t>rata</w:t>
      </w:r>
      <w:proofErr w:type="spellEnd"/>
    </w:p>
    <w:p w:rsidR="003932C9" w:rsidRDefault="002205A9" w:rsidP="009E4DB8">
      <w:pPr>
        <w:pStyle w:val="Odstavecseseznamem"/>
        <w:numPr>
          <w:ilvl w:val="0"/>
          <w:numId w:val="4"/>
        </w:numPr>
        <w:spacing w:after="120" w:line="312" w:lineRule="auto"/>
        <w:jc w:val="both"/>
        <w:rPr>
          <w:rFonts w:ascii="Arial" w:hAnsi="Arial" w:cs="Arial"/>
        </w:rPr>
      </w:pPr>
      <w:r>
        <w:rPr>
          <w:rFonts w:ascii="Arial" w:hAnsi="Arial" w:cs="Arial"/>
        </w:rPr>
        <w:t>p</w:t>
      </w:r>
      <w:r w:rsidR="003932C9">
        <w:rPr>
          <w:rFonts w:ascii="Arial" w:hAnsi="Arial" w:cs="Arial"/>
        </w:rPr>
        <w:t xml:space="preserve">okud je </w:t>
      </w:r>
      <w:r w:rsidR="008A104A">
        <w:rPr>
          <w:rFonts w:ascii="Arial" w:hAnsi="Arial" w:cs="Arial"/>
        </w:rPr>
        <w:t>kontrakt</w:t>
      </w:r>
      <w:r w:rsidR="003932C9">
        <w:rPr>
          <w:rFonts w:ascii="Arial" w:hAnsi="Arial" w:cs="Arial"/>
        </w:rPr>
        <w:t xml:space="preserve"> víceletý, pak odpovídá částka, na kterou se vztahuje výjimka daná čl. 95, proporčně odhadované sumě celého kontraktu (pro </w:t>
      </w:r>
      <w:proofErr w:type="spellStart"/>
      <w:r w:rsidR="003932C9">
        <w:rPr>
          <w:rFonts w:ascii="Arial" w:hAnsi="Arial" w:cs="Arial"/>
        </w:rPr>
        <w:t>rata</w:t>
      </w:r>
      <w:proofErr w:type="spellEnd"/>
      <w:r w:rsidR="003932C9">
        <w:rPr>
          <w:rFonts w:ascii="Arial" w:hAnsi="Arial" w:cs="Arial"/>
        </w:rPr>
        <w:t xml:space="preserve"> výpočet),</w:t>
      </w:r>
    </w:p>
    <w:p w:rsidR="003932C9" w:rsidRDefault="002205A9" w:rsidP="009E4DB8">
      <w:pPr>
        <w:pStyle w:val="Odstavecseseznamem"/>
        <w:numPr>
          <w:ilvl w:val="0"/>
          <w:numId w:val="4"/>
        </w:numPr>
        <w:spacing w:after="120" w:line="312" w:lineRule="auto"/>
        <w:jc w:val="both"/>
        <w:rPr>
          <w:rFonts w:ascii="Arial" w:hAnsi="Arial" w:cs="Arial"/>
        </w:rPr>
      </w:pPr>
      <w:r>
        <w:rPr>
          <w:rFonts w:ascii="Arial" w:hAnsi="Arial" w:cs="Arial"/>
        </w:rPr>
        <w:lastRenderedPageBreak/>
        <w:t>p</w:t>
      </w:r>
      <w:r w:rsidR="003932C9">
        <w:rPr>
          <w:rFonts w:ascii="Arial" w:hAnsi="Arial" w:cs="Arial"/>
        </w:rPr>
        <w:t xml:space="preserve">okud je realizace </w:t>
      </w:r>
      <w:r w:rsidR="008A104A">
        <w:rPr>
          <w:rFonts w:ascii="Arial" w:hAnsi="Arial" w:cs="Arial"/>
        </w:rPr>
        <w:t>projektu</w:t>
      </w:r>
      <w:r w:rsidR="003932C9">
        <w:rPr>
          <w:rFonts w:ascii="Arial" w:hAnsi="Arial" w:cs="Arial"/>
        </w:rPr>
        <w:t xml:space="preserve"> pozastavena, mělo by být zřejmé, zda se uváděná částka týká jednoho </w:t>
      </w:r>
      <w:r w:rsidR="008A104A">
        <w:rPr>
          <w:rFonts w:ascii="Arial" w:hAnsi="Arial" w:cs="Arial"/>
        </w:rPr>
        <w:t>kontraktu</w:t>
      </w:r>
      <w:r w:rsidR="003932C9">
        <w:rPr>
          <w:rFonts w:ascii="Arial" w:hAnsi="Arial" w:cs="Arial"/>
        </w:rPr>
        <w:t xml:space="preserve">, několika </w:t>
      </w:r>
      <w:r w:rsidR="008A104A">
        <w:rPr>
          <w:rFonts w:ascii="Arial" w:hAnsi="Arial" w:cs="Arial"/>
        </w:rPr>
        <w:t>kontraktů</w:t>
      </w:r>
      <w:r w:rsidR="003932C9">
        <w:rPr>
          <w:rFonts w:ascii="Arial" w:hAnsi="Arial" w:cs="Arial"/>
        </w:rPr>
        <w:t xml:space="preserve">, </w:t>
      </w:r>
      <w:r w:rsidR="008A104A">
        <w:rPr>
          <w:rFonts w:ascii="Arial" w:hAnsi="Arial" w:cs="Arial"/>
        </w:rPr>
        <w:t>celkové</w:t>
      </w:r>
      <w:r w:rsidR="003932C9">
        <w:rPr>
          <w:rFonts w:ascii="Arial" w:hAnsi="Arial" w:cs="Arial"/>
        </w:rPr>
        <w:t xml:space="preserve"> částky dotčeného kontraktu nebo pro rada výpočtu (částka </w:t>
      </w:r>
      <w:r w:rsidR="008A104A">
        <w:rPr>
          <w:rFonts w:ascii="Arial" w:hAnsi="Arial" w:cs="Arial"/>
        </w:rPr>
        <w:t>celého</w:t>
      </w:r>
      <w:r w:rsidR="003932C9">
        <w:rPr>
          <w:rFonts w:ascii="Arial" w:hAnsi="Arial" w:cs="Arial"/>
        </w:rPr>
        <w:t xml:space="preserve"> kontraktu x délka pozastavení / celková délka kontraktu)</w:t>
      </w:r>
      <w:r w:rsidR="008A104A">
        <w:rPr>
          <w:rFonts w:ascii="Arial" w:hAnsi="Arial" w:cs="Arial"/>
        </w:rPr>
        <w:t>.</w:t>
      </w:r>
    </w:p>
    <w:p w:rsidR="003932C9" w:rsidRPr="009E4DB8" w:rsidRDefault="008A104A" w:rsidP="009E4DB8">
      <w:pPr>
        <w:spacing w:after="120" w:line="312" w:lineRule="auto"/>
        <w:jc w:val="both"/>
        <w:rPr>
          <w:rFonts w:ascii="Arial" w:hAnsi="Arial" w:cs="Arial"/>
        </w:rPr>
      </w:pPr>
      <w:r w:rsidRPr="009E4DB8">
        <w:rPr>
          <w:rFonts w:ascii="Arial" w:hAnsi="Arial" w:cs="Arial"/>
        </w:rPr>
        <w:t>Délka přerušení</w:t>
      </w:r>
    </w:p>
    <w:p w:rsidR="008A104A" w:rsidRDefault="00D3233F" w:rsidP="009E4DB8">
      <w:pPr>
        <w:pStyle w:val="Odstavecseseznamem"/>
        <w:numPr>
          <w:ilvl w:val="0"/>
          <w:numId w:val="4"/>
        </w:numPr>
        <w:spacing w:after="120" w:line="312" w:lineRule="auto"/>
        <w:jc w:val="both"/>
        <w:rPr>
          <w:rFonts w:ascii="Arial" w:hAnsi="Arial" w:cs="Arial"/>
        </w:rPr>
      </w:pPr>
      <w:r>
        <w:rPr>
          <w:rFonts w:ascii="Arial" w:hAnsi="Arial" w:cs="Arial"/>
        </w:rPr>
        <w:t>v</w:t>
      </w:r>
      <w:r w:rsidR="008A104A">
        <w:rPr>
          <w:rFonts w:ascii="Arial" w:hAnsi="Arial" w:cs="Arial"/>
        </w:rPr>
        <w:t> situaci, kde je výběrové řízení zrušeno před tím, než je přijato finální rozhodnutí týkající se stejného kontraktu, je potom období odkladného účinku možné vypočítat jako součet všech řízení za účelem výpočtu celkové doby pozastavení, která se bere v potaz,</w:t>
      </w:r>
    </w:p>
    <w:p w:rsidR="008A104A" w:rsidRDefault="00D3233F" w:rsidP="009E4DB8">
      <w:pPr>
        <w:pStyle w:val="Odstavecseseznamem"/>
        <w:numPr>
          <w:ilvl w:val="0"/>
          <w:numId w:val="4"/>
        </w:numPr>
        <w:spacing w:after="120" w:line="312" w:lineRule="auto"/>
        <w:jc w:val="both"/>
        <w:rPr>
          <w:rFonts w:ascii="Arial" w:hAnsi="Arial" w:cs="Arial"/>
        </w:rPr>
      </w:pPr>
      <w:r>
        <w:rPr>
          <w:rFonts w:ascii="Arial" w:hAnsi="Arial" w:cs="Arial"/>
        </w:rPr>
        <w:t>p</w:t>
      </w:r>
      <w:r w:rsidR="00D247EC">
        <w:rPr>
          <w:rFonts w:ascii="Arial" w:hAnsi="Arial" w:cs="Arial"/>
        </w:rPr>
        <w:t>okud je délka pozastavení delší než jeden rok, lze o snížení částky požádat vícekrát podle počtu let, které uběhnou mezi dnem administrativního nebo soudního rozhodnutí o pozastavení provádění dané operace a dnem nabytí právní moci soudního nebo administrativní</w:t>
      </w:r>
      <w:r w:rsidR="00C34EAD">
        <w:rPr>
          <w:rFonts w:ascii="Arial" w:hAnsi="Arial" w:cs="Arial"/>
        </w:rPr>
        <w:t>ho rozhodnutí,</w:t>
      </w:r>
    </w:p>
    <w:p w:rsidR="00D247EC" w:rsidRDefault="00D3233F" w:rsidP="009E4DB8">
      <w:pPr>
        <w:pStyle w:val="Odstavecseseznamem"/>
        <w:numPr>
          <w:ilvl w:val="0"/>
          <w:numId w:val="4"/>
        </w:numPr>
        <w:spacing w:after="120" w:line="312" w:lineRule="auto"/>
        <w:jc w:val="both"/>
        <w:rPr>
          <w:rFonts w:ascii="Arial" w:hAnsi="Arial" w:cs="Arial"/>
        </w:rPr>
      </w:pPr>
      <w:r>
        <w:rPr>
          <w:rFonts w:ascii="Arial" w:hAnsi="Arial" w:cs="Arial"/>
        </w:rPr>
        <w:t>n</w:t>
      </w:r>
      <w:r w:rsidR="00D247EC">
        <w:rPr>
          <w:rFonts w:ascii="Arial" w:hAnsi="Arial" w:cs="Arial"/>
        </w:rPr>
        <w:t xml:space="preserve">árodní orgány si musí být vědomy, že cílové částky pravidel n+2/3 jsou kumulativní </w:t>
      </w:r>
      <w:r w:rsidR="00D60F4E">
        <w:rPr>
          <w:rFonts w:ascii="Arial" w:hAnsi="Arial" w:cs="Arial"/>
        </w:rPr>
        <w:t>a proto část závazku, na kterou se aplikuje výjimka daná čl. 95, navyšuje cíl pro další rok</w:t>
      </w:r>
      <w:r w:rsidR="00C34EAD">
        <w:rPr>
          <w:rFonts w:ascii="Arial" w:hAnsi="Arial" w:cs="Arial"/>
        </w:rPr>
        <w:t>.</w:t>
      </w:r>
    </w:p>
    <w:p w:rsidR="00D60F4E" w:rsidRPr="009E4DB8" w:rsidRDefault="00D60F4E" w:rsidP="009E4DB8">
      <w:pPr>
        <w:spacing w:after="120" w:line="312" w:lineRule="auto"/>
        <w:jc w:val="both"/>
        <w:rPr>
          <w:rFonts w:ascii="Arial" w:hAnsi="Arial" w:cs="Arial"/>
        </w:rPr>
      </w:pPr>
      <w:r w:rsidRPr="009E4DB8">
        <w:rPr>
          <w:rFonts w:ascii="Arial" w:hAnsi="Arial" w:cs="Arial"/>
        </w:rPr>
        <w:t>Dopad pozastavení kontraktu na realizaci celého projektu</w:t>
      </w:r>
    </w:p>
    <w:p w:rsidR="00D60F4E" w:rsidRDefault="00C34EAD" w:rsidP="009E4DB8">
      <w:pPr>
        <w:pStyle w:val="Odstavecseseznamem"/>
        <w:numPr>
          <w:ilvl w:val="0"/>
          <w:numId w:val="4"/>
        </w:numPr>
        <w:spacing w:after="120" w:line="312" w:lineRule="auto"/>
        <w:jc w:val="both"/>
        <w:rPr>
          <w:rFonts w:ascii="Arial" w:hAnsi="Arial" w:cs="Arial"/>
        </w:rPr>
      </w:pPr>
      <w:r>
        <w:rPr>
          <w:rFonts w:ascii="Arial" w:hAnsi="Arial" w:cs="Arial"/>
        </w:rPr>
        <w:t>p</w:t>
      </w:r>
      <w:r w:rsidR="00D60F4E">
        <w:rPr>
          <w:rFonts w:ascii="Arial" w:hAnsi="Arial" w:cs="Arial"/>
        </w:rPr>
        <w:t>okud české orgány ve svých propočtech stanoví částku na základě pozici, že řízení mající odkladný účinek u konkrétního kontraktu má dopad na celý projekt, včetně navazujících fází, které nejsou přímo podnětem řízení, pak by měly pro</w:t>
      </w:r>
      <w:r w:rsidR="00602AF8">
        <w:rPr>
          <w:rFonts w:ascii="Arial" w:hAnsi="Arial" w:cs="Arial"/>
        </w:rPr>
        <w:t>k</w:t>
      </w:r>
      <w:r w:rsidR="00D60F4E">
        <w:rPr>
          <w:rFonts w:ascii="Arial" w:hAnsi="Arial" w:cs="Arial"/>
        </w:rPr>
        <w:t>ázat, že realizace kontraktů podepsaných pro navazující práci nebo služby byla blokována a proto nemohl</w:t>
      </w:r>
      <w:r>
        <w:rPr>
          <w:rFonts w:ascii="Arial" w:hAnsi="Arial" w:cs="Arial"/>
        </w:rPr>
        <w:t>y být příslušné výdaje vykázány.</w:t>
      </w:r>
    </w:p>
    <w:p w:rsidR="00602AF8" w:rsidRPr="009E4DB8" w:rsidRDefault="00602AF8" w:rsidP="009E4DB8">
      <w:pPr>
        <w:spacing w:after="120" w:line="312" w:lineRule="auto"/>
        <w:jc w:val="both"/>
        <w:rPr>
          <w:rFonts w:ascii="Arial" w:hAnsi="Arial" w:cs="Arial"/>
        </w:rPr>
      </w:pPr>
      <w:r w:rsidRPr="009E4DB8">
        <w:rPr>
          <w:rFonts w:ascii="Arial" w:hAnsi="Arial" w:cs="Arial"/>
        </w:rPr>
        <w:t>Ověření Komisí</w:t>
      </w:r>
    </w:p>
    <w:p w:rsidR="00602AF8" w:rsidRDefault="00602AF8" w:rsidP="009E4DB8">
      <w:pPr>
        <w:pStyle w:val="Odstavecseseznamem"/>
        <w:numPr>
          <w:ilvl w:val="0"/>
          <w:numId w:val="4"/>
        </w:numPr>
        <w:spacing w:after="120" w:line="312" w:lineRule="auto"/>
        <w:jc w:val="both"/>
        <w:rPr>
          <w:rFonts w:ascii="Arial" w:hAnsi="Arial" w:cs="Arial"/>
        </w:rPr>
      </w:pPr>
      <w:r>
        <w:rPr>
          <w:rFonts w:ascii="Arial" w:hAnsi="Arial" w:cs="Arial"/>
        </w:rPr>
        <w:t>Komise provede ověření výpočtu předložených ČR, aby ověřila, že požadované částky dle čl. 95 naplňují výše uvedená kritéria</w:t>
      </w:r>
      <w:r w:rsidR="00C34EAD">
        <w:rPr>
          <w:rFonts w:ascii="Arial" w:hAnsi="Arial" w:cs="Arial"/>
        </w:rPr>
        <w:t>.</w:t>
      </w:r>
    </w:p>
    <w:p w:rsidR="00602AF8" w:rsidRDefault="00602AF8" w:rsidP="00602AF8">
      <w:pPr>
        <w:spacing w:after="120" w:line="312" w:lineRule="auto"/>
        <w:jc w:val="both"/>
        <w:rPr>
          <w:rFonts w:ascii="Arial" w:hAnsi="Arial" w:cs="Arial"/>
        </w:rPr>
      </w:pPr>
    </w:p>
    <w:sectPr w:rsidR="00602AF8" w:rsidSect="003C68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0D" w:rsidRDefault="00616E0D" w:rsidP="005F0F7B">
      <w:pPr>
        <w:spacing w:after="0" w:line="240" w:lineRule="auto"/>
      </w:pPr>
      <w:r>
        <w:separator/>
      </w:r>
    </w:p>
  </w:endnote>
  <w:endnote w:type="continuationSeparator" w:id="0">
    <w:p w:rsidR="00616E0D" w:rsidRDefault="00616E0D" w:rsidP="005F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8094"/>
      <w:docPartObj>
        <w:docPartGallery w:val="Page Numbers (Bottom of Page)"/>
        <w:docPartUnique/>
      </w:docPartObj>
    </w:sdtPr>
    <w:sdtContent>
      <w:p w:rsidR="00772A4E" w:rsidRDefault="00EC2697">
        <w:pPr>
          <w:pStyle w:val="Zpat"/>
          <w:jc w:val="center"/>
        </w:pPr>
        <w:r>
          <w:fldChar w:fldCharType="begin"/>
        </w:r>
        <w:r w:rsidR="00772A4E">
          <w:instrText>PAGE   \* MERGEFORMAT</w:instrText>
        </w:r>
        <w:r>
          <w:fldChar w:fldCharType="separate"/>
        </w:r>
        <w:r w:rsidR="00F32482">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0D" w:rsidRDefault="00616E0D" w:rsidP="005F0F7B">
      <w:pPr>
        <w:spacing w:after="0" w:line="240" w:lineRule="auto"/>
      </w:pPr>
      <w:r>
        <w:separator/>
      </w:r>
    </w:p>
  </w:footnote>
  <w:footnote w:type="continuationSeparator" w:id="0">
    <w:p w:rsidR="00616E0D" w:rsidRDefault="00616E0D" w:rsidP="005F0F7B">
      <w:pPr>
        <w:spacing w:after="0" w:line="240" w:lineRule="auto"/>
      </w:pPr>
      <w:r>
        <w:continuationSeparator/>
      </w:r>
    </w:p>
  </w:footnote>
  <w:footnote w:id="1">
    <w:p w:rsidR="00D81A7A" w:rsidRDefault="00D81A7A" w:rsidP="00D81A7A">
      <w:pPr>
        <w:pStyle w:val="Textpoznpodarou"/>
      </w:pPr>
      <w:r>
        <w:rPr>
          <w:rStyle w:val="Znakapoznpodarou"/>
        </w:rPr>
        <w:footnoteRef/>
      </w:r>
      <w:r>
        <w:t xml:space="preserve"> Připomínkování se bude týkat pouze změn schválených na jednání MoV</w:t>
      </w:r>
    </w:p>
  </w:footnote>
  <w:footnote w:id="2">
    <w:p w:rsidR="00D81A7A" w:rsidRDefault="00D81A7A" w:rsidP="00D81A7A">
      <w:pPr>
        <w:pStyle w:val="Textpoznpodarou"/>
      </w:pPr>
      <w:r>
        <w:rPr>
          <w:rStyle w:val="Znakapoznpodarou"/>
        </w:rPr>
        <w:footnoteRef/>
      </w:r>
      <w:r>
        <w:t xml:space="preserve"> Posouzení MŽP lze vložit do MSC dodatečně (EK bez něj změnu schválí).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7B" w:rsidRDefault="005F0F7B">
    <w:pPr>
      <w:pStyle w:val="Zhlav"/>
    </w:pPr>
    <w:r>
      <w:rPr>
        <w:noProof/>
        <w:lang w:eastAsia="cs-CZ"/>
      </w:rPr>
      <w:drawing>
        <wp:inline distT="0" distB="0" distL="0" distR="0">
          <wp:extent cx="5760720" cy="525267"/>
          <wp:effectExtent l="0" t="0" r="0" b="8255"/>
          <wp:docPr id="1" name="Obrázek 1" descr="C:\Users\kora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ane\Desktop\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25267"/>
                  </a:xfrm>
                  <a:prstGeom prst="rect">
                    <a:avLst/>
                  </a:prstGeom>
                  <a:noFill/>
                  <a:ln>
                    <a:noFill/>
                  </a:ln>
                </pic:spPr>
              </pic:pic>
            </a:graphicData>
          </a:graphic>
        </wp:inline>
      </w:drawing>
    </w:r>
  </w:p>
  <w:p w:rsidR="00772A4E" w:rsidRDefault="00772A4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FF4"/>
    <w:multiLevelType w:val="hybridMultilevel"/>
    <w:tmpl w:val="1BC83378"/>
    <w:lvl w:ilvl="0" w:tplc="252668B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8B4B71"/>
    <w:multiLevelType w:val="hybridMultilevel"/>
    <w:tmpl w:val="87A8E050"/>
    <w:lvl w:ilvl="0" w:tplc="2618CE3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E94E77"/>
    <w:multiLevelType w:val="hybridMultilevel"/>
    <w:tmpl w:val="078CE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ED74AA"/>
    <w:multiLevelType w:val="hybridMultilevel"/>
    <w:tmpl w:val="B09E1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9B3B91"/>
    <w:multiLevelType w:val="hybridMultilevel"/>
    <w:tmpl w:val="8E62E65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3F5A92"/>
    <w:multiLevelType w:val="hybridMultilevel"/>
    <w:tmpl w:val="8B920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696928"/>
    <w:multiLevelType w:val="hybridMultilevel"/>
    <w:tmpl w:val="E1E4A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BB736A1"/>
    <w:multiLevelType w:val="hybridMultilevel"/>
    <w:tmpl w:val="1BEA59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BB4975"/>
    <w:multiLevelType w:val="hybridMultilevel"/>
    <w:tmpl w:val="2DDCBF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A84751"/>
    <w:multiLevelType w:val="hybridMultilevel"/>
    <w:tmpl w:val="8C1A295E"/>
    <w:lvl w:ilvl="0" w:tplc="528428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C76E79"/>
    <w:multiLevelType w:val="hybridMultilevel"/>
    <w:tmpl w:val="DEDC1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96B4864"/>
    <w:multiLevelType w:val="hybridMultilevel"/>
    <w:tmpl w:val="EF8E9D94"/>
    <w:lvl w:ilvl="0" w:tplc="810E694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5"/>
  </w:num>
  <w:num w:numId="7">
    <w:abstractNumId w:val="7"/>
  </w:num>
  <w:num w:numId="8">
    <w:abstractNumId w:val="4"/>
  </w:num>
  <w:num w:numId="9">
    <w:abstractNumId w:val="11"/>
  </w:num>
  <w:num w:numId="10">
    <w:abstractNumId w:val="9"/>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F7B"/>
    <w:rsid w:val="0001740E"/>
    <w:rsid w:val="0004650F"/>
    <w:rsid w:val="000520D1"/>
    <w:rsid w:val="00052353"/>
    <w:rsid w:val="000544EB"/>
    <w:rsid w:val="000634AB"/>
    <w:rsid w:val="000B749F"/>
    <w:rsid w:val="00105C38"/>
    <w:rsid w:val="00111136"/>
    <w:rsid w:val="00123A26"/>
    <w:rsid w:val="00142269"/>
    <w:rsid w:val="001A587B"/>
    <w:rsid w:val="001F7336"/>
    <w:rsid w:val="002205A9"/>
    <w:rsid w:val="00230FB7"/>
    <w:rsid w:val="00233EFD"/>
    <w:rsid w:val="00292395"/>
    <w:rsid w:val="00293A7E"/>
    <w:rsid w:val="002A4309"/>
    <w:rsid w:val="002B7FFA"/>
    <w:rsid w:val="002E302B"/>
    <w:rsid w:val="002F01EA"/>
    <w:rsid w:val="0032600A"/>
    <w:rsid w:val="003932C9"/>
    <w:rsid w:val="0039681A"/>
    <w:rsid w:val="003C68AD"/>
    <w:rsid w:val="0040219D"/>
    <w:rsid w:val="00414BF7"/>
    <w:rsid w:val="00425C38"/>
    <w:rsid w:val="00437B2D"/>
    <w:rsid w:val="004418FD"/>
    <w:rsid w:val="00441F0E"/>
    <w:rsid w:val="004C2482"/>
    <w:rsid w:val="004D7806"/>
    <w:rsid w:val="00514280"/>
    <w:rsid w:val="00517B05"/>
    <w:rsid w:val="00517B53"/>
    <w:rsid w:val="00524AED"/>
    <w:rsid w:val="00536305"/>
    <w:rsid w:val="00542333"/>
    <w:rsid w:val="00544980"/>
    <w:rsid w:val="00557C46"/>
    <w:rsid w:val="00562C4A"/>
    <w:rsid w:val="005D27B3"/>
    <w:rsid w:val="005D3A86"/>
    <w:rsid w:val="005E6B95"/>
    <w:rsid w:val="005F0F70"/>
    <w:rsid w:val="005F0F7B"/>
    <w:rsid w:val="005F638F"/>
    <w:rsid w:val="005F7BEE"/>
    <w:rsid w:val="00602AF8"/>
    <w:rsid w:val="00616E0D"/>
    <w:rsid w:val="006438ED"/>
    <w:rsid w:val="00670FD3"/>
    <w:rsid w:val="006C08C9"/>
    <w:rsid w:val="006C6E40"/>
    <w:rsid w:val="006D1CD8"/>
    <w:rsid w:val="006E17D8"/>
    <w:rsid w:val="006E43D6"/>
    <w:rsid w:val="006F2E2F"/>
    <w:rsid w:val="006F6080"/>
    <w:rsid w:val="007011F5"/>
    <w:rsid w:val="00703151"/>
    <w:rsid w:val="007111DC"/>
    <w:rsid w:val="00745A9A"/>
    <w:rsid w:val="007564D0"/>
    <w:rsid w:val="00764651"/>
    <w:rsid w:val="00772A4E"/>
    <w:rsid w:val="007A44FF"/>
    <w:rsid w:val="007B3505"/>
    <w:rsid w:val="007F5DB3"/>
    <w:rsid w:val="008458DB"/>
    <w:rsid w:val="008466AA"/>
    <w:rsid w:val="008657B3"/>
    <w:rsid w:val="00872858"/>
    <w:rsid w:val="008A104A"/>
    <w:rsid w:val="008E2A2A"/>
    <w:rsid w:val="008E2A3B"/>
    <w:rsid w:val="008E2B16"/>
    <w:rsid w:val="008E536E"/>
    <w:rsid w:val="008F67B7"/>
    <w:rsid w:val="00915AAC"/>
    <w:rsid w:val="0092222A"/>
    <w:rsid w:val="009559EF"/>
    <w:rsid w:val="0096712A"/>
    <w:rsid w:val="00985790"/>
    <w:rsid w:val="0099021C"/>
    <w:rsid w:val="009B611D"/>
    <w:rsid w:val="009E4DB8"/>
    <w:rsid w:val="00A21D36"/>
    <w:rsid w:val="00A4769D"/>
    <w:rsid w:val="00A639F8"/>
    <w:rsid w:val="00A73E44"/>
    <w:rsid w:val="00B836D7"/>
    <w:rsid w:val="00B97600"/>
    <w:rsid w:val="00BE6878"/>
    <w:rsid w:val="00C12984"/>
    <w:rsid w:val="00C14E52"/>
    <w:rsid w:val="00C27343"/>
    <w:rsid w:val="00C32298"/>
    <w:rsid w:val="00C34EAD"/>
    <w:rsid w:val="00C51E69"/>
    <w:rsid w:val="00C752C5"/>
    <w:rsid w:val="00CB019B"/>
    <w:rsid w:val="00CE41E9"/>
    <w:rsid w:val="00D247EC"/>
    <w:rsid w:val="00D3233F"/>
    <w:rsid w:val="00D467DD"/>
    <w:rsid w:val="00D6077E"/>
    <w:rsid w:val="00D60F4E"/>
    <w:rsid w:val="00D77042"/>
    <w:rsid w:val="00D81A7A"/>
    <w:rsid w:val="00DB1A0C"/>
    <w:rsid w:val="00E40888"/>
    <w:rsid w:val="00E51B59"/>
    <w:rsid w:val="00E81647"/>
    <w:rsid w:val="00E85264"/>
    <w:rsid w:val="00EC2697"/>
    <w:rsid w:val="00ED5D33"/>
    <w:rsid w:val="00F32482"/>
    <w:rsid w:val="00F67338"/>
    <w:rsid w:val="00F75D75"/>
    <w:rsid w:val="00FA0EF6"/>
    <w:rsid w:val="00FB25A7"/>
    <w:rsid w:val="00FC4A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69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F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F7B"/>
  </w:style>
  <w:style w:type="paragraph" w:styleId="Zpat">
    <w:name w:val="footer"/>
    <w:basedOn w:val="Normln"/>
    <w:link w:val="ZpatChar"/>
    <w:uiPriority w:val="99"/>
    <w:unhideWhenUsed/>
    <w:rsid w:val="005F0F7B"/>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F7B"/>
  </w:style>
  <w:style w:type="paragraph" w:styleId="Textbubliny">
    <w:name w:val="Balloon Text"/>
    <w:basedOn w:val="Normln"/>
    <w:link w:val="TextbublinyChar"/>
    <w:uiPriority w:val="99"/>
    <w:semiHidden/>
    <w:unhideWhenUsed/>
    <w:rsid w:val="005F0F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0F7B"/>
    <w:rPr>
      <w:rFonts w:ascii="Tahoma" w:hAnsi="Tahoma" w:cs="Tahoma"/>
      <w:sz w:val="16"/>
      <w:szCs w:val="16"/>
    </w:rPr>
  </w:style>
  <w:style w:type="paragraph" w:styleId="Textkomente">
    <w:name w:val="annotation text"/>
    <w:basedOn w:val="Normln"/>
    <w:link w:val="TextkomenteChar"/>
    <w:uiPriority w:val="99"/>
    <w:semiHidden/>
    <w:unhideWhenUsed/>
    <w:rsid w:val="005F0F7B"/>
    <w:pPr>
      <w:spacing w:before="200" w:line="240" w:lineRule="auto"/>
    </w:pPr>
    <w:rPr>
      <w:rFonts w:ascii="Calibri" w:eastAsia="Times New Roman" w:hAnsi="Calibri" w:cs="Times New Roman"/>
      <w:sz w:val="20"/>
      <w:szCs w:val="20"/>
      <w:lang w:bidi="en-US"/>
    </w:rPr>
  </w:style>
  <w:style w:type="character" w:customStyle="1" w:styleId="TextkomenteChar">
    <w:name w:val="Text komentáře Char"/>
    <w:basedOn w:val="Standardnpsmoodstavce"/>
    <w:link w:val="Textkomente"/>
    <w:uiPriority w:val="99"/>
    <w:semiHidden/>
    <w:rsid w:val="005F0F7B"/>
    <w:rPr>
      <w:rFonts w:ascii="Calibri" w:eastAsia="Times New Roman" w:hAnsi="Calibri" w:cs="Times New Roman"/>
      <w:sz w:val="20"/>
      <w:szCs w:val="20"/>
      <w:lang w:bidi="en-US"/>
    </w:rPr>
  </w:style>
  <w:style w:type="character" w:styleId="Odkaznakoment">
    <w:name w:val="annotation reference"/>
    <w:basedOn w:val="Standardnpsmoodstavce"/>
    <w:uiPriority w:val="99"/>
    <w:semiHidden/>
    <w:unhideWhenUsed/>
    <w:rsid w:val="005F0F70"/>
    <w:rPr>
      <w:sz w:val="16"/>
      <w:szCs w:val="16"/>
    </w:rPr>
  </w:style>
  <w:style w:type="paragraph" w:styleId="Odstavecseseznamem">
    <w:name w:val="List Paragraph"/>
    <w:basedOn w:val="Normln"/>
    <w:uiPriority w:val="34"/>
    <w:qFormat/>
    <w:rsid w:val="00D6077E"/>
    <w:pPr>
      <w:ind w:left="720"/>
      <w:contextualSpacing/>
    </w:pPr>
  </w:style>
  <w:style w:type="paragraph" w:customStyle="1" w:styleId="textPDIOP">
    <w:name w:val="textPD IOP"/>
    <w:basedOn w:val="Normln"/>
    <w:qFormat/>
    <w:rsid w:val="00B97600"/>
    <w:pPr>
      <w:spacing w:after="240" w:line="312" w:lineRule="auto"/>
      <w:jc w:val="both"/>
    </w:pPr>
    <w:rPr>
      <w:rFonts w:ascii="Arial" w:eastAsia="Times New Roman" w:hAnsi="Arial" w:cs="Arial"/>
      <w:sz w:val="20"/>
      <w:szCs w:val="20"/>
      <w:lang w:bidi="en-US"/>
    </w:rPr>
  </w:style>
  <w:style w:type="paragraph" w:customStyle="1" w:styleId="Bntext">
    <w:name w:val="*Běžný text"/>
    <w:basedOn w:val="Normln"/>
    <w:uiPriority w:val="99"/>
    <w:rsid w:val="001A587B"/>
    <w:pPr>
      <w:spacing w:after="120" w:line="240" w:lineRule="auto"/>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D8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D81A7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1A7A"/>
    <w:rPr>
      <w:sz w:val="20"/>
      <w:szCs w:val="20"/>
    </w:rPr>
  </w:style>
  <w:style w:type="character" w:styleId="Znakapoznpodarou">
    <w:name w:val="footnote reference"/>
    <w:basedOn w:val="Standardnpsmoodstavce"/>
    <w:uiPriority w:val="99"/>
    <w:semiHidden/>
    <w:unhideWhenUsed/>
    <w:rsid w:val="00D81A7A"/>
    <w:rPr>
      <w:vertAlign w:val="superscript"/>
    </w:rPr>
  </w:style>
  <w:style w:type="paragraph" w:styleId="Revize">
    <w:name w:val="Revision"/>
    <w:hidden/>
    <w:uiPriority w:val="99"/>
    <w:semiHidden/>
    <w:rsid w:val="00441F0E"/>
    <w:pPr>
      <w:spacing w:after="0" w:line="240" w:lineRule="auto"/>
    </w:pPr>
  </w:style>
  <w:style w:type="paragraph" w:customStyle="1" w:styleId="TextNOK">
    <w:name w:val="Text NOK"/>
    <w:basedOn w:val="Normln"/>
    <w:link w:val="TextNOKChar"/>
    <w:rsid w:val="00C752C5"/>
    <w:pPr>
      <w:spacing w:after="0" w:line="312" w:lineRule="auto"/>
      <w:jc w:val="both"/>
    </w:pPr>
    <w:rPr>
      <w:rFonts w:ascii="Times New Roman" w:eastAsia="Times New Roman" w:hAnsi="Times New Roman" w:cs="Times New Roman"/>
      <w:szCs w:val="24"/>
      <w:lang w:eastAsia="cs-CZ"/>
    </w:rPr>
  </w:style>
  <w:style w:type="character" w:customStyle="1" w:styleId="TextNOKChar">
    <w:name w:val="Text NOK Char"/>
    <w:link w:val="TextNOK"/>
    <w:rsid w:val="00C752C5"/>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F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F7B"/>
  </w:style>
  <w:style w:type="paragraph" w:styleId="Zpat">
    <w:name w:val="footer"/>
    <w:basedOn w:val="Normln"/>
    <w:link w:val="ZpatChar"/>
    <w:uiPriority w:val="99"/>
    <w:unhideWhenUsed/>
    <w:rsid w:val="005F0F7B"/>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F7B"/>
  </w:style>
  <w:style w:type="paragraph" w:styleId="Textbubliny">
    <w:name w:val="Balloon Text"/>
    <w:basedOn w:val="Normln"/>
    <w:link w:val="TextbublinyChar"/>
    <w:uiPriority w:val="99"/>
    <w:semiHidden/>
    <w:unhideWhenUsed/>
    <w:rsid w:val="005F0F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0F7B"/>
    <w:rPr>
      <w:rFonts w:ascii="Tahoma" w:hAnsi="Tahoma" w:cs="Tahoma"/>
      <w:sz w:val="16"/>
      <w:szCs w:val="16"/>
    </w:rPr>
  </w:style>
  <w:style w:type="paragraph" w:styleId="Textkomente">
    <w:name w:val="annotation text"/>
    <w:basedOn w:val="Normln"/>
    <w:link w:val="TextkomenteChar"/>
    <w:uiPriority w:val="99"/>
    <w:semiHidden/>
    <w:unhideWhenUsed/>
    <w:rsid w:val="005F0F7B"/>
    <w:pPr>
      <w:spacing w:before="200" w:line="240" w:lineRule="auto"/>
    </w:pPr>
    <w:rPr>
      <w:rFonts w:ascii="Calibri" w:eastAsia="Times New Roman" w:hAnsi="Calibri" w:cs="Times New Roman"/>
      <w:sz w:val="20"/>
      <w:szCs w:val="20"/>
      <w:lang w:bidi="en-US"/>
    </w:rPr>
  </w:style>
  <w:style w:type="character" w:customStyle="1" w:styleId="TextkomenteChar">
    <w:name w:val="Text komentáře Char"/>
    <w:basedOn w:val="Standardnpsmoodstavce"/>
    <w:link w:val="Textkomente"/>
    <w:uiPriority w:val="99"/>
    <w:semiHidden/>
    <w:rsid w:val="005F0F7B"/>
    <w:rPr>
      <w:rFonts w:ascii="Calibri" w:eastAsia="Times New Roman" w:hAnsi="Calibri" w:cs="Times New Roman"/>
      <w:sz w:val="20"/>
      <w:szCs w:val="20"/>
      <w:lang w:bidi="en-US"/>
    </w:rPr>
  </w:style>
  <w:style w:type="character" w:styleId="Odkaznakoment">
    <w:name w:val="annotation reference"/>
    <w:basedOn w:val="Standardnpsmoodstavce"/>
    <w:uiPriority w:val="99"/>
    <w:semiHidden/>
    <w:unhideWhenUsed/>
    <w:rsid w:val="005F0F70"/>
    <w:rPr>
      <w:sz w:val="16"/>
      <w:szCs w:val="16"/>
    </w:rPr>
  </w:style>
  <w:style w:type="paragraph" w:styleId="Odstavecseseznamem">
    <w:name w:val="List Paragraph"/>
    <w:basedOn w:val="Normln"/>
    <w:uiPriority w:val="34"/>
    <w:qFormat/>
    <w:rsid w:val="00D6077E"/>
    <w:pPr>
      <w:ind w:left="720"/>
      <w:contextualSpacing/>
    </w:pPr>
  </w:style>
  <w:style w:type="paragraph" w:customStyle="1" w:styleId="textPDIOP">
    <w:name w:val="textPD IOP"/>
    <w:basedOn w:val="Normln"/>
    <w:qFormat/>
    <w:rsid w:val="00B97600"/>
    <w:pPr>
      <w:spacing w:after="240" w:line="312" w:lineRule="auto"/>
      <w:jc w:val="both"/>
    </w:pPr>
    <w:rPr>
      <w:rFonts w:ascii="Arial" w:eastAsia="Times New Roman" w:hAnsi="Arial" w:cs="Arial"/>
      <w:sz w:val="20"/>
      <w:szCs w:val="20"/>
      <w:lang w:bidi="en-US"/>
    </w:rPr>
  </w:style>
  <w:style w:type="paragraph" w:customStyle="1" w:styleId="Bntext">
    <w:name w:val="*Běžný text"/>
    <w:basedOn w:val="Normln"/>
    <w:uiPriority w:val="99"/>
    <w:rsid w:val="001A587B"/>
    <w:pPr>
      <w:spacing w:after="120" w:line="240" w:lineRule="auto"/>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D81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D81A7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81A7A"/>
    <w:rPr>
      <w:sz w:val="20"/>
      <w:szCs w:val="20"/>
    </w:rPr>
  </w:style>
  <w:style w:type="character" w:styleId="Znakapoznpodarou">
    <w:name w:val="footnote reference"/>
    <w:basedOn w:val="Standardnpsmoodstavce"/>
    <w:uiPriority w:val="99"/>
    <w:semiHidden/>
    <w:unhideWhenUsed/>
    <w:rsid w:val="00D81A7A"/>
    <w:rPr>
      <w:vertAlign w:val="superscript"/>
    </w:rPr>
  </w:style>
  <w:style w:type="paragraph" w:styleId="Revize">
    <w:name w:val="Revision"/>
    <w:hidden/>
    <w:uiPriority w:val="99"/>
    <w:semiHidden/>
    <w:rsid w:val="00441F0E"/>
    <w:pPr>
      <w:spacing w:after="0" w:line="240" w:lineRule="auto"/>
    </w:pPr>
  </w:style>
  <w:style w:type="paragraph" w:customStyle="1" w:styleId="TextNOK">
    <w:name w:val="Text NOK"/>
    <w:basedOn w:val="Normln"/>
    <w:link w:val="TextNOKChar"/>
    <w:rsid w:val="00C752C5"/>
    <w:pPr>
      <w:spacing w:after="0" w:line="312" w:lineRule="auto"/>
      <w:jc w:val="both"/>
    </w:pPr>
    <w:rPr>
      <w:rFonts w:ascii="Times New Roman" w:eastAsia="Times New Roman" w:hAnsi="Times New Roman" w:cs="Times New Roman"/>
      <w:szCs w:val="24"/>
      <w:lang w:eastAsia="cs-CZ"/>
    </w:rPr>
  </w:style>
  <w:style w:type="character" w:customStyle="1" w:styleId="TextNOKChar">
    <w:name w:val="Text NOK Char"/>
    <w:link w:val="TextNOK"/>
    <w:rsid w:val="00C752C5"/>
    <w:rPr>
      <w:rFonts w:ascii="Times New Roman" w:eastAsia="Times New Roman" w:hAnsi="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744373004">
      <w:bodyDiv w:val="1"/>
      <w:marLeft w:val="0"/>
      <w:marRight w:val="0"/>
      <w:marTop w:val="0"/>
      <w:marBottom w:val="0"/>
      <w:divBdr>
        <w:top w:val="none" w:sz="0" w:space="0" w:color="auto"/>
        <w:left w:val="none" w:sz="0" w:space="0" w:color="auto"/>
        <w:bottom w:val="none" w:sz="0" w:space="0" w:color="auto"/>
        <w:right w:val="none" w:sz="0" w:space="0" w:color="auto"/>
      </w:divBdr>
    </w:div>
    <w:div w:id="788545688">
      <w:bodyDiv w:val="1"/>
      <w:marLeft w:val="0"/>
      <w:marRight w:val="0"/>
      <w:marTop w:val="0"/>
      <w:marBottom w:val="0"/>
      <w:divBdr>
        <w:top w:val="none" w:sz="0" w:space="0" w:color="auto"/>
        <w:left w:val="none" w:sz="0" w:space="0" w:color="auto"/>
        <w:bottom w:val="none" w:sz="0" w:space="0" w:color="auto"/>
        <w:right w:val="none" w:sz="0" w:space="0" w:color="auto"/>
      </w:divBdr>
    </w:div>
    <w:div w:id="941110711">
      <w:bodyDiv w:val="1"/>
      <w:marLeft w:val="0"/>
      <w:marRight w:val="0"/>
      <w:marTop w:val="0"/>
      <w:marBottom w:val="0"/>
      <w:divBdr>
        <w:top w:val="none" w:sz="0" w:space="0" w:color="auto"/>
        <w:left w:val="none" w:sz="0" w:space="0" w:color="auto"/>
        <w:bottom w:val="none" w:sz="0" w:space="0" w:color="auto"/>
        <w:right w:val="none" w:sz="0" w:space="0" w:color="auto"/>
      </w:divBdr>
    </w:div>
    <w:div w:id="1163937300">
      <w:bodyDiv w:val="1"/>
      <w:marLeft w:val="0"/>
      <w:marRight w:val="0"/>
      <w:marTop w:val="0"/>
      <w:marBottom w:val="0"/>
      <w:divBdr>
        <w:top w:val="none" w:sz="0" w:space="0" w:color="auto"/>
        <w:left w:val="none" w:sz="0" w:space="0" w:color="auto"/>
        <w:bottom w:val="none" w:sz="0" w:space="0" w:color="auto"/>
        <w:right w:val="none" w:sz="0" w:space="0" w:color="auto"/>
      </w:divBdr>
    </w:div>
    <w:div w:id="1659531436">
      <w:bodyDiv w:val="1"/>
      <w:marLeft w:val="0"/>
      <w:marRight w:val="0"/>
      <w:marTop w:val="0"/>
      <w:marBottom w:val="0"/>
      <w:divBdr>
        <w:top w:val="none" w:sz="0" w:space="0" w:color="auto"/>
        <w:left w:val="none" w:sz="0" w:space="0" w:color="auto"/>
        <w:bottom w:val="none" w:sz="0" w:space="0" w:color="auto"/>
        <w:right w:val="none" w:sz="0" w:space="0" w:color="auto"/>
      </w:divBdr>
    </w:div>
    <w:div w:id="1889415687">
      <w:bodyDiv w:val="1"/>
      <w:marLeft w:val="0"/>
      <w:marRight w:val="0"/>
      <w:marTop w:val="0"/>
      <w:marBottom w:val="0"/>
      <w:divBdr>
        <w:top w:val="none" w:sz="0" w:space="0" w:color="auto"/>
        <w:left w:val="none" w:sz="0" w:space="0" w:color="auto"/>
        <w:bottom w:val="none" w:sz="0" w:space="0" w:color="auto"/>
        <w:right w:val="none" w:sz="0" w:space="0" w:color="auto"/>
      </w:divBdr>
    </w:div>
    <w:div w:id="19934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9378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Korcianova</dc:creator>
  <cp:lastModifiedBy>Helena Zeisel</cp:lastModifiedBy>
  <cp:revision>3</cp:revision>
  <cp:lastPrinted>2014-05-20T05:13:00Z</cp:lastPrinted>
  <dcterms:created xsi:type="dcterms:W3CDTF">2014-05-21T12:42:00Z</dcterms:created>
  <dcterms:modified xsi:type="dcterms:W3CDTF">2014-05-30T12:35:00Z</dcterms:modified>
</cp:coreProperties>
</file>