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9" w:rsidRPr="00191710" w:rsidRDefault="00FB3D69" w:rsidP="00FB3D69">
      <w:pPr>
        <w:jc w:val="center"/>
        <w:rPr>
          <w:rFonts w:ascii="Times New Roman" w:hAnsi="Times New Roman"/>
          <w:color w:val="002776"/>
          <w:sz w:val="48"/>
          <w:szCs w:val="70"/>
        </w:rPr>
      </w:pPr>
      <w:r>
        <w:rPr>
          <w:rFonts w:ascii="Times New Roman" w:hAnsi="Times New Roman"/>
          <w:color w:val="002776"/>
          <w:sz w:val="48"/>
          <w:szCs w:val="70"/>
        </w:rPr>
        <w:t>Předběžné posouzení využití finančního nástroje v IROP</w:t>
      </w:r>
    </w:p>
    <w:p w:rsidR="00D32551" w:rsidRPr="00112E71" w:rsidRDefault="00D32551" w:rsidP="00D32551">
      <w:pPr>
        <w:pStyle w:val="Nadpis2"/>
        <w:jc w:val="center"/>
        <w:rPr>
          <w:color w:val="92D400" w:themeColor="accent2"/>
        </w:rPr>
      </w:pPr>
      <w:r w:rsidRPr="00112E71">
        <w:rPr>
          <w:color w:val="92D400" w:themeColor="accent2"/>
        </w:rPr>
        <w:t xml:space="preserve">Příloha č. </w:t>
      </w:r>
      <w:r w:rsidR="00FB3D69">
        <w:rPr>
          <w:color w:val="92D400" w:themeColor="accent2"/>
        </w:rPr>
        <w:t>3</w:t>
      </w:r>
      <w:r w:rsidRPr="00112E71">
        <w:rPr>
          <w:color w:val="92D400" w:themeColor="accent2"/>
        </w:rPr>
        <w:t xml:space="preserve"> </w:t>
      </w:r>
      <w:r w:rsidR="00FB3D69">
        <w:rPr>
          <w:color w:val="92D400" w:themeColor="accent2"/>
        </w:rPr>
        <w:t>Závěrečné</w:t>
      </w:r>
      <w:r w:rsidRPr="00112E71">
        <w:rPr>
          <w:color w:val="92D400" w:themeColor="accent2"/>
        </w:rPr>
        <w:t xml:space="preserve"> zprávy Projektu</w:t>
      </w:r>
    </w:p>
    <w:p w:rsidR="00D32551" w:rsidRPr="00112E71" w:rsidRDefault="00590A52" w:rsidP="00D32551">
      <w:pPr>
        <w:pStyle w:val="Nadpis2"/>
        <w:jc w:val="center"/>
        <w:rPr>
          <w:color w:val="92D400" w:themeColor="accent2"/>
        </w:rPr>
      </w:pPr>
      <w:r w:rsidRPr="00112E71">
        <w:rPr>
          <w:color w:val="92D400" w:themeColor="accent2"/>
        </w:rPr>
        <w:t>Zhodnocení komplementarit se zvýhodněnými bankovními produkty v</w:t>
      </w:r>
      <w:r w:rsidR="00B90BFB" w:rsidRPr="00112E71">
        <w:rPr>
          <w:color w:val="92D400" w:themeColor="accent2"/>
        </w:rPr>
        <w:t> </w:t>
      </w:r>
      <w:r w:rsidRPr="00112E71">
        <w:rPr>
          <w:color w:val="92D400" w:themeColor="accent2"/>
        </w:rPr>
        <w:t>ČR</w:t>
      </w:r>
    </w:p>
    <w:p w:rsidR="00027B90" w:rsidRDefault="00027B90" w:rsidP="00B90BFB"/>
    <w:p w:rsidR="00B90BFB" w:rsidRDefault="00027B90" w:rsidP="00027B90">
      <w:pPr>
        <w:spacing w:after="0" w:line="240" w:lineRule="auto"/>
      </w:pPr>
      <w:r>
        <w:t>Níže uvedené produkty a jejich charakteristiky odpovídaly platnému stavu v okamžik provádění ex-ante analýzy. U řady produktů nebylo možné dohledat, po jakou dobu bude jejich nabídka platná či kolik alokace je k dispozici, tyto upřesnění nebyla poskytnuta ani přímo zástupci bankovní asociace. S uvedenými údaji je proto zacházet s patřičnou obezřetností.</w:t>
      </w:r>
    </w:p>
    <w:p w:rsidR="00027B90" w:rsidRPr="00B90BFB" w:rsidRDefault="00027B90" w:rsidP="00027B90">
      <w:pPr>
        <w:spacing w:after="0" w:line="240" w:lineRule="auto"/>
      </w:pPr>
    </w:p>
    <w:tbl>
      <w:tblPr>
        <w:tblStyle w:val="GridTable4Accent2"/>
        <w:tblW w:w="1381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154"/>
        <w:gridCol w:w="2160"/>
        <w:gridCol w:w="4483"/>
        <w:gridCol w:w="1579"/>
        <w:gridCol w:w="1391"/>
        <w:gridCol w:w="1486"/>
      </w:tblGrid>
      <w:tr w:rsidR="00855334" w:rsidRPr="00451074" w:rsidTr="00B8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D32551" w:rsidRDefault="00855334" w:rsidP="00B90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Instituce</w:t>
            </w:r>
          </w:p>
        </w:tc>
        <w:tc>
          <w:tcPr>
            <w:tcW w:w="1154" w:type="dxa"/>
          </w:tcPr>
          <w:p w:rsidR="00855334" w:rsidRPr="00D32551" w:rsidRDefault="00855334" w:rsidP="00B9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Investiční zaměření</w:t>
            </w:r>
          </w:p>
        </w:tc>
        <w:tc>
          <w:tcPr>
            <w:tcW w:w="2160" w:type="dxa"/>
          </w:tcPr>
          <w:p w:rsidR="00855334" w:rsidRPr="00D32551" w:rsidRDefault="00855334" w:rsidP="00B9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Žadatel</w:t>
            </w:r>
          </w:p>
        </w:tc>
        <w:tc>
          <w:tcPr>
            <w:tcW w:w="4483" w:type="dxa"/>
          </w:tcPr>
          <w:p w:rsidR="00855334" w:rsidRPr="00D32551" w:rsidRDefault="00855334" w:rsidP="00B9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Na co může získat prostředky</w:t>
            </w:r>
          </w:p>
        </w:tc>
        <w:tc>
          <w:tcPr>
            <w:tcW w:w="1579" w:type="dxa"/>
          </w:tcPr>
          <w:p w:rsidR="00855334" w:rsidRPr="00D32551" w:rsidRDefault="00855334" w:rsidP="00B9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Výše finančních prostředků na projekt</w:t>
            </w:r>
          </w:p>
          <w:p w:rsidR="00855334" w:rsidRPr="00D32551" w:rsidRDefault="00855334" w:rsidP="00C45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[</w:t>
            </w:r>
            <w:r w:rsidR="00C45311">
              <w:rPr>
                <w:rFonts w:ascii="Arial" w:hAnsi="Arial" w:cs="Arial"/>
                <w:sz w:val="19"/>
                <w:szCs w:val="19"/>
              </w:rPr>
              <w:t>Kč</w:t>
            </w:r>
            <w:r w:rsidRPr="00D32551"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391" w:type="dxa"/>
          </w:tcPr>
          <w:p w:rsidR="00855334" w:rsidRPr="00D32551" w:rsidRDefault="00855334" w:rsidP="00B9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Zdroje financování</w:t>
            </w:r>
          </w:p>
        </w:tc>
        <w:tc>
          <w:tcPr>
            <w:tcW w:w="1486" w:type="dxa"/>
          </w:tcPr>
          <w:p w:rsidR="00855334" w:rsidRPr="00D32551" w:rsidRDefault="00855334" w:rsidP="00B9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32551">
              <w:rPr>
                <w:rFonts w:ascii="Arial" w:hAnsi="Arial" w:cs="Arial"/>
                <w:sz w:val="19"/>
                <w:szCs w:val="19"/>
              </w:rPr>
              <w:t>Druh financování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100" w:line="260" w:lineRule="auto"/>
              <w:ind w:left="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Arx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2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Equity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2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Partners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 xml:space="preserve"> Limited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střední podnik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investice do základního kapitálu společností v různých průmyslových odvětvích, společností poskytujících služby fyzickým osobám i firemním zákazníkům, společností podnikajících ve zdravotnictví a maloobchodu anebo distribuci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od</w:t>
            </w:r>
            <w:r w:rsidRPr="00451074">
              <w:rPr>
                <w:rFonts w:ascii="Arial" w:hAnsi="Arial" w:cs="Arial"/>
                <w:color w:val="000000" w:themeColor="text1"/>
                <w:spacing w:val="-3"/>
                <w:w w:val="105"/>
                <w:sz w:val="19"/>
                <w:szCs w:val="19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5 mil.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EIF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vlastní kapitál / rizikový kapitál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Česká spořitelna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obecné, výzkum, rozvoj</w:t>
            </w:r>
            <w:r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 xml:space="preserve"> a inovace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pStyle w:val="Zkladntext"/>
              <w:tabs>
                <w:tab w:val="left" w:pos="2284"/>
                <w:tab w:val="left" w:pos="4528"/>
              </w:tabs>
              <w:spacing w:before="7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cs-CZ"/>
              </w:rPr>
              <w:t>malé a st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ř</w:t>
            </w: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cs-CZ"/>
              </w:rPr>
              <w:t>ední podnik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y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Zkladntext"/>
              <w:tabs>
                <w:tab w:val="left" w:pos="2284"/>
                <w:tab w:val="left" w:pos="4528"/>
              </w:tabs>
              <w:spacing w:before="7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>financování inovativních projektů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od 25 tis. do 7,5 mil.</w:t>
            </w:r>
            <w:r w:rsidR="003146C7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EIF, EK v rámci Risk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Sharing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instrument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Česká spořitelna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malé a st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ř</w:t>
            </w: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ední podnik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, ve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ř</w:t>
            </w: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ejný sektor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rozvoj firem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od 40 tis. do 25 mil.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Česká spořitelna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malé a st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ř</w:t>
            </w: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ední podnik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Odstavecseseznamem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snížení úrokové sazby o 0,2 %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podpora energeticky úsporných opatření, které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dosáhnou alespoň 20 % úspory energie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evropský grant ve výši 10 % úvěru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lastRenderedPageBreak/>
              <w:t>Českomoravská</w:t>
            </w:r>
            <w:r w:rsidRPr="00451074">
              <w:rPr>
                <w:rFonts w:ascii="Arial" w:hAnsi="Arial" w:cs="Arial"/>
                <w:b w:val="0"/>
                <w:color w:val="000000" w:themeColor="text1"/>
                <w:spacing w:val="-14"/>
                <w:sz w:val="19"/>
                <w:szCs w:val="19"/>
              </w:rPr>
              <w:t xml:space="preserve"> </w:t>
            </w: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záruční a</w:t>
            </w:r>
            <w:r w:rsidRPr="00451074">
              <w:rPr>
                <w:rFonts w:ascii="Arial" w:hAnsi="Arial" w:cs="Arial"/>
                <w:b w:val="0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rozvojová</w:t>
            </w:r>
            <w:r w:rsidRPr="00451074">
              <w:rPr>
                <w:rFonts w:ascii="Arial" w:hAnsi="Arial" w:cs="Arial"/>
                <w:b w:val="0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banka</w:t>
            </w:r>
            <w:r w:rsidRPr="00451074">
              <w:rPr>
                <w:rFonts w:ascii="Arial" w:hAnsi="Arial" w:cs="Arial"/>
                <w:b w:val="0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a.s.</w:t>
            </w:r>
          </w:p>
          <w:p w:rsidR="00855334" w:rsidRPr="00451074" w:rsidRDefault="00855334" w:rsidP="00B90BFB">
            <w:pPr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PROGRES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Obecně všechny sektory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malý a střední podnik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posílení kapitálového vybavení podnikatelů</w:t>
            </w:r>
          </w:p>
        </w:tc>
        <w:tc>
          <w:tcPr>
            <w:tcW w:w="1579" w:type="dxa"/>
          </w:tcPr>
          <w:p w:rsidR="00855334" w:rsidRPr="00451074" w:rsidRDefault="003146C7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&lt; 1.000.000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podřízené úvěry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ČSOB</w:t>
            </w:r>
            <w:r w:rsidRPr="00451074">
              <w:rPr>
                <w:rFonts w:ascii="Arial" w:hAnsi="Arial" w:cs="Arial"/>
                <w:color w:val="000000" w:themeColor="text1"/>
                <w:spacing w:val="2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Leasing</w:t>
            </w:r>
            <w:r w:rsidRPr="00451074">
              <w:rPr>
                <w:rFonts w:ascii="Arial" w:hAnsi="Arial" w:cs="Arial"/>
                <w:color w:val="000000" w:themeColor="text1"/>
                <w:spacing w:val="2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a.s.</w:t>
            </w:r>
          </w:p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Style w:val="Siln"/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(</w:t>
            </w:r>
            <w:proofErr w:type="spellStart"/>
            <w:r w:rsidRPr="00451074">
              <w:rPr>
                <w:rStyle w:val="Siln"/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EUROleasing</w:t>
            </w:r>
            <w:proofErr w:type="spellEnd"/>
            <w:r w:rsidRPr="00451074">
              <w:rPr>
                <w:rStyle w:val="Siln"/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)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malý a střední podnik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investice do výrobních prostředků (přednostně pro komodity strojů a zařízení nových i použitých, nákladní automobily a autobusy – nové i ojeté (infrastruktura, turistika</w:t>
            </w:r>
          </w:p>
        </w:tc>
        <w:tc>
          <w:tcPr>
            <w:tcW w:w="1579" w:type="dxa"/>
          </w:tcPr>
          <w:p w:rsidR="00855334" w:rsidRPr="00451074" w:rsidRDefault="003146C7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18,1 mil.</w:t>
            </w:r>
            <w:r w:rsidR="00855334"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 do 12,5 mil.</w:t>
            </w:r>
            <w:r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ČSOB,</w:t>
            </w:r>
            <w:r w:rsidRPr="00451074">
              <w:rPr>
                <w:rFonts w:ascii="Arial" w:hAnsi="Arial" w:cs="Arial"/>
                <w:color w:val="000000" w:themeColor="text1"/>
                <w:spacing w:val="-2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a.</w:t>
            </w:r>
            <w:r w:rsidRPr="00451074">
              <w:rPr>
                <w:rFonts w:ascii="Arial" w:hAnsi="Arial" w:cs="Arial"/>
                <w:color w:val="000000" w:themeColor="text1"/>
                <w:spacing w:val="-2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 xml:space="preserve">s. </w:t>
            </w:r>
          </w:p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(EU SMART CREDIT)</w:t>
            </w:r>
          </w:p>
        </w:tc>
        <w:tc>
          <w:tcPr>
            <w:tcW w:w="1154" w:type="dxa"/>
          </w:tcPr>
          <w:p w:rsidR="00855334" w:rsidRPr="00451074" w:rsidRDefault="00855334" w:rsidP="00314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Obecně všechny sekt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ory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- malý a střední podnik do 250 zaměstnanců</w:t>
            </w:r>
          </w:p>
          <w:p w:rsidR="00855334" w:rsidRPr="00451074" w:rsidRDefault="00855334" w:rsidP="00B90B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- velkým podnikům do 3000 zaměstnanců na konsolidované bázi za skupinu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investice do pořízení a technického zhodnocení hmotného majetku pro podnikatelskou činnost v oblasti výroby či služeb s cílem podpořit růst a konkurenceschopnost podniků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- akvizice podniků v rámci generační výměny nebo management </w:t>
            </w:r>
            <w:proofErr w:type="spellStart"/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buy-out</w:t>
            </w:r>
            <w:proofErr w:type="spellEnd"/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do 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12,712 mil.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Darby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Private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5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Equity</w:t>
            </w:r>
            <w:proofErr w:type="spellEnd"/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</w:p>
        </w:tc>
        <w:tc>
          <w:tcPr>
            <w:tcW w:w="4483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investice v odvětvích jako je doprava, energetika, telekomunikace, nakládání s odpady a úprava vody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EIF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vlastní kapitál / rizikový kapitál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East</w:t>
            </w:r>
            <w:r w:rsidRPr="00451074">
              <w:rPr>
                <w:rFonts w:ascii="Arial" w:hAnsi="Arial" w:cs="Arial"/>
                <w:color w:val="000000" w:themeColor="text1"/>
                <w:spacing w:val="-1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Accession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1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BV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pStyle w:val="Zkladntext"/>
              <w:tabs>
                <w:tab w:val="left" w:pos="166"/>
              </w:tabs>
              <w:spacing w:before="8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Zkladntext"/>
              <w:tabs>
                <w:tab w:val="left" w:pos="166"/>
              </w:tabs>
              <w:spacing w:before="8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>investice do úspěšných firem s možností rozšíření mimo své domovské trhy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pStyle w:val="Zkladntext"/>
              <w:tabs>
                <w:tab w:val="left" w:pos="166"/>
              </w:tabs>
              <w:spacing w:before="8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>od</w:t>
            </w:r>
            <w:r w:rsidRPr="00451074">
              <w:rPr>
                <w:rFonts w:ascii="Arial" w:hAnsi="Arial" w:cs="Arial"/>
                <w:color w:val="000000" w:themeColor="text1"/>
                <w:spacing w:val="-11"/>
                <w:w w:val="105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>5 mil. do 15 mil.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EIF, </w:t>
            </w:r>
            <w:r w:rsidRPr="00451074">
              <w:rPr>
                <w:rStyle w:val="Zvraznn"/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EBRD</w:t>
            </w:r>
            <w:r w:rsidRPr="00451074">
              <w:rPr>
                <w:rStyle w:val="Zvraznn"/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BSTaDB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, DEG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vlastní kapitál / rizikový kapitál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Enterprise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10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Investors</w:t>
            </w:r>
            <w:proofErr w:type="spellEnd"/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malé a středně velké podniky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financování růstu společností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od 1 mil. do 6 mil. 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Evropský investiční fond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vlastní kapitál / rizikový kapitál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GE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Money</w:t>
            </w:r>
            <w:r w:rsidRPr="00451074">
              <w:rPr>
                <w:rFonts w:ascii="Arial" w:hAnsi="Arial" w:cs="Arial"/>
                <w:color w:val="000000" w:themeColor="text1"/>
                <w:spacing w:val="-5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Bank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malé a středně velké podniky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financování investičních záměrů (</w:t>
            </w: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výstavba, rekonstrukce či nákup nemovitosti a investice do technologie a zařízení)</w:t>
            </w:r>
          </w:p>
        </w:tc>
        <w:tc>
          <w:tcPr>
            <w:tcW w:w="1579" w:type="dxa"/>
          </w:tcPr>
          <w:p w:rsidR="00855334" w:rsidRPr="00451074" w:rsidRDefault="003146C7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18,159 tis.</w:t>
            </w:r>
            <w:r w:rsidR="00855334"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Kč </w:t>
            </w:r>
            <w:r w:rsidR="00855334"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do 363,174 tis.</w:t>
            </w:r>
            <w:r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Evropský investiční fond, p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rogramu pro podporu konkurencesc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hopnosti a inovací (CIP)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lastRenderedPageBreak/>
              <w:t>úvěr / záruka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lastRenderedPageBreak/>
              <w:t>Komerční</w:t>
            </w:r>
            <w:r w:rsidRPr="00451074">
              <w:rPr>
                <w:rFonts w:ascii="Arial" w:hAnsi="Arial" w:cs="Arial"/>
                <w:color w:val="000000" w:themeColor="text1"/>
                <w:spacing w:val="-14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banka</w:t>
            </w:r>
          </w:p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(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EuroInovace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)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obecné, výzkum, vývoj a inovace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pStyle w:val="Zkladntext"/>
              <w:tabs>
                <w:tab w:val="left" w:pos="2291"/>
                <w:tab w:val="left" w:pos="4535"/>
              </w:tabs>
              <w:spacing w:before="8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malé a střední podniky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tabs>
                <w:tab w:val="num" w:pos="72"/>
              </w:tabs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financování provozních či investičních potřeb inovativního podnikatele, nových výrobků, služeb nebo procesů a významných inovací výrobků, služeb nebo procesů</w:t>
            </w:r>
          </w:p>
        </w:tc>
        <w:tc>
          <w:tcPr>
            <w:tcW w:w="1579" w:type="dxa"/>
          </w:tcPr>
          <w:p w:rsidR="00855334" w:rsidRPr="00451074" w:rsidRDefault="00855334" w:rsidP="003146C7">
            <w:pPr>
              <w:pStyle w:val="Zklad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>23,606 tis.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 xml:space="preserve"> Kč</w:t>
            </w: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 xml:space="preserve"> do 2,796 mil.</w:t>
            </w:r>
            <w:r w:rsidR="003146C7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Evropský investiční fond, Risk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sharing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finance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Komerční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banka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a.s.</w:t>
            </w:r>
          </w:p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(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EuroPremium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)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 xml:space="preserve">podniky do 3000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zaměstnanců přepočtenými na plný pracovní úvazek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hmotný majetek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nehmotný majetek: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výzkumné práce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plánování a finanční náklady během fáze výstavby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náklady na výzkum a vývoj (poplatky, vývoj, hrubé mzdy přímo spojené s výzkumem, zdokonalování a inovace procesů)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permanentní nárůst pracovního kapitálu související s rozšiřováním obchodních aktivit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do 10,895 mil.</w:t>
            </w:r>
            <w:r w:rsidR="003146C7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Evropská investiční banka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Komerční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banka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a.s.</w:t>
            </w:r>
          </w:p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(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EuroInovace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)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00" w:beforeAutospacing="1" w:after="100" w:afterAutospacing="1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malé a střední podniky s max. 250 zaměstnanci a obratem vyšším jak 50 mil. eur či sumou aktiv do 1 mld. Kč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na rychlé</w:t>
            </w: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zavádění nových technologií výroby, efektivní inovování výrobních procesů nebo postupů</w:t>
            </w:r>
          </w:p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financování vlastních projektů v oblasti výzkumu a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vývoje</w:t>
            </w:r>
          </w:p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častější a efektivnější uvádění nových výrobků nebo služeb na trh a získání tak konkurenční výhody</w:t>
            </w:r>
          </w:p>
        </w:tc>
        <w:tc>
          <w:tcPr>
            <w:tcW w:w="1579" w:type="dxa"/>
          </w:tcPr>
          <w:p w:rsidR="00855334" w:rsidRPr="00451074" w:rsidRDefault="003146C7" w:rsidP="0031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  <w:t>23,606 tis. Kč do 2,796 mil.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Evropská investiční banka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Komerční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banka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a.s.</w:t>
            </w:r>
          </w:p>
          <w:p w:rsidR="00855334" w:rsidRPr="00451074" w:rsidRDefault="00855334" w:rsidP="00B90BFB">
            <w:pPr>
              <w:pStyle w:val="Nadpis1"/>
              <w:spacing w:before="80"/>
              <w:ind w:left="0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(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EuroPremium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lastRenderedPageBreak/>
              <w:t>Young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)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lastRenderedPageBreak/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00" w:beforeAutospacing="1" w:after="100" w:afterAutospacing="1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firma, která zaměstnala alespoň jednoho mladého člověka (velká firma </w:t>
            </w: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lastRenderedPageBreak/>
              <w:t>pět mladých lidí) v předchozích 6 měsících a stále jej zaměstnává, nebo pokud se zaváže, že jej v následujícím půl roce zaměstná</w:t>
            </w:r>
          </w:p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00" w:beforeAutospacing="1" w:after="100" w:afterAutospacing="1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společnost, která nabízí odborné profesní vzdělávání, praxe či stáže pro studenty</w:t>
            </w:r>
          </w:p>
          <w:p w:rsidR="00855334" w:rsidRPr="00451074" w:rsidRDefault="00855334" w:rsidP="00B90BF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100" w:beforeAutospacing="1" w:after="100" w:afterAutospacing="1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firmu, která spolupracuje s technickou školou či univerzitou v programech zaměstnávání mladých pracovníků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numPr>
                <w:ilvl w:val="1"/>
                <w:numId w:val="9"/>
              </w:numPr>
              <w:spacing w:before="100" w:beforeAutospacing="1" w:after="100" w:afterAutospacing="1"/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lastRenderedPageBreak/>
              <w:t>hmotný majetek</w:t>
            </w:r>
          </w:p>
          <w:p w:rsidR="00855334" w:rsidRPr="00451074" w:rsidRDefault="00855334" w:rsidP="00B90BFB">
            <w:pPr>
              <w:numPr>
                <w:ilvl w:val="1"/>
                <w:numId w:val="9"/>
              </w:numPr>
              <w:spacing w:before="100" w:beforeAutospacing="1" w:after="100" w:afterAutospacing="1"/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nehmotný majete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k: (výzkumné práce, plánování a </w:t>
            </w: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finanční náklady během fáz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e výstavby, náklady na výzkum a </w:t>
            </w: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vývoj, atp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.</w:t>
            </w: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).</w:t>
            </w:r>
          </w:p>
          <w:p w:rsidR="00855334" w:rsidRPr="00451074" w:rsidRDefault="00855334" w:rsidP="00B90BFB">
            <w:pPr>
              <w:numPr>
                <w:ilvl w:val="1"/>
                <w:numId w:val="9"/>
              </w:numPr>
              <w:spacing w:before="100" w:beforeAutospacing="1" w:after="100" w:afterAutospacing="1"/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lastRenderedPageBreak/>
              <w:t>permanentní nárůst pracovního kapitálu související s rozšiřováním obchodních aktivit</w:t>
            </w:r>
          </w:p>
        </w:tc>
        <w:tc>
          <w:tcPr>
            <w:tcW w:w="1579" w:type="dxa"/>
          </w:tcPr>
          <w:p w:rsidR="00855334" w:rsidRPr="00451074" w:rsidRDefault="001F45FF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</w:rPr>
            </w:pPr>
            <w:r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lastRenderedPageBreak/>
              <w:t>do 10,895 mil.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Evropská investiční banka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TableParagraph"/>
              <w:spacing w:before="38" w:line="260" w:lineRule="auto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lastRenderedPageBreak/>
              <w:t>Pontis</w:t>
            </w:r>
            <w:proofErr w:type="spellEnd"/>
            <w:r w:rsidRPr="00451074">
              <w:rPr>
                <w:rFonts w:ascii="Arial" w:hAnsi="Arial" w:cs="Arial"/>
                <w:b w:val="0"/>
                <w:color w:val="000000" w:themeColor="text1"/>
                <w:spacing w:val="1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Venture</w:t>
            </w:r>
            <w:r w:rsidRPr="00451074">
              <w:rPr>
                <w:rFonts w:ascii="Arial" w:hAnsi="Arial" w:cs="Arial"/>
                <w:b w:val="0"/>
                <w:color w:val="000000" w:themeColor="text1"/>
                <w:spacing w:val="2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Partners</w:t>
            </w:r>
            <w:proofErr w:type="spellEnd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 xml:space="preserve"> Management</w:t>
            </w:r>
            <w:r w:rsidRPr="00451074">
              <w:rPr>
                <w:rFonts w:ascii="Arial" w:hAnsi="Arial" w:cs="Arial"/>
                <w:b w:val="0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GmbH</w:t>
            </w:r>
            <w:proofErr w:type="spellEnd"/>
          </w:p>
        </w:tc>
        <w:tc>
          <w:tcPr>
            <w:tcW w:w="1154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ICT</w:t>
            </w:r>
            <w:r w:rsidRPr="00451074"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sector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,</w:t>
            </w:r>
            <w:r w:rsidRPr="00451074">
              <w:rPr>
                <w:rFonts w:ascii="Arial" w:hAnsi="Arial" w:cs="Arial"/>
                <w:color w:val="000000" w:themeColor="text1"/>
                <w:spacing w:val="-5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Life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pacing w:val="-5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Sciences</w:t>
            </w:r>
            <w:proofErr w:type="spellEnd"/>
          </w:p>
        </w:tc>
        <w:tc>
          <w:tcPr>
            <w:tcW w:w="2160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inovativní a technologicky vyspělý</w:t>
            </w: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</w:rPr>
              <w:t xml:space="preserve"> středně velký podnik (roční tržby 2 - 40 mil. eur)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TableParagraph"/>
              <w:numPr>
                <w:ilvl w:val="0"/>
                <w:numId w:val="13"/>
              </w:numPr>
              <w:spacing w:before="38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ICT (IT operace, elektronika </w:t>
            </w:r>
            <w:proofErr w:type="spellStart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amédia</w:t>
            </w:r>
            <w:proofErr w:type="spellEnd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)</w:t>
            </w:r>
          </w:p>
          <w:p w:rsidR="00855334" w:rsidRPr="00451074" w:rsidRDefault="00855334" w:rsidP="00B90BFB">
            <w:pPr>
              <w:pStyle w:val="TableParagraph"/>
              <w:numPr>
                <w:ilvl w:val="0"/>
                <w:numId w:val="13"/>
              </w:numPr>
              <w:spacing w:before="38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Cleantech</w:t>
            </w:r>
            <w:proofErr w:type="spellEnd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(environmentální technologie - energetická účinnost, voda a nakládání s vodami, energetická účinnost, recyklace)</w:t>
            </w:r>
          </w:p>
          <w:p w:rsidR="00855334" w:rsidRPr="00451074" w:rsidRDefault="00855334" w:rsidP="00B90BFB">
            <w:pPr>
              <w:pStyle w:val="TableParagraph"/>
              <w:numPr>
                <w:ilvl w:val="0"/>
                <w:numId w:val="13"/>
              </w:numPr>
              <w:spacing w:before="38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Medtech</w:t>
            </w:r>
            <w:proofErr w:type="spellEnd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/nové materiály (zdravotnické prostředky, diagnostika, nové materiály a chemie)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05"/>
                <w:sz w:val="19"/>
                <w:szCs w:val="19"/>
                <w:lang w:val="cs-CZ"/>
              </w:rPr>
            </w:pPr>
            <w:proofErr w:type="gramStart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od </w:t>
            </w:r>
            <w:r w:rsidRPr="00451074">
              <w:rPr>
                <w:rFonts w:ascii="Arial" w:eastAsia="Times New Roman" w:hAnsi="Arial" w:cs="Arial"/>
                <w:color w:val="000000" w:themeColor="text1"/>
                <w:spacing w:val="-37"/>
                <w:w w:val="110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1 mil.</w:t>
            </w:r>
            <w:proofErr w:type="gramEnd"/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do 5 mil.</w:t>
            </w:r>
            <w:r w:rsidR="001F45FF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EIF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vlastní kapitál / rizikový</w:t>
            </w:r>
          </w:p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kapitál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TableParagraph"/>
              <w:spacing w:before="38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Raiffeisenbank</w:t>
            </w:r>
            <w:proofErr w:type="spellEnd"/>
          </w:p>
        </w:tc>
        <w:tc>
          <w:tcPr>
            <w:tcW w:w="1154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  <w:lang w:val="cs-CZ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středně velký podnik do 250 zaměstnanců přepočtených na </w:t>
            </w: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lastRenderedPageBreak/>
              <w:t>FTE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hmotný majetek</w:t>
            </w:r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nehmotný majetek:</w:t>
            </w:r>
          </w:p>
          <w:p w:rsidR="00855334" w:rsidRPr="00451074" w:rsidRDefault="00855334" w:rsidP="00B90BFB">
            <w:pPr>
              <w:pStyle w:val="Odstavecseseznamem"/>
              <w:autoSpaceDE w:val="0"/>
              <w:autoSpaceDN w:val="0"/>
              <w:adjustRightInd w:val="0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- výzkumné práce </w:t>
            </w:r>
          </w:p>
          <w:p w:rsidR="00855334" w:rsidRPr="00451074" w:rsidRDefault="00855334" w:rsidP="00B90BFB">
            <w:pPr>
              <w:pStyle w:val="Odstavecseseznamem"/>
              <w:autoSpaceDE w:val="0"/>
              <w:autoSpaceDN w:val="0"/>
              <w:adjustRightInd w:val="0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- plánování a finanční náklady během fáze výstavby</w:t>
            </w:r>
          </w:p>
          <w:p w:rsidR="00855334" w:rsidRPr="00451074" w:rsidRDefault="00855334" w:rsidP="00B90BFB">
            <w:pPr>
              <w:pStyle w:val="Odstavecseseznamem"/>
              <w:autoSpaceDE w:val="0"/>
              <w:autoSpaceDN w:val="0"/>
              <w:adjustRightInd w:val="0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- náklady na výzkum a vývoj (poplatky, vývoj, hrubé mzdy přímo spojené s výzkumem, zdokonalování a inovace procesů)</w:t>
            </w:r>
          </w:p>
          <w:p w:rsidR="00855334" w:rsidRPr="00451074" w:rsidRDefault="00855334" w:rsidP="00B90BFB">
            <w:pPr>
              <w:pStyle w:val="Odstavecseseznamem"/>
              <w:autoSpaceDE w:val="0"/>
              <w:autoSpaceDN w:val="0"/>
              <w:adjustRightInd w:val="0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- permanentní nárůst pracovního kapitálu (pohledávek, zásob) související s rozšiřováním obchodních aktivit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lastRenderedPageBreak/>
              <w:t>do 25 mil.</w:t>
            </w:r>
            <w:r w:rsidR="001F45FF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95"/>
                <w:sz w:val="19"/>
                <w:szCs w:val="19"/>
                <w:lang w:val="cs-CZ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TableParagraph"/>
              <w:spacing w:before="38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lastRenderedPageBreak/>
              <w:t>Raiffeisenbank</w:t>
            </w:r>
            <w:proofErr w:type="spellEnd"/>
          </w:p>
          <w:p w:rsidR="00855334" w:rsidRPr="00451074" w:rsidRDefault="00855334" w:rsidP="00B90BFB">
            <w:pPr>
              <w:pStyle w:val="TableParagraph"/>
              <w:spacing w:before="38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(Zelený úvěr)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  <w:lang w:val="cs-CZ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malý a středně velký podnik s obratem do 50 mil. eur </w:t>
            </w: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nebo celkovou účetní bilancí do 43 mil. EUR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Energetická účinnost v průmyslu (např. výměna kotlů, rekuperace tepla z výrobních </w:t>
            </w:r>
            <w:proofErr w:type="gram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procesů, ...)</w:t>
            </w:r>
            <w:proofErr w:type="gramEnd"/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Energetická účinnost v budovách (např. izolace stěn a střech, modernizace </w:t>
            </w:r>
            <w:proofErr w:type="gram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osvětlení, ...)</w:t>
            </w:r>
            <w:proofErr w:type="gramEnd"/>
          </w:p>
          <w:p w:rsidR="00855334" w:rsidRPr="00451074" w:rsidRDefault="00855334" w:rsidP="00B90BF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Obnovitelné zdroje energie (např. </w:t>
            </w:r>
            <w:proofErr w:type="spellStart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fotovoltaika</w:t>
            </w:r>
            <w:proofErr w:type="spellEnd"/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, malé vodní elektrárny)</w:t>
            </w:r>
          </w:p>
        </w:tc>
        <w:tc>
          <w:tcPr>
            <w:tcW w:w="1579" w:type="dxa"/>
          </w:tcPr>
          <w:p w:rsidR="00855334" w:rsidRPr="00451074" w:rsidRDefault="00C45311" w:rsidP="00C45311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2,7 mil. Kč</w:t>
            </w:r>
            <w:r w:rsidR="00855334"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(dlouhodobé financování do </w:t>
            </w:r>
            <w:r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337</w:t>
            </w:r>
            <w:r w:rsidR="00855334"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mil. </w:t>
            </w:r>
            <w:r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Kč</w:t>
            </w:r>
            <w:r w:rsidR="00855334"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)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95"/>
                <w:sz w:val="19"/>
                <w:szCs w:val="19"/>
                <w:lang w:val="cs-CZ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TableParagraph"/>
              <w:spacing w:before="38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Societe</w:t>
            </w:r>
            <w:proofErr w:type="spellEnd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Generale</w:t>
            </w:r>
            <w:proofErr w:type="spellEnd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Equipment</w:t>
            </w:r>
            <w:proofErr w:type="spellEnd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 xml:space="preserve"> Finance Czech Republic s.r.o.</w:t>
            </w:r>
          </w:p>
        </w:tc>
        <w:tc>
          <w:tcPr>
            <w:tcW w:w="1154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  <w:lang w:val="cs-CZ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malé a střední podniky (do 3000 zaměstnanců) a obce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  <w:t>spolufinancování projektů z oblasti průmyslu, dopravy, ochrany životního prostředí, energetiky, programů na úsporu energie, infrastruktury včetně projektů z oblasti zdravotní péče a vzdělání, služeb, cestovního ruchu a další pro společnost přínosné projekty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do</w:t>
            </w:r>
            <w:r w:rsidRPr="00451074">
              <w:rPr>
                <w:rFonts w:ascii="Arial" w:eastAsia="Times New Roman" w:hAnsi="Arial" w:cs="Arial"/>
                <w:color w:val="000000" w:themeColor="text1"/>
                <w:spacing w:val="-37"/>
                <w:w w:val="110"/>
                <w:sz w:val="19"/>
                <w:szCs w:val="19"/>
                <w:lang w:val="cs-CZ"/>
              </w:rPr>
              <w:t xml:space="preserve"> </w:t>
            </w:r>
            <w:r w:rsidRPr="00451074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>25 mil.</w:t>
            </w:r>
            <w:r w:rsidR="001F45FF">
              <w:rPr>
                <w:rFonts w:ascii="Arial" w:eastAsia="Times New Roman" w:hAnsi="Arial" w:cs="Arial"/>
                <w:color w:val="000000" w:themeColor="text1"/>
                <w:w w:val="110"/>
                <w:sz w:val="19"/>
                <w:szCs w:val="19"/>
                <w:lang w:val="cs-CZ"/>
              </w:rPr>
              <w:t xml:space="preserve"> Kč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hAnsi="Arial" w:cs="Arial"/>
                <w:color w:val="000000" w:themeColor="text1"/>
                <w:w w:val="95"/>
                <w:sz w:val="19"/>
                <w:szCs w:val="19"/>
                <w:lang w:val="cs-CZ"/>
              </w:rPr>
              <w:t>EIB</w:t>
            </w:r>
          </w:p>
        </w:tc>
        <w:tc>
          <w:tcPr>
            <w:tcW w:w="1486" w:type="dxa"/>
          </w:tcPr>
          <w:p w:rsidR="00855334" w:rsidRPr="00451074" w:rsidRDefault="00855334" w:rsidP="00B9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úvěr / záruka</w:t>
            </w:r>
          </w:p>
        </w:tc>
      </w:tr>
      <w:tr w:rsidR="00855334" w:rsidRPr="00451074" w:rsidTr="00B831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55334" w:rsidRPr="00451074" w:rsidRDefault="00855334" w:rsidP="00B90BFB">
            <w:pPr>
              <w:pStyle w:val="TableParagraph"/>
              <w:spacing w:before="38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</w:pP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Syntaxis</w:t>
            </w:r>
            <w:proofErr w:type="spellEnd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451074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  <w:lang w:val="cs-CZ"/>
              </w:rPr>
              <w:t>Capital</w:t>
            </w:r>
            <w:proofErr w:type="spellEnd"/>
          </w:p>
        </w:tc>
        <w:tc>
          <w:tcPr>
            <w:tcW w:w="1154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  <w:lang w:val="cs-CZ"/>
              </w:rPr>
              <w:t>všechna odvětví / obecné</w:t>
            </w:r>
          </w:p>
        </w:tc>
        <w:tc>
          <w:tcPr>
            <w:tcW w:w="2160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podniky s hodnotou 50-300 mil. eur</w:t>
            </w:r>
          </w:p>
        </w:tc>
        <w:tc>
          <w:tcPr>
            <w:tcW w:w="4483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není specifikováno</w:t>
            </w:r>
          </w:p>
        </w:tc>
        <w:tc>
          <w:tcPr>
            <w:tcW w:w="1579" w:type="dxa"/>
          </w:tcPr>
          <w:p w:rsidR="00855334" w:rsidRPr="00451074" w:rsidRDefault="00855334" w:rsidP="00B9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hAnsi="Arial" w:cs="Arial"/>
                <w:color w:val="000000" w:themeColor="text1"/>
                <w:sz w:val="19"/>
                <w:szCs w:val="19"/>
              </w:rPr>
              <w:t>není stanoveno</w:t>
            </w:r>
          </w:p>
        </w:tc>
        <w:tc>
          <w:tcPr>
            <w:tcW w:w="1391" w:type="dxa"/>
          </w:tcPr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</w:p>
        </w:tc>
        <w:tc>
          <w:tcPr>
            <w:tcW w:w="1486" w:type="dxa"/>
          </w:tcPr>
          <w:p w:rsidR="00855334" w:rsidRPr="00451074" w:rsidRDefault="00855334" w:rsidP="00B90B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</w:rPr>
              <w:t>vlastní kapitál / rizikový</w:t>
            </w:r>
          </w:p>
          <w:p w:rsidR="00855334" w:rsidRPr="00451074" w:rsidRDefault="00855334" w:rsidP="00B90BFB">
            <w:pPr>
              <w:pStyle w:val="TableParagraph"/>
              <w:spacing w:before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cs-CZ"/>
              </w:rPr>
            </w:pPr>
            <w:r w:rsidRPr="00451074">
              <w:rPr>
                <w:rFonts w:ascii="Arial" w:eastAsia="FreeSerif" w:hAnsi="Arial" w:cs="Arial"/>
                <w:color w:val="000000" w:themeColor="text1"/>
                <w:sz w:val="19"/>
                <w:szCs w:val="19"/>
                <w:lang w:val="cs-CZ"/>
              </w:rPr>
              <w:t>kapitál</w:t>
            </w:r>
          </w:p>
        </w:tc>
      </w:tr>
    </w:tbl>
    <w:p w:rsidR="00D32551" w:rsidRDefault="00D32551" w:rsidP="00E45504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97515C" w:rsidRPr="00451074" w:rsidRDefault="00E51F31" w:rsidP="00E45504">
      <w:pPr>
        <w:rPr>
          <w:rFonts w:ascii="Arial" w:hAnsi="Arial" w:cs="Arial"/>
          <w:color w:val="000000" w:themeColor="text1"/>
          <w:sz w:val="19"/>
          <w:szCs w:val="19"/>
        </w:rPr>
      </w:pPr>
      <w:r w:rsidRPr="00451074">
        <w:rPr>
          <w:rFonts w:ascii="Arial" w:hAnsi="Arial" w:cs="Arial"/>
          <w:color w:val="000000" w:themeColor="text1"/>
          <w:sz w:val="19"/>
          <w:szCs w:val="19"/>
        </w:rPr>
        <w:t>Vysvětlivky</w:t>
      </w:r>
      <w:r w:rsidR="00963B1B" w:rsidRPr="00451074">
        <w:rPr>
          <w:rFonts w:ascii="Arial" w:hAnsi="Arial" w:cs="Arial"/>
          <w:color w:val="000000" w:themeColor="text1"/>
          <w:sz w:val="19"/>
          <w:szCs w:val="19"/>
        </w:rPr>
        <w:t>:</w:t>
      </w:r>
    </w:p>
    <w:p w:rsidR="00963B1B" w:rsidRPr="00451074" w:rsidRDefault="00963B1B" w:rsidP="00E45504">
      <w:pPr>
        <w:rPr>
          <w:rFonts w:ascii="Arial" w:hAnsi="Arial" w:cs="Arial"/>
          <w:color w:val="000000" w:themeColor="text1"/>
          <w:sz w:val="19"/>
          <w:szCs w:val="19"/>
        </w:rPr>
      </w:pPr>
      <w:r w:rsidRPr="00451074">
        <w:rPr>
          <w:rFonts w:ascii="Arial" w:hAnsi="Arial" w:cs="Arial"/>
          <w:color w:val="000000" w:themeColor="text1"/>
          <w:sz w:val="19"/>
          <w:szCs w:val="19"/>
        </w:rPr>
        <w:t>EIB</w:t>
      </w:r>
      <w:r w:rsidR="00E51F31" w:rsidRPr="0045107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451074">
        <w:rPr>
          <w:rFonts w:ascii="Arial" w:hAnsi="Arial" w:cs="Arial"/>
          <w:color w:val="000000" w:themeColor="text1"/>
          <w:sz w:val="19"/>
          <w:szCs w:val="19"/>
        </w:rPr>
        <w:t>- Evropská investiční banka, EIF - Evropský investiční fond, EK - Evropská komise</w:t>
      </w:r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, EBRD - </w:t>
      </w:r>
      <w:proofErr w:type="spellStart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>European</w:t>
      </w:r>
      <w:proofErr w:type="spellEnd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 xml:space="preserve"> Bank </w:t>
      </w:r>
      <w:proofErr w:type="spellStart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>for</w:t>
      </w:r>
      <w:proofErr w:type="spellEnd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 xml:space="preserve"> </w:t>
      </w:r>
      <w:proofErr w:type="spellStart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>Reconstruction</w:t>
      </w:r>
      <w:proofErr w:type="spellEnd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 xml:space="preserve"> and </w:t>
      </w:r>
      <w:proofErr w:type="spellStart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>Development</w:t>
      </w:r>
      <w:proofErr w:type="spellEnd"/>
      <w:r w:rsidR="008D4ED0" w:rsidRPr="00451074">
        <w:rPr>
          <w:rStyle w:val="Zvraznn"/>
          <w:rFonts w:ascii="Arial" w:hAnsi="Arial" w:cs="Arial"/>
          <w:b w:val="0"/>
          <w:color w:val="000000" w:themeColor="text1"/>
          <w:sz w:val="19"/>
          <w:szCs w:val="19"/>
        </w:rPr>
        <w:t>,</w:t>
      </w:r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BSTaDB</w:t>
      </w:r>
      <w:proofErr w:type="spellEnd"/>
      <w:r w:rsidR="00064DA3" w:rsidRPr="00451074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Black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Sea</w:t>
      </w:r>
      <w:proofErr w:type="spellEnd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Trade</w:t>
      </w:r>
      <w:proofErr w:type="spellEnd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 and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Development</w:t>
      </w:r>
      <w:proofErr w:type="spellEnd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 Bank, </w:t>
      </w:r>
      <w:r w:rsidR="00064DA3" w:rsidRPr="00451074">
        <w:rPr>
          <w:rFonts w:ascii="Arial" w:hAnsi="Arial" w:cs="Arial"/>
          <w:color w:val="000000" w:themeColor="text1"/>
          <w:sz w:val="19"/>
          <w:szCs w:val="19"/>
        </w:rPr>
        <w:t xml:space="preserve">DEG -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Deutsche</w:t>
      </w:r>
      <w:proofErr w:type="spellEnd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Investitions</w:t>
      </w:r>
      <w:proofErr w:type="spellEnd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-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und</w:t>
      </w:r>
      <w:proofErr w:type="spellEnd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8D4ED0" w:rsidRPr="00451074">
        <w:rPr>
          <w:rFonts w:ascii="Arial" w:hAnsi="Arial" w:cs="Arial"/>
          <w:color w:val="000000" w:themeColor="text1"/>
          <w:sz w:val="19"/>
          <w:szCs w:val="19"/>
        </w:rPr>
        <w:t>Entwicklungsgesellschaft</w:t>
      </w:r>
      <w:proofErr w:type="spellEnd"/>
    </w:p>
    <w:sectPr w:rsidR="00963B1B" w:rsidRPr="00451074" w:rsidSect="00975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70" w:rsidRDefault="00384970" w:rsidP="00FE511C">
      <w:pPr>
        <w:spacing w:after="0" w:line="240" w:lineRule="auto"/>
      </w:pPr>
      <w:r>
        <w:separator/>
      </w:r>
    </w:p>
  </w:endnote>
  <w:endnote w:type="continuationSeparator" w:id="0">
    <w:p w:rsidR="00384970" w:rsidRDefault="00384970" w:rsidP="00F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42" w:rsidRDefault="00822D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42" w:rsidRDefault="00822D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42" w:rsidRDefault="00822D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70" w:rsidRDefault="00384970" w:rsidP="00FE511C">
      <w:pPr>
        <w:spacing w:after="0" w:line="240" w:lineRule="auto"/>
      </w:pPr>
      <w:r>
        <w:separator/>
      </w:r>
    </w:p>
  </w:footnote>
  <w:footnote w:type="continuationSeparator" w:id="0">
    <w:p w:rsidR="00384970" w:rsidRDefault="00384970" w:rsidP="00FE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42" w:rsidRDefault="00822D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1C" w:rsidRDefault="00822D42" w:rsidP="00FE511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B40AE51" wp14:editId="5B6C33DD">
          <wp:extent cx="5270500" cy="871640"/>
          <wp:effectExtent l="0" t="0" r="6350" b="508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55334" w:rsidRDefault="00855334" w:rsidP="00FE511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42" w:rsidRDefault="00822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4B"/>
    <w:multiLevelType w:val="multilevel"/>
    <w:tmpl w:val="BA8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7634"/>
    <w:multiLevelType w:val="multilevel"/>
    <w:tmpl w:val="159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78C7"/>
    <w:multiLevelType w:val="hybridMultilevel"/>
    <w:tmpl w:val="7A3817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5B7"/>
    <w:multiLevelType w:val="hybridMultilevel"/>
    <w:tmpl w:val="828A72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73DD"/>
    <w:multiLevelType w:val="multilevel"/>
    <w:tmpl w:val="BCE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B6041"/>
    <w:multiLevelType w:val="hybridMultilevel"/>
    <w:tmpl w:val="3BAC8C0E"/>
    <w:lvl w:ilvl="0" w:tplc="DB56012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2415"/>
    <w:multiLevelType w:val="multilevel"/>
    <w:tmpl w:val="D750B4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4590D"/>
    <w:multiLevelType w:val="multilevel"/>
    <w:tmpl w:val="105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215FC"/>
    <w:multiLevelType w:val="hybridMultilevel"/>
    <w:tmpl w:val="1144D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E4ACD"/>
    <w:multiLevelType w:val="multilevel"/>
    <w:tmpl w:val="A63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96A90"/>
    <w:multiLevelType w:val="hybridMultilevel"/>
    <w:tmpl w:val="BB00A54E"/>
    <w:lvl w:ilvl="0" w:tplc="0405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5CD4094F"/>
    <w:multiLevelType w:val="hybridMultilevel"/>
    <w:tmpl w:val="74D235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D4F50"/>
    <w:multiLevelType w:val="hybridMultilevel"/>
    <w:tmpl w:val="0A86FC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C7027"/>
    <w:multiLevelType w:val="hybridMultilevel"/>
    <w:tmpl w:val="D27C8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17740"/>
    <w:multiLevelType w:val="multilevel"/>
    <w:tmpl w:val="386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C"/>
    <w:rsid w:val="0001094C"/>
    <w:rsid w:val="00011869"/>
    <w:rsid w:val="00013397"/>
    <w:rsid w:val="000137C0"/>
    <w:rsid w:val="00020456"/>
    <w:rsid w:val="000210B9"/>
    <w:rsid w:val="00026C5B"/>
    <w:rsid w:val="00027B90"/>
    <w:rsid w:val="000331AC"/>
    <w:rsid w:val="00037384"/>
    <w:rsid w:val="0004117D"/>
    <w:rsid w:val="00042F8D"/>
    <w:rsid w:val="00047F66"/>
    <w:rsid w:val="00050579"/>
    <w:rsid w:val="00051879"/>
    <w:rsid w:val="000547E7"/>
    <w:rsid w:val="0006146D"/>
    <w:rsid w:val="00064DA3"/>
    <w:rsid w:val="00066AB8"/>
    <w:rsid w:val="00066CCA"/>
    <w:rsid w:val="00066D8D"/>
    <w:rsid w:val="00067498"/>
    <w:rsid w:val="00072375"/>
    <w:rsid w:val="000729EE"/>
    <w:rsid w:val="00073452"/>
    <w:rsid w:val="00075F29"/>
    <w:rsid w:val="0007703D"/>
    <w:rsid w:val="00080DA8"/>
    <w:rsid w:val="0008115C"/>
    <w:rsid w:val="00081AD6"/>
    <w:rsid w:val="0009190D"/>
    <w:rsid w:val="00095809"/>
    <w:rsid w:val="000A49D8"/>
    <w:rsid w:val="000A79A2"/>
    <w:rsid w:val="000B05C7"/>
    <w:rsid w:val="000B3996"/>
    <w:rsid w:val="000D0A94"/>
    <w:rsid w:val="000D32A5"/>
    <w:rsid w:val="000D345A"/>
    <w:rsid w:val="000D3FB1"/>
    <w:rsid w:val="000D47F4"/>
    <w:rsid w:val="000E3C5A"/>
    <w:rsid w:val="000E68C1"/>
    <w:rsid w:val="000F076D"/>
    <w:rsid w:val="000F07DE"/>
    <w:rsid w:val="000F0B5C"/>
    <w:rsid w:val="000F0FCE"/>
    <w:rsid w:val="000F4A3B"/>
    <w:rsid w:val="000F7B8F"/>
    <w:rsid w:val="001065C2"/>
    <w:rsid w:val="001124E6"/>
    <w:rsid w:val="00112E71"/>
    <w:rsid w:val="0011468E"/>
    <w:rsid w:val="00120440"/>
    <w:rsid w:val="0012071C"/>
    <w:rsid w:val="00127F7D"/>
    <w:rsid w:val="001321A1"/>
    <w:rsid w:val="00136B64"/>
    <w:rsid w:val="00140BB6"/>
    <w:rsid w:val="0014403D"/>
    <w:rsid w:val="00145299"/>
    <w:rsid w:val="0014602E"/>
    <w:rsid w:val="001468B6"/>
    <w:rsid w:val="0014747F"/>
    <w:rsid w:val="001475C6"/>
    <w:rsid w:val="001500CE"/>
    <w:rsid w:val="00150ADE"/>
    <w:rsid w:val="0015566E"/>
    <w:rsid w:val="0015684B"/>
    <w:rsid w:val="00162DBF"/>
    <w:rsid w:val="001729FB"/>
    <w:rsid w:val="00175A2F"/>
    <w:rsid w:val="001817C9"/>
    <w:rsid w:val="00182A76"/>
    <w:rsid w:val="001830AB"/>
    <w:rsid w:val="00185C89"/>
    <w:rsid w:val="00190705"/>
    <w:rsid w:val="00193CC0"/>
    <w:rsid w:val="001951F3"/>
    <w:rsid w:val="001979F2"/>
    <w:rsid w:val="001A1914"/>
    <w:rsid w:val="001A319C"/>
    <w:rsid w:val="001B3C95"/>
    <w:rsid w:val="001B4A24"/>
    <w:rsid w:val="001B6640"/>
    <w:rsid w:val="001C39AF"/>
    <w:rsid w:val="001E2859"/>
    <w:rsid w:val="001E52C6"/>
    <w:rsid w:val="001E7EEC"/>
    <w:rsid w:val="001F1602"/>
    <w:rsid w:val="001F33D2"/>
    <w:rsid w:val="001F45FF"/>
    <w:rsid w:val="001F6157"/>
    <w:rsid w:val="001F68A1"/>
    <w:rsid w:val="00200C0D"/>
    <w:rsid w:val="0020271F"/>
    <w:rsid w:val="00210F2B"/>
    <w:rsid w:val="00212723"/>
    <w:rsid w:val="00212AE9"/>
    <w:rsid w:val="002137FE"/>
    <w:rsid w:val="00213C7B"/>
    <w:rsid w:val="00214EF2"/>
    <w:rsid w:val="0022079C"/>
    <w:rsid w:val="002220EB"/>
    <w:rsid w:val="00222FA4"/>
    <w:rsid w:val="002250BD"/>
    <w:rsid w:val="00226D21"/>
    <w:rsid w:val="00227D1E"/>
    <w:rsid w:val="00233E09"/>
    <w:rsid w:val="00235704"/>
    <w:rsid w:val="002508E2"/>
    <w:rsid w:val="00255E7E"/>
    <w:rsid w:val="00264CC4"/>
    <w:rsid w:val="00271D87"/>
    <w:rsid w:val="0027672B"/>
    <w:rsid w:val="00277734"/>
    <w:rsid w:val="002811F6"/>
    <w:rsid w:val="002825E9"/>
    <w:rsid w:val="00283334"/>
    <w:rsid w:val="00284182"/>
    <w:rsid w:val="002915C1"/>
    <w:rsid w:val="00293AFC"/>
    <w:rsid w:val="00293E5C"/>
    <w:rsid w:val="00294D11"/>
    <w:rsid w:val="00297524"/>
    <w:rsid w:val="002A04C8"/>
    <w:rsid w:val="002A0D4F"/>
    <w:rsid w:val="002A19CD"/>
    <w:rsid w:val="002A2EBF"/>
    <w:rsid w:val="002A6188"/>
    <w:rsid w:val="002A6CFE"/>
    <w:rsid w:val="002A6FDE"/>
    <w:rsid w:val="002B3E8D"/>
    <w:rsid w:val="002C414A"/>
    <w:rsid w:val="002D1BD7"/>
    <w:rsid w:val="002D469B"/>
    <w:rsid w:val="002E040B"/>
    <w:rsid w:val="002E1BE1"/>
    <w:rsid w:val="002E1DBC"/>
    <w:rsid w:val="002E2A25"/>
    <w:rsid w:val="002E6B5E"/>
    <w:rsid w:val="002F02E7"/>
    <w:rsid w:val="002F2706"/>
    <w:rsid w:val="002F37B6"/>
    <w:rsid w:val="002F4587"/>
    <w:rsid w:val="002F5398"/>
    <w:rsid w:val="00301DB3"/>
    <w:rsid w:val="00302A0B"/>
    <w:rsid w:val="003062DB"/>
    <w:rsid w:val="003127CD"/>
    <w:rsid w:val="003146C7"/>
    <w:rsid w:val="00316D52"/>
    <w:rsid w:val="003204E6"/>
    <w:rsid w:val="00321017"/>
    <w:rsid w:val="00323573"/>
    <w:rsid w:val="00324F41"/>
    <w:rsid w:val="00331588"/>
    <w:rsid w:val="00332CB0"/>
    <w:rsid w:val="0033301F"/>
    <w:rsid w:val="003330D1"/>
    <w:rsid w:val="003359E2"/>
    <w:rsid w:val="0033681F"/>
    <w:rsid w:val="003421DD"/>
    <w:rsid w:val="00342A95"/>
    <w:rsid w:val="0034649F"/>
    <w:rsid w:val="0035412F"/>
    <w:rsid w:val="00354204"/>
    <w:rsid w:val="00355546"/>
    <w:rsid w:val="00356CFB"/>
    <w:rsid w:val="0036042E"/>
    <w:rsid w:val="00362B72"/>
    <w:rsid w:val="003651B4"/>
    <w:rsid w:val="00365F13"/>
    <w:rsid w:val="00366ABC"/>
    <w:rsid w:val="00372122"/>
    <w:rsid w:val="003729DF"/>
    <w:rsid w:val="00373711"/>
    <w:rsid w:val="00373733"/>
    <w:rsid w:val="003749E0"/>
    <w:rsid w:val="003750A7"/>
    <w:rsid w:val="003760EF"/>
    <w:rsid w:val="00377CD7"/>
    <w:rsid w:val="0038157B"/>
    <w:rsid w:val="00382025"/>
    <w:rsid w:val="003838C9"/>
    <w:rsid w:val="00383B1A"/>
    <w:rsid w:val="00384970"/>
    <w:rsid w:val="00395B50"/>
    <w:rsid w:val="003A2E34"/>
    <w:rsid w:val="003A4181"/>
    <w:rsid w:val="003A4FB1"/>
    <w:rsid w:val="003A5903"/>
    <w:rsid w:val="003B4A7A"/>
    <w:rsid w:val="003B52C1"/>
    <w:rsid w:val="003B613B"/>
    <w:rsid w:val="003C4651"/>
    <w:rsid w:val="003C6867"/>
    <w:rsid w:val="003D2E47"/>
    <w:rsid w:val="003D3857"/>
    <w:rsid w:val="003D7DFA"/>
    <w:rsid w:val="003E03E0"/>
    <w:rsid w:val="003F1ABB"/>
    <w:rsid w:val="003F5865"/>
    <w:rsid w:val="003F6311"/>
    <w:rsid w:val="003F7DB8"/>
    <w:rsid w:val="00403F0A"/>
    <w:rsid w:val="00412442"/>
    <w:rsid w:val="00412CA3"/>
    <w:rsid w:val="00417C06"/>
    <w:rsid w:val="00422B82"/>
    <w:rsid w:val="00425E21"/>
    <w:rsid w:val="004310C9"/>
    <w:rsid w:val="00432591"/>
    <w:rsid w:val="004375B7"/>
    <w:rsid w:val="0044254D"/>
    <w:rsid w:val="00450AF3"/>
    <w:rsid w:val="00451074"/>
    <w:rsid w:val="00454543"/>
    <w:rsid w:val="00461295"/>
    <w:rsid w:val="0046424A"/>
    <w:rsid w:val="00467909"/>
    <w:rsid w:val="00471214"/>
    <w:rsid w:val="004731DA"/>
    <w:rsid w:val="0047746F"/>
    <w:rsid w:val="00480C0F"/>
    <w:rsid w:val="0048414F"/>
    <w:rsid w:val="00484B30"/>
    <w:rsid w:val="00485C5C"/>
    <w:rsid w:val="004867D4"/>
    <w:rsid w:val="00493D46"/>
    <w:rsid w:val="004945E3"/>
    <w:rsid w:val="00494944"/>
    <w:rsid w:val="00496B10"/>
    <w:rsid w:val="00497EAD"/>
    <w:rsid w:val="004A038D"/>
    <w:rsid w:val="004A2474"/>
    <w:rsid w:val="004A2477"/>
    <w:rsid w:val="004A2B35"/>
    <w:rsid w:val="004A5338"/>
    <w:rsid w:val="004B1C6F"/>
    <w:rsid w:val="004B42B8"/>
    <w:rsid w:val="004B470A"/>
    <w:rsid w:val="004B6E58"/>
    <w:rsid w:val="004B7CA0"/>
    <w:rsid w:val="004B7E6D"/>
    <w:rsid w:val="004C1DFC"/>
    <w:rsid w:val="004C51E2"/>
    <w:rsid w:val="004C641D"/>
    <w:rsid w:val="004E2502"/>
    <w:rsid w:val="004E55A3"/>
    <w:rsid w:val="004F1586"/>
    <w:rsid w:val="004F27C3"/>
    <w:rsid w:val="004F3571"/>
    <w:rsid w:val="004F6BA4"/>
    <w:rsid w:val="005055B8"/>
    <w:rsid w:val="00514F3A"/>
    <w:rsid w:val="00516658"/>
    <w:rsid w:val="0052174E"/>
    <w:rsid w:val="00523CAC"/>
    <w:rsid w:val="00526ABE"/>
    <w:rsid w:val="00527C60"/>
    <w:rsid w:val="005329AF"/>
    <w:rsid w:val="00532AB7"/>
    <w:rsid w:val="00540995"/>
    <w:rsid w:val="00546C5F"/>
    <w:rsid w:val="005477EF"/>
    <w:rsid w:val="005527CF"/>
    <w:rsid w:val="00556E20"/>
    <w:rsid w:val="0055712B"/>
    <w:rsid w:val="00557DD4"/>
    <w:rsid w:val="00562C37"/>
    <w:rsid w:val="005674D5"/>
    <w:rsid w:val="00570745"/>
    <w:rsid w:val="0057387E"/>
    <w:rsid w:val="00573999"/>
    <w:rsid w:val="00575E3F"/>
    <w:rsid w:val="00586FC1"/>
    <w:rsid w:val="00590A52"/>
    <w:rsid w:val="00595D18"/>
    <w:rsid w:val="005A0E54"/>
    <w:rsid w:val="005A18DB"/>
    <w:rsid w:val="005A313A"/>
    <w:rsid w:val="005C03E8"/>
    <w:rsid w:val="005D0048"/>
    <w:rsid w:val="005D46D8"/>
    <w:rsid w:val="005D556A"/>
    <w:rsid w:val="005E049F"/>
    <w:rsid w:val="005E779D"/>
    <w:rsid w:val="005F1ACB"/>
    <w:rsid w:val="005F5906"/>
    <w:rsid w:val="005F5B41"/>
    <w:rsid w:val="005F6B86"/>
    <w:rsid w:val="005F7799"/>
    <w:rsid w:val="006060AA"/>
    <w:rsid w:val="006062AA"/>
    <w:rsid w:val="006077D0"/>
    <w:rsid w:val="00607C88"/>
    <w:rsid w:val="006111DA"/>
    <w:rsid w:val="00611218"/>
    <w:rsid w:val="00611D06"/>
    <w:rsid w:val="0061278C"/>
    <w:rsid w:val="00615FA9"/>
    <w:rsid w:val="00617547"/>
    <w:rsid w:val="00624FC8"/>
    <w:rsid w:val="0064270F"/>
    <w:rsid w:val="00644E32"/>
    <w:rsid w:val="006452A9"/>
    <w:rsid w:val="00647D25"/>
    <w:rsid w:val="0066778F"/>
    <w:rsid w:val="00674040"/>
    <w:rsid w:val="00681394"/>
    <w:rsid w:val="0068661C"/>
    <w:rsid w:val="00693379"/>
    <w:rsid w:val="00693BAD"/>
    <w:rsid w:val="00694165"/>
    <w:rsid w:val="006A2A4F"/>
    <w:rsid w:val="006B0D66"/>
    <w:rsid w:val="006B30EA"/>
    <w:rsid w:val="006B5A88"/>
    <w:rsid w:val="006B5CA4"/>
    <w:rsid w:val="006B5FCE"/>
    <w:rsid w:val="006C08B8"/>
    <w:rsid w:val="006C1F54"/>
    <w:rsid w:val="006C2A0D"/>
    <w:rsid w:val="006D3F33"/>
    <w:rsid w:val="006D736F"/>
    <w:rsid w:val="006E2A19"/>
    <w:rsid w:val="006E2B0D"/>
    <w:rsid w:val="006E646E"/>
    <w:rsid w:val="006F7435"/>
    <w:rsid w:val="00704B7E"/>
    <w:rsid w:val="00705905"/>
    <w:rsid w:val="007109B9"/>
    <w:rsid w:val="00712CAC"/>
    <w:rsid w:val="00716AED"/>
    <w:rsid w:val="007273F4"/>
    <w:rsid w:val="00730F04"/>
    <w:rsid w:val="0073368C"/>
    <w:rsid w:val="007340F9"/>
    <w:rsid w:val="00740E44"/>
    <w:rsid w:val="00743086"/>
    <w:rsid w:val="00746F94"/>
    <w:rsid w:val="00747F87"/>
    <w:rsid w:val="00751AB0"/>
    <w:rsid w:val="00756B3C"/>
    <w:rsid w:val="00767835"/>
    <w:rsid w:val="00770D88"/>
    <w:rsid w:val="00771CC6"/>
    <w:rsid w:val="00772923"/>
    <w:rsid w:val="0077356F"/>
    <w:rsid w:val="00773964"/>
    <w:rsid w:val="007758ED"/>
    <w:rsid w:val="00791CA1"/>
    <w:rsid w:val="00791D22"/>
    <w:rsid w:val="00793E0C"/>
    <w:rsid w:val="00795F89"/>
    <w:rsid w:val="007A0362"/>
    <w:rsid w:val="007A21C6"/>
    <w:rsid w:val="007A3C4E"/>
    <w:rsid w:val="007B16A4"/>
    <w:rsid w:val="007C16A3"/>
    <w:rsid w:val="007C3006"/>
    <w:rsid w:val="007C47FC"/>
    <w:rsid w:val="007D34A1"/>
    <w:rsid w:val="007E5697"/>
    <w:rsid w:val="007E7B8A"/>
    <w:rsid w:val="00810DEA"/>
    <w:rsid w:val="0081218F"/>
    <w:rsid w:val="0081333B"/>
    <w:rsid w:val="00813757"/>
    <w:rsid w:val="00814A67"/>
    <w:rsid w:val="00821316"/>
    <w:rsid w:val="00821487"/>
    <w:rsid w:val="00822D42"/>
    <w:rsid w:val="008252B1"/>
    <w:rsid w:val="00830396"/>
    <w:rsid w:val="00832F55"/>
    <w:rsid w:val="008357A6"/>
    <w:rsid w:val="00840EAC"/>
    <w:rsid w:val="00842CAB"/>
    <w:rsid w:val="00843DC6"/>
    <w:rsid w:val="0084499D"/>
    <w:rsid w:val="00851C75"/>
    <w:rsid w:val="00853275"/>
    <w:rsid w:val="008542AA"/>
    <w:rsid w:val="00855334"/>
    <w:rsid w:val="00855D7A"/>
    <w:rsid w:val="00855FCE"/>
    <w:rsid w:val="00856B27"/>
    <w:rsid w:val="00863EAB"/>
    <w:rsid w:val="00865421"/>
    <w:rsid w:val="00865A27"/>
    <w:rsid w:val="0086686E"/>
    <w:rsid w:val="00867C86"/>
    <w:rsid w:val="008729F5"/>
    <w:rsid w:val="00873FC0"/>
    <w:rsid w:val="00876E03"/>
    <w:rsid w:val="008777B5"/>
    <w:rsid w:val="00880209"/>
    <w:rsid w:val="00880752"/>
    <w:rsid w:val="00882F0A"/>
    <w:rsid w:val="008907F3"/>
    <w:rsid w:val="00895D39"/>
    <w:rsid w:val="008963CE"/>
    <w:rsid w:val="00897562"/>
    <w:rsid w:val="008B45CE"/>
    <w:rsid w:val="008B5423"/>
    <w:rsid w:val="008C3BB8"/>
    <w:rsid w:val="008D4ED0"/>
    <w:rsid w:val="008D5D7D"/>
    <w:rsid w:val="008E0F9F"/>
    <w:rsid w:val="008E3A23"/>
    <w:rsid w:val="008E4BB1"/>
    <w:rsid w:val="008E4EFF"/>
    <w:rsid w:val="008E7602"/>
    <w:rsid w:val="008F0ED6"/>
    <w:rsid w:val="008F25C9"/>
    <w:rsid w:val="008F3635"/>
    <w:rsid w:val="008F36BC"/>
    <w:rsid w:val="008F7B67"/>
    <w:rsid w:val="00900BCF"/>
    <w:rsid w:val="00902EAB"/>
    <w:rsid w:val="0090485A"/>
    <w:rsid w:val="00914575"/>
    <w:rsid w:val="00915673"/>
    <w:rsid w:val="009164BE"/>
    <w:rsid w:val="0092183C"/>
    <w:rsid w:val="0092247C"/>
    <w:rsid w:val="00922E75"/>
    <w:rsid w:val="00923DCB"/>
    <w:rsid w:val="00926140"/>
    <w:rsid w:val="00926C6D"/>
    <w:rsid w:val="00927BC3"/>
    <w:rsid w:val="00931E9C"/>
    <w:rsid w:val="00934133"/>
    <w:rsid w:val="0093548E"/>
    <w:rsid w:val="00935672"/>
    <w:rsid w:val="0094251F"/>
    <w:rsid w:val="0094393E"/>
    <w:rsid w:val="0094634B"/>
    <w:rsid w:val="0094718A"/>
    <w:rsid w:val="009519AB"/>
    <w:rsid w:val="00952DE2"/>
    <w:rsid w:val="00954775"/>
    <w:rsid w:val="00955C09"/>
    <w:rsid w:val="00963B1B"/>
    <w:rsid w:val="00974DE9"/>
    <w:rsid w:val="0097515C"/>
    <w:rsid w:val="00975288"/>
    <w:rsid w:val="009766DA"/>
    <w:rsid w:val="00983B4C"/>
    <w:rsid w:val="00984B49"/>
    <w:rsid w:val="00986BFF"/>
    <w:rsid w:val="00994D2B"/>
    <w:rsid w:val="00995816"/>
    <w:rsid w:val="009A70A4"/>
    <w:rsid w:val="009A7250"/>
    <w:rsid w:val="009B12E1"/>
    <w:rsid w:val="009C0E7D"/>
    <w:rsid w:val="009C0F99"/>
    <w:rsid w:val="009C4916"/>
    <w:rsid w:val="009D2067"/>
    <w:rsid w:val="009D787C"/>
    <w:rsid w:val="009F091C"/>
    <w:rsid w:val="009F18D4"/>
    <w:rsid w:val="009F2035"/>
    <w:rsid w:val="00A00AE5"/>
    <w:rsid w:val="00A05E08"/>
    <w:rsid w:val="00A20589"/>
    <w:rsid w:val="00A212B3"/>
    <w:rsid w:val="00A21BA4"/>
    <w:rsid w:val="00A21F57"/>
    <w:rsid w:val="00A234BC"/>
    <w:rsid w:val="00A23FA0"/>
    <w:rsid w:val="00A27F2D"/>
    <w:rsid w:val="00A409F6"/>
    <w:rsid w:val="00A41726"/>
    <w:rsid w:val="00A41DCF"/>
    <w:rsid w:val="00A42CB0"/>
    <w:rsid w:val="00A43F06"/>
    <w:rsid w:val="00A43FB2"/>
    <w:rsid w:val="00A441AB"/>
    <w:rsid w:val="00A53903"/>
    <w:rsid w:val="00A57C28"/>
    <w:rsid w:val="00A63889"/>
    <w:rsid w:val="00A656F6"/>
    <w:rsid w:val="00A65AE6"/>
    <w:rsid w:val="00A66701"/>
    <w:rsid w:val="00A67567"/>
    <w:rsid w:val="00A717C8"/>
    <w:rsid w:val="00A73093"/>
    <w:rsid w:val="00A748A1"/>
    <w:rsid w:val="00A749AE"/>
    <w:rsid w:val="00A80D5D"/>
    <w:rsid w:val="00A80FC5"/>
    <w:rsid w:val="00A80FF4"/>
    <w:rsid w:val="00A81CD0"/>
    <w:rsid w:val="00A8205F"/>
    <w:rsid w:val="00A83ED3"/>
    <w:rsid w:val="00A90BD6"/>
    <w:rsid w:val="00A9124D"/>
    <w:rsid w:val="00A91EDF"/>
    <w:rsid w:val="00A92295"/>
    <w:rsid w:val="00AA7CBA"/>
    <w:rsid w:val="00AA7FBC"/>
    <w:rsid w:val="00AB0758"/>
    <w:rsid w:val="00AB07A6"/>
    <w:rsid w:val="00AB1B28"/>
    <w:rsid w:val="00AB37CF"/>
    <w:rsid w:val="00AB650B"/>
    <w:rsid w:val="00AB7E3F"/>
    <w:rsid w:val="00AC0821"/>
    <w:rsid w:val="00AC13FD"/>
    <w:rsid w:val="00AC20D3"/>
    <w:rsid w:val="00AD156E"/>
    <w:rsid w:val="00AD5067"/>
    <w:rsid w:val="00AD5B77"/>
    <w:rsid w:val="00AE2D30"/>
    <w:rsid w:val="00AE2FE7"/>
    <w:rsid w:val="00AE6BF3"/>
    <w:rsid w:val="00AF0781"/>
    <w:rsid w:val="00AF0D6C"/>
    <w:rsid w:val="00AF1723"/>
    <w:rsid w:val="00B01E66"/>
    <w:rsid w:val="00B02105"/>
    <w:rsid w:val="00B02E48"/>
    <w:rsid w:val="00B063D1"/>
    <w:rsid w:val="00B11507"/>
    <w:rsid w:val="00B11A71"/>
    <w:rsid w:val="00B212C8"/>
    <w:rsid w:val="00B23D22"/>
    <w:rsid w:val="00B24D65"/>
    <w:rsid w:val="00B25357"/>
    <w:rsid w:val="00B2587F"/>
    <w:rsid w:val="00B25AC8"/>
    <w:rsid w:val="00B2774B"/>
    <w:rsid w:val="00B3066C"/>
    <w:rsid w:val="00B34762"/>
    <w:rsid w:val="00B34C5F"/>
    <w:rsid w:val="00B40673"/>
    <w:rsid w:val="00B424CE"/>
    <w:rsid w:val="00B502B8"/>
    <w:rsid w:val="00B51962"/>
    <w:rsid w:val="00B52C43"/>
    <w:rsid w:val="00B52E9E"/>
    <w:rsid w:val="00B6035A"/>
    <w:rsid w:val="00B67AC8"/>
    <w:rsid w:val="00B71E87"/>
    <w:rsid w:val="00B72022"/>
    <w:rsid w:val="00B76844"/>
    <w:rsid w:val="00B775F4"/>
    <w:rsid w:val="00B831F7"/>
    <w:rsid w:val="00B90BFB"/>
    <w:rsid w:val="00B921F1"/>
    <w:rsid w:val="00B9435E"/>
    <w:rsid w:val="00B9745F"/>
    <w:rsid w:val="00B9762A"/>
    <w:rsid w:val="00BA67EA"/>
    <w:rsid w:val="00BA70D2"/>
    <w:rsid w:val="00BB35F8"/>
    <w:rsid w:val="00BB409F"/>
    <w:rsid w:val="00BB4576"/>
    <w:rsid w:val="00BB5F1F"/>
    <w:rsid w:val="00BB5FC9"/>
    <w:rsid w:val="00BC4928"/>
    <w:rsid w:val="00BC55C8"/>
    <w:rsid w:val="00BC782D"/>
    <w:rsid w:val="00BD458C"/>
    <w:rsid w:val="00BD573B"/>
    <w:rsid w:val="00BD7162"/>
    <w:rsid w:val="00BE03B0"/>
    <w:rsid w:val="00BE0618"/>
    <w:rsid w:val="00BE2DC6"/>
    <w:rsid w:val="00BE39F5"/>
    <w:rsid w:val="00BE5572"/>
    <w:rsid w:val="00BE7EF3"/>
    <w:rsid w:val="00BF2CA5"/>
    <w:rsid w:val="00C04E2E"/>
    <w:rsid w:val="00C05FB3"/>
    <w:rsid w:val="00C10ACB"/>
    <w:rsid w:val="00C17A3A"/>
    <w:rsid w:val="00C201AC"/>
    <w:rsid w:val="00C22330"/>
    <w:rsid w:val="00C24587"/>
    <w:rsid w:val="00C251CE"/>
    <w:rsid w:val="00C25A61"/>
    <w:rsid w:val="00C336DC"/>
    <w:rsid w:val="00C361A0"/>
    <w:rsid w:val="00C4201B"/>
    <w:rsid w:val="00C423E7"/>
    <w:rsid w:val="00C45311"/>
    <w:rsid w:val="00C45CB4"/>
    <w:rsid w:val="00C46A4D"/>
    <w:rsid w:val="00C47554"/>
    <w:rsid w:val="00C508E1"/>
    <w:rsid w:val="00C525B1"/>
    <w:rsid w:val="00C62E6D"/>
    <w:rsid w:val="00C65604"/>
    <w:rsid w:val="00C666D6"/>
    <w:rsid w:val="00C67692"/>
    <w:rsid w:val="00C67728"/>
    <w:rsid w:val="00C70040"/>
    <w:rsid w:val="00C70E34"/>
    <w:rsid w:val="00C77A8D"/>
    <w:rsid w:val="00C81A2C"/>
    <w:rsid w:val="00C82F78"/>
    <w:rsid w:val="00C87428"/>
    <w:rsid w:val="00C92199"/>
    <w:rsid w:val="00C96731"/>
    <w:rsid w:val="00CA41D4"/>
    <w:rsid w:val="00CA73A1"/>
    <w:rsid w:val="00CB2325"/>
    <w:rsid w:val="00CB515C"/>
    <w:rsid w:val="00CB7473"/>
    <w:rsid w:val="00CD4865"/>
    <w:rsid w:val="00CD565B"/>
    <w:rsid w:val="00CD58F1"/>
    <w:rsid w:val="00CD75EF"/>
    <w:rsid w:val="00CD7C95"/>
    <w:rsid w:val="00CE0C8C"/>
    <w:rsid w:val="00CE59C1"/>
    <w:rsid w:val="00CE5A74"/>
    <w:rsid w:val="00CE5F39"/>
    <w:rsid w:val="00CE7259"/>
    <w:rsid w:val="00CF2E19"/>
    <w:rsid w:val="00CF3F03"/>
    <w:rsid w:val="00CF59E2"/>
    <w:rsid w:val="00D024FF"/>
    <w:rsid w:val="00D03F45"/>
    <w:rsid w:val="00D15E70"/>
    <w:rsid w:val="00D24BF1"/>
    <w:rsid w:val="00D32551"/>
    <w:rsid w:val="00D33384"/>
    <w:rsid w:val="00D33447"/>
    <w:rsid w:val="00D34C40"/>
    <w:rsid w:val="00D3519B"/>
    <w:rsid w:val="00D35F10"/>
    <w:rsid w:val="00D45B59"/>
    <w:rsid w:val="00D46D31"/>
    <w:rsid w:val="00D548E3"/>
    <w:rsid w:val="00D5644B"/>
    <w:rsid w:val="00D57578"/>
    <w:rsid w:val="00D60DCB"/>
    <w:rsid w:val="00D67437"/>
    <w:rsid w:val="00D7248E"/>
    <w:rsid w:val="00D75E1F"/>
    <w:rsid w:val="00D84AA1"/>
    <w:rsid w:val="00D84D37"/>
    <w:rsid w:val="00D850DB"/>
    <w:rsid w:val="00D9437D"/>
    <w:rsid w:val="00D94A26"/>
    <w:rsid w:val="00DA088F"/>
    <w:rsid w:val="00DA64E3"/>
    <w:rsid w:val="00DB1349"/>
    <w:rsid w:val="00DB1F71"/>
    <w:rsid w:val="00DB2CD2"/>
    <w:rsid w:val="00DB7DDB"/>
    <w:rsid w:val="00DC3776"/>
    <w:rsid w:val="00DC3945"/>
    <w:rsid w:val="00DC3A2E"/>
    <w:rsid w:val="00DC57DC"/>
    <w:rsid w:val="00DC62C5"/>
    <w:rsid w:val="00DC759C"/>
    <w:rsid w:val="00DD41AA"/>
    <w:rsid w:val="00DE0019"/>
    <w:rsid w:val="00DE234C"/>
    <w:rsid w:val="00DE7599"/>
    <w:rsid w:val="00DF3091"/>
    <w:rsid w:val="00DF3B26"/>
    <w:rsid w:val="00DF63C4"/>
    <w:rsid w:val="00E0597A"/>
    <w:rsid w:val="00E15197"/>
    <w:rsid w:val="00E158BE"/>
    <w:rsid w:val="00E22C30"/>
    <w:rsid w:val="00E256DD"/>
    <w:rsid w:val="00E25E4A"/>
    <w:rsid w:val="00E311C2"/>
    <w:rsid w:val="00E37772"/>
    <w:rsid w:val="00E41FBD"/>
    <w:rsid w:val="00E45504"/>
    <w:rsid w:val="00E45D3D"/>
    <w:rsid w:val="00E47376"/>
    <w:rsid w:val="00E47626"/>
    <w:rsid w:val="00E476D7"/>
    <w:rsid w:val="00E47C99"/>
    <w:rsid w:val="00E50FBC"/>
    <w:rsid w:val="00E51F31"/>
    <w:rsid w:val="00E523E7"/>
    <w:rsid w:val="00E5346D"/>
    <w:rsid w:val="00E5415F"/>
    <w:rsid w:val="00E5523B"/>
    <w:rsid w:val="00E56345"/>
    <w:rsid w:val="00E56503"/>
    <w:rsid w:val="00E56ED9"/>
    <w:rsid w:val="00E57FF8"/>
    <w:rsid w:val="00E616B7"/>
    <w:rsid w:val="00E628CA"/>
    <w:rsid w:val="00E71D78"/>
    <w:rsid w:val="00E73291"/>
    <w:rsid w:val="00E7443E"/>
    <w:rsid w:val="00E76680"/>
    <w:rsid w:val="00E8221E"/>
    <w:rsid w:val="00E94E69"/>
    <w:rsid w:val="00EA0D64"/>
    <w:rsid w:val="00EA1967"/>
    <w:rsid w:val="00EA7993"/>
    <w:rsid w:val="00EA79A2"/>
    <w:rsid w:val="00EB0182"/>
    <w:rsid w:val="00EB4ECB"/>
    <w:rsid w:val="00EB653C"/>
    <w:rsid w:val="00EB7EF8"/>
    <w:rsid w:val="00EC48B5"/>
    <w:rsid w:val="00EC4BFF"/>
    <w:rsid w:val="00EC7DDB"/>
    <w:rsid w:val="00ED0615"/>
    <w:rsid w:val="00ED1E99"/>
    <w:rsid w:val="00ED48E0"/>
    <w:rsid w:val="00ED4930"/>
    <w:rsid w:val="00EE2490"/>
    <w:rsid w:val="00EE2EEB"/>
    <w:rsid w:val="00EE42C8"/>
    <w:rsid w:val="00EF1927"/>
    <w:rsid w:val="00EF3C0C"/>
    <w:rsid w:val="00EF5983"/>
    <w:rsid w:val="00EF5B2A"/>
    <w:rsid w:val="00EF5E9B"/>
    <w:rsid w:val="00F017A3"/>
    <w:rsid w:val="00F03A2A"/>
    <w:rsid w:val="00F03A2E"/>
    <w:rsid w:val="00F04204"/>
    <w:rsid w:val="00F07327"/>
    <w:rsid w:val="00F10DE4"/>
    <w:rsid w:val="00F23EA5"/>
    <w:rsid w:val="00F301A6"/>
    <w:rsid w:val="00F30C00"/>
    <w:rsid w:val="00F30C4E"/>
    <w:rsid w:val="00F4618C"/>
    <w:rsid w:val="00F462C0"/>
    <w:rsid w:val="00F47475"/>
    <w:rsid w:val="00F501E7"/>
    <w:rsid w:val="00F52DCF"/>
    <w:rsid w:val="00F56A2C"/>
    <w:rsid w:val="00F60BD9"/>
    <w:rsid w:val="00F660F6"/>
    <w:rsid w:val="00F7131F"/>
    <w:rsid w:val="00F729E4"/>
    <w:rsid w:val="00F75465"/>
    <w:rsid w:val="00F779B4"/>
    <w:rsid w:val="00F830FF"/>
    <w:rsid w:val="00F90736"/>
    <w:rsid w:val="00FA26A9"/>
    <w:rsid w:val="00FA3D33"/>
    <w:rsid w:val="00FA6C71"/>
    <w:rsid w:val="00FB1A9D"/>
    <w:rsid w:val="00FB340A"/>
    <w:rsid w:val="00FB3D69"/>
    <w:rsid w:val="00FB6485"/>
    <w:rsid w:val="00FB6E41"/>
    <w:rsid w:val="00FC0E5A"/>
    <w:rsid w:val="00FC16CC"/>
    <w:rsid w:val="00FC1C8B"/>
    <w:rsid w:val="00FC48C2"/>
    <w:rsid w:val="00FC7C8A"/>
    <w:rsid w:val="00FD1FF8"/>
    <w:rsid w:val="00FD2386"/>
    <w:rsid w:val="00FD710F"/>
    <w:rsid w:val="00FE511C"/>
    <w:rsid w:val="00FE5624"/>
    <w:rsid w:val="00FE618A"/>
    <w:rsid w:val="00FE6AB6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A04C8"/>
    <w:pPr>
      <w:widowControl w:val="0"/>
      <w:spacing w:before="77" w:after="0" w:line="240" w:lineRule="auto"/>
      <w:ind w:left="16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776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lntabulka"/>
    <w:uiPriority w:val="49"/>
    <w:rsid w:val="0097515C"/>
    <w:pPr>
      <w:spacing w:after="0" w:line="240" w:lineRule="auto"/>
    </w:pPr>
    <w:tblPr>
      <w:tblStyleRowBandSize w:val="1"/>
      <w:tblStyleColBandSize w:val="1"/>
      <w:tblBorders>
        <w:top w:val="single" w:sz="4" w:space="0" w:color="C6FF4C" w:themeColor="accent2" w:themeTint="99"/>
        <w:left w:val="single" w:sz="4" w:space="0" w:color="C6FF4C" w:themeColor="accent2" w:themeTint="99"/>
        <w:bottom w:val="single" w:sz="4" w:space="0" w:color="C6FF4C" w:themeColor="accent2" w:themeTint="99"/>
        <w:right w:val="single" w:sz="4" w:space="0" w:color="C6FF4C" w:themeColor="accent2" w:themeTint="99"/>
        <w:insideH w:val="single" w:sz="4" w:space="0" w:color="C6FF4C" w:themeColor="accent2" w:themeTint="99"/>
        <w:insideV w:val="single" w:sz="4" w:space="0" w:color="C6FF4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400" w:themeColor="accent2"/>
          <w:left w:val="single" w:sz="4" w:space="0" w:color="92D400" w:themeColor="accent2"/>
          <w:bottom w:val="single" w:sz="4" w:space="0" w:color="92D400" w:themeColor="accent2"/>
          <w:right w:val="single" w:sz="4" w:space="0" w:color="92D400" w:themeColor="accent2"/>
          <w:insideH w:val="nil"/>
          <w:insideV w:val="nil"/>
        </w:tcBorders>
        <w:shd w:val="clear" w:color="auto" w:fill="92D400" w:themeFill="accent2"/>
      </w:tcPr>
    </w:tblStylePr>
    <w:tblStylePr w:type="lastRow">
      <w:rPr>
        <w:b/>
        <w:bCs/>
      </w:rPr>
      <w:tblPr/>
      <w:tcPr>
        <w:tcBorders>
          <w:top w:val="double" w:sz="4" w:space="0" w:color="92D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C3" w:themeFill="accent2" w:themeFillTint="33"/>
      </w:tcPr>
    </w:tblStylePr>
    <w:tblStylePr w:type="band1Horz">
      <w:tblPr/>
      <w:tcPr>
        <w:shd w:val="clear" w:color="auto" w:fill="ECFFC3" w:themeFill="accent2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1"/>
    <w:rsid w:val="002A04C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E56345"/>
    <w:pPr>
      <w:widowControl w:val="0"/>
      <w:spacing w:before="20" w:after="0" w:line="240" w:lineRule="auto"/>
      <w:ind w:left="16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56345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ln"/>
    <w:uiPriority w:val="1"/>
    <w:qFormat/>
    <w:rsid w:val="003F5865"/>
    <w:pPr>
      <w:widowControl w:val="0"/>
      <w:spacing w:after="0" w:line="240" w:lineRule="auto"/>
    </w:pPr>
    <w:rPr>
      <w:lang w:val="en-US"/>
    </w:rPr>
  </w:style>
  <w:style w:type="character" w:styleId="Siln">
    <w:name w:val="Strong"/>
    <w:basedOn w:val="Standardnpsmoodstavce"/>
    <w:uiPriority w:val="22"/>
    <w:qFormat/>
    <w:rsid w:val="001F1602"/>
    <w:rPr>
      <w:b/>
      <w:bCs/>
    </w:rPr>
  </w:style>
  <w:style w:type="paragraph" w:styleId="Odstavecseseznamem">
    <w:name w:val="List Paragraph"/>
    <w:basedOn w:val="Normln"/>
    <w:uiPriority w:val="34"/>
    <w:qFormat/>
    <w:rsid w:val="0038157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60DCB"/>
    <w:rPr>
      <w:b/>
      <w:bCs/>
      <w:i w:val="0"/>
      <w:iCs w:val="0"/>
    </w:rPr>
  </w:style>
  <w:style w:type="paragraph" w:customStyle="1" w:styleId="Highlight3">
    <w:name w:val="Highlight 3"/>
    <w:basedOn w:val="Normln"/>
    <w:qFormat/>
    <w:rsid w:val="00D32551"/>
    <w:pPr>
      <w:spacing w:after="120" w:line="240" w:lineRule="auto"/>
      <w:jc w:val="both"/>
    </w:pPr>
    <w:rPr>
      <w:rFonts w:ascii="Arial" w:eastAsia="Times New Roman" w:hAnsi="Arial" w:cs="Times New Roman"/>
      <w:b/>
      <w:color w:val="00A1DE" w:themeColor="accent3"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32551"/>
    <w:rPr>
      <w:rFonts w:asciiTheme="majorHAnsi" w:eastAsiaTheme="majorEastAsia" w:hAnsiTheme="majorHAnsi" w:cstheme="majorBidi"/>
      <w:b/>
      <w:bCs/>
      <w:color w:val="002776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E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11C"/>
  </w:style>
  <w:style w:type="paragraph" w:styleId="Zpat">
    <w:name w:val="footer"/>
    <w:basedOn w:val="Normln"/>
    <w:link w:val="ZpatChar"/>
    <w:uiPriority w:val="99"/>
    <w:unhideWhenUsed/>
    <w:rsid w:val="00FE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11C"/>
  </w:style>
  <w:style w:type="paragraph" w:styleId="Textbubliny">
    <w:name w:val="Balloon Text"/>
    <w:basedOn w:val="Normln"/>
    <w:link w:val="TextbublinyChar"/>
    <w:uiPriority w:val="99"/>
    <w:semiHidden/>
    <w:unhideWhenUsed/>
    <w:rsid w:val="00F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A04C8"/>
    <w:pPr>
      <w:widowControl w:val="0"/>
      <w:spacing w:before="77" w:after="0" w:line="240" w:lineRule="auto"/>
      <w:ind w:left="16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776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lntabulka"/>
    <w:uiPriority w:val="49"/>
    <w:rsid w:val="0097515C"/>
    <w:pPr>
      <w:spacing w:after="0" w:line="240" w:lineRule="auto"/>
    </w:pPr>
    <w:tblPr>
      <w:tblStyleRowBandSize w:val="1"/>
      <w:tblStyleColBandSize w:val="1"/>
      <w:tblBorders>
        <w:top w:val="single" w:sz="4" w:space="0" w:color="C6FF4C" w:themeColor="accent2" w:themeTint="99"/>
        <w:left w:val="single" w:sz="4" w:space="0" w:color="C6FF4C" w:themeColor="accent2" w:themeTint="99"/>
        <w:bottom w:val="single" w:sz="4" w:space="0" w:color="C6FF4C" w:themeColor="accent2" w:themeTint="99"/>
        <w:right w:val="single" w:sz="4" w:space="0" w:color="C6FF4C" w:themeColor="accent2" w:themeTint="99"/>
        <w:insideH w:val="single" w:sz="4" w:space="0" w:color="C6FF4C" w:themeColor="accent2" w:themeTint="99"/>
        <w:insideV w:val="single" w:sz="4" w:space="0" w:color="C6FF4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400" w:themeColor="accent2"/>
          <w:left w:val="single" w:sz="4" w:space="0" w:color="92D400" w:themeColor="accent2"/>
          <w:bottom w:val="single" w:sz="4" w:space="0" w:color="92D400" w:themeColor="accent2"/>
          <w:right w:val="single" w:sz="4" w:space="0" w:color="92D400" w:themeColor="accent2"/>
          <w:insideH w:val="nil"/>
          <w:insideV w:val="nil"/>
        </w:tcBorders>
        <w:shd w:val="clear" w:color="auto" w:fill="92D400" w:themeFill="accent2"/>
      </w:tcPr>
    </w:tblStylePr>
    <w:tblStylePr w:type="lastRow">
      <w:rPr>
        <w:b/>
        <w:bCs/>
      </w:rPr>
      <w:tblPr/>
      <w:tcPr>
        <w:tcBorders>
          <w:top w:val="double" w:sz="4" w:space="0" w:color="92D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C3" w:themeFill="accent2" w:themeFillTint="33"/>
      </w:tcPr>
    </w:tblStylePr>
    <w:tblStylePr w:type="band1Horz">
      <w:tblPr/>
      <w:tcPr>
        <w:shd w:val="clear" w:color="auto" w:fill="ECFFC3" w:themeFill="accent2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1"/>
    <w:rsid w:val="002A04C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E56345"/>
    <w:pPr>
      <w:widowControl w:val="0"/>
      <w:spacing w:before="20" w:after="0" w:line="240" w:lineRule="auto"/>
      <w:ind w:left="16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56345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ln"/>
    <w:uiPriority w:val="1"/>
    <w:qFormat/>
    <w:rsid w:val="003F5865"/>
    <w:pPr>
      <w:widowControl w:val="0"/>
      <w:spacing w:after="0" w:line="240" w:lineRule="auto"/>
    </w:pPr>
    <w:rPr>
      <w:lang w:val="en-US"/>
    </w:rPr>
  </w:style>
  <w:style w:type="character" w:styleId="Siln">
    <w:name w:val="Strong"/>
    <w:basedOn w:val="Standardnpsmoodstavce"/>
    <w:uiPriority w:val="22"/>
    <w:qFormat/>
    <w:rsid w:val="001F1602"/>
    <w:rPr>
      <w:b/>
      <w:bCs/>
    </w:rPr>
  </w:style>
  <w:style w:type="paragraph" w:styleId="Odstavecseseznamem">
    <w:name w:val="List Paragraph"/>
    <w:basedOn w:val="Normln"/>
    <w:uiPriority w:val="34"/>
    <w:qFormat/>
    <w:rsid w:val="0038157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60DCB"/>
    <w:rPr>
      <w:b/>
      <w:bCs/>
      <w:i w:val="0"/>
      <w:iCs w:val="0"/>
    </w:rPr>
  </w:style>
  <w:style w:type="paragraph" w:customStyle="1" w:styleId="Highlight3">
    <w:name w:val="Highlight 3"/>
    <w:basedOn w:val="Normln"/>
    <w:qFormat/>
    <w:rsid w:val="00D32551"/>
    <w:pPr>
      <w:spacing w:after="120" w:line="240" w:lineRule="auto"/>
      <w:jc w:val="both"/>
    </w:pPr>
    <w:rPr>
      <w:rFonts w:ascii="Arial" w:eastAsia="Times New Roman" w:hAnsi="Arial" w:cs="Times New Roman"/>
      <w:b/>
      <w:color w:val="00A1DE" w:themeColor="accent3"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32551"/>
    <w:rPr>
      <w:rFonts w:asciiTheme="majorHAnsi" w:eastAsiaTheme="majorEastAsia" w:hAnsiTheme="majorHAnsi" w:cstheme="majorBidi"/>
      <w:b/>
      <w:bCs/>
      <w:color w:val="002776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E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11C"/>
  </w:style>
  <w:style w:type="paragraph" w:styleId="Zpat">
    <w:name w:val="footer"/>
    <w:basedOn w:val="Normln"/>
    <w:link w:val="ZpatChar"/>
    <w:uiPriority w:val="99"/>
    <w:unhideWhenUsed/>
    <w:rsid w:val="00FE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11C"/>
  </w:style>
  <w:style w:type="paragraph" w:styleId="Textbubliny">
    <w:name w:val="Balloon Text"/>
    <w:basedOn w:val="Normln"/>
    <w:link w:val="TextbublinyChar"/>
    <w:uiPriority w:val="99"/>
    <w:semiHidden/>
    <w:unhideWhenUsed/>
    <w:rsid w:val="00F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5D4E-67D2-415C-B9CE-F937CEB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Jirman, Petr (CZ - Prague)</dc:creator>
  <cp:keywords/>
  <dc:description/>
  <cp:lastModifiedBy>Helena Zeisel</cp:lastModifiedBy>
  <cp:revision>25</cp:revision>
  <dcterms:created xsi:type="dcterms:W3CDTF">2014-09-17T08:12:00Z</dcterms:created>
  <dcterms:modified xsi:type="dcterms:W3CDTF">2015-06-12T11:20:00Z</dcterms:modified>
</cp:coreProperties>
</file>