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E5" w:rsidRPr="005D35E5" w:rsidRDefault="005D35E5" w:rsidP="00EA3680"/>
    <w:p w:rsidR="001E4D5D" w:rsidRDefault="00626CF2" w:rsidP="00EA3680">
      <w:r>
        <w:rPr>
          <w:noProof/>
          <w:lang w:eastAsia="cs-CZ"/>
        </w:rPr>
        <mc:AlternateContent>
          <mc:Choice Requires="wps">
            <w:drawing>
              <wp:anchor distT="0" distB="0" distL="114300" distR="114300" simplePos="0" relativeHeight="251658240" behindDoc="0" locked="0" layoutInCell="1" allowOverlap="1" wp14:anchorId="542D340B" wp14:editId="65326734">
                <wp:simplePos x="0" y="0"/>
                <wp:positionH relativeFrom="column">
                  <wp:posOffset>-281305</wp:posOffset>
                </wp:positionH>
                <wp:positionV relativeFrom="paragraph">
                  <wp:posOffset>530225</wp:posOffset>
                </wp:positionV>
                <wp:extent cx="6170930" cy="74390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0930" cy="7439025"/>
                        </a:xfrm>
                        <a:prstGeom prst="rect">
                          <a:avLst/>
                        </a:prstGeom>
                        <a:noFill/>
                        <a:ln>
                          <a:noFill/>
                        </a:ln>
                        <a:effectLst/>
                        <a:extLst>
                          <a:ext uri="{C572A759-6A51-4108-AA02-DFA0A04FC94B}"/>
                        </a:extLst>
                      </wps:spPr>
                      <wps:txbx>
                        <w:txbxContent>
                          <w:p w:rsidR="00FC5AF7" w:rsidRPr="0080124E" w:rsidRDefault="00FC5AF7" w:rsidP="00DC69E0">
                            <w:pPr>
                              <w:rPr>
                                <w:rFonts w:cs="Arial"/>
                              </w:rPr>
                            </w:pPr>
                            <w:r w:rsidRPr="0080124E">
                              <w:rPr>
                                <w:rFonts w:cs="Arial"/>
                                <w:caps/>
                                <w:sz w:val="40"/>
                                <w:szCs w:val="60"/>
                              </w:rPr>
                              <w:t>INTEGROVANÝ REGIONÁLNÍ OPERAČNÍ PROGRAM</w:t>
                            </w:r>
                          </w:p>
                          <w:p w:rsidR="00FC5AF7" w:rsidRDefault="00FC5AF7" w:rsidP="00DA41C0">
                            <w:pPr>
                              <w:widowControl w:val="0"/>
                              <w:suppressAutoHyphens/>
                              <w:spacing w:after="0" w:line="288" w:lineRule="auto"/>
                              <w:jc w:val="left"/>
                              <w:textAlignment w:val="center"/>
                              <w:rPr>
                                <w:rFonts w:cs="MyriadPro-Black"/>
                                <w:caps/>
                                <w:color w:val="000000"/>
                                <w:sz w:val="60"/>
                                <w:szCs w:val="60"/>
                              </w:rPr>
                            </w:pPr>
                          </w:p>
                          <w:p w:rsidR="00FC5AF7" w:rsidRPr="00DA41C0" w:rsidRDefault="00FC5AF7" w:rsidP="00DA41C0">
                            <w:pPr>
                              <w:widowControl w:val="0"/>
                              <w:suppressAutoHyphens/>
                              <w:spacing w:after="0" w:line="288" w:lineRule="auto"/>
                              <w:jc w:val="left"/>
                              <w:textAlignment w:val="center"/>
                              <w:rPr>
                                <w:rFonts w:cs="MyriadPro-Black"/>
                                <w:caps/>
                                <w:color w:val="000000"/>
                                <w:sz w:val="60"/>
                                <w:szCs w:val="60"/>
                              </w:rPr>
                            </w:pPr>
                            <w:r w:rsidRPr="00DA41C0">
                              <w:rPr>
                                <w:rFonts w:cs="MyriadPro-Black"/>
                                <w:caps/>
                                <w:color w:val="000000"/>
                                <w:sz w:val="60"/>
                                <w:szCs w:val="60"/>
                              </w:rPr>
                              <w:t xml:space="preserve">SPECIFICKÁ </w:t>
                            </w:r>
                            <w:r w:rsidRPr="00DA41C0">
                              <w:rPr>
                                <w:rFonts w:cs="MyriadPro-Black" w:hint="eastAsia"/>
                                <w:caps/>
                                <w:color w:val="000000"/>
                                <w:sz w:val="60"/>
                                <w:szCs w:val="60"/>
                              </w:rPr>
                              <w:t xml:space="preserve">PRAVIDLA PRO ŽADATELE a příjemce </w:t>
                            </w:r>
                          </w:p>
                          <w:p w:rsidR="00FC5AF7" w:rsidRPr="00DA41C0" w:rsidRDefault="00FC5AF7" w:rsidP="00DA41C0">
                            <w:pPr>
                              <w:widowControl w:val="0"/>
                              <w:suppressAutoHyphens/>
                              <w:spacing w:after="0" w:line="288" w:lineRule="auto"/>
                              <w:jc w:val="left"/>
                              <w:textAlignment w:val="center"/>
                              <w:rPr>
                                <w:rFonts w:cs="MyriadPro-Black"/>
                                <w:caps/>
                                <w:color w:val="000000"/>
                                <w:sz w:val="60"/>
                                <w:szCs w:val="60"/>
                              </w:rPr>
                            </w:pPr>
                          </w:p>
                          <w:p w:rsidR="00FC5AF7" w:rsidRPr="00DA41C0" w:rsidRDefault="00FC5AF7" w:rsidP="00DA41C0">
                            <w:pPr>
                              <w:widowControl w:val="0"/>
                              <w:suppressAutoHyphens/>
                              <w:spacing w:after="0" w:line="288" w:lineRule="auto"/>
                              <w:jc w:val="left"/>
                              <w:textAlignment w:val="center"/>
                              <w:rPr>
                                <w:rFonts w:cs="MyriadPro-Black"/>
                                <w:caps/>
                                <w:color w:val="A6A6A6"/>
                                <w:sz w:val="40"/>
                                <w:szCs w:val="40"/>
                              </w:rPr>
                            </w:pPr>
                            <w:r w:rsidRPr="00DA41C0">
                              <w:rPr>
                                <w:rFonts w:cs="MyriadPro-Black"/>
                                <w:caps/>
                                <w:color w:val="A6A6A6"/>
                                <w:sz w:val="40"/>
                                <w:szCs w:val="40"/>
                              </w:rPr>
                              <w:t xml:space="preserve">SPECIFICKÝ CÍL 2.1: </w:t>
                            </w:r>
                          </w:p>
                          <w:p w:rsidR="00FC5AF7" w:rsidRPr="00DA41C0" w:rsidRDefault="00FC5AF7" w:rsidP="00DA41C0">
                            <w:pPr>
                              <w:widowControl w:val="0"/>
                              <w:suppressAutoHyphens/>
                              <w:spacing w:after="0" w:line="288" w:lineRule="auto"/>
                              <w:jc w:val="left"/>
                              <w:textAlignment w:val="center"/>
                              <w:rPr>
                                <w:rFonts w:cs="MyriadPro-Regular"/>
                                <w:caps/>
                                <w:color w:val="000000"/>
                                <w:sz w:val="50"/>
                                <w:szCs w:val="50"/>
                              </w:rPr>
                            </w:pPr>
                            <w:r w:rsidRPr="00DA41C0">
                              <w:rPr>
                                <w:rFonts w:cs="MyriadPro-Regular"/>
                                <w:caps/>
                                <w:color w:val="000000"/>
                                <w:sz w:val="50"/>
                                <w:szCs w:val="50"/>
                              </w:rPr>
                              <w:t xml:space="preserve">Zvýšení kvality a dostupnosti služeb vedoucí k sociální inkluzi </w:t>
                            </w:r>
                          </w:p>
                          <w:p w:rsidR="00FC5AF7" w:rsidRDefault="00FC5AF7" w:rsidP="00EA3680"/>
                          <w:p w:rsidR="00FC5AF7" w:rsidRPr="00106361" w:rsidRDefault="00FC5AF7" w:rsidP="00DA41C0">
                            <w:pPr>
                              <w:widowControl w:val="0"/>
                              <w:suppressAutoHyphens/>
                              <w:spacing w:after="0" w:line="288" w:lineRule="auto"/>
                              <w:jc w:val="left"/>
                              <w:textAlignment w:val="center"/>
                              <w:rPr>
                                <w:rFonts w:cs="MyriadPro-Black"/>
                                <w:caps/>
                                <w:color w:val="A6A6A6"/>
                                <w:sz w:val="40"/>
                                <w:szCs w:val="40"/>
                              </w:rPr>
                            </w:pPr>
                            <w:r w:rsidRPr="00106361">
                              <w:rPr>
                                <w:rFonts w:cs="MyriadPro-Black"/>
                                <w:caps/>
                                <w:color w:val="A6A6A6"/>
                                <w:sz w:val="40"/>
                                <w:szCs w:val="40"/>
                              </w:rPr>
                              <w:t xml:space="preserve">kolová výzva č. </w:t>
                            </w:r>
                            <w:r>
                              <w:rPr>
                                <w:rFonts w:cs="MyriadPro-Black"/>
                                <w:caps/>
                                <w:color w:val="A6A6A6"/>
                                <w:sz w:val="40"/>
                                <w:szCs w:val="40"/>
                              </w:rPr>
                              <w:t>30</w:t>
                            </w:r>
                            <w:r w:rsidRPr="00106361">
                              <w:rPr>
                                <w:rFonts w:cs="MyriadPro-Black"/>
                                <w:caps/>
                                <w:color w:val="A6A6A6"/>
                                <w:sz w:val="40"/>
                                <w:szCs w:val="40"/>
                              </w:rPr>
                              <w:t>:</w:t>
                            </w:r>
                          </w:p>
                          <w:p w:rsidR="00FC5AF7" w:rsidRPr="00106361" w:rsidRDefault="00FC5AF7" w:rsidP="00EA3680">
                            <w:r w:rsidRPr="00106361">
                              <w:rPr>
                                <w:rFonts w:cs="MyriadPro-Regular"/>
                                <w:caps/>
                                <w:color w:val="000000"/>
                                <w:sz w:val="50"/>
                                <w:szCs w:val="50"/>
                              </w:rPr>
                              <w:t>Rozvoj sociálních služeb</w:t>
                            </w:r>
                            <w:r>
                              <w:rPr>
                                <w:rFonts w:cs="MyriadPro-Regular"/>
                                <w:caps/>
                                <w:color w:val="000000"/>
                                <w:sz w:val="50"/>
                                <w:szCs w:val="50"/>
                              </w:rPr>
                              <w:t xml:space="preserve"> V SOCIÁLNĚ VYLOUČENÝCH LOKALITÁCH</w:t>
                            </w:r>
                          </w:p>
                          <w:p w:rsidR="00FC5AF7" w:rsidRDefault="00FC5AF7" w:rsidP="00DA41C0">
                            <w:pPr>
                              <w:widowControl w:val="0"/>
                              <w:suppressAutoHyphens/>
                              <w:spacing w:after="0" w:line="288" w:lineRule="auto"/>
                              <w:jc w:val="left"/>
                              <w:textAlignment w:val="center"/>
                              <w:rPr>
                                <w:rFonts w:cs="MyriadPro-Regular"/>
                                <w:caps/>
                                <w:color w:val="000000"/>
                                <w:sz w:val="40"/>
                                <w:szCs w:val="40"/>
                              </w:rPr>
                            </w:pPr>
                          </w:p>
                          <w:p w:rsidR="00FC5AF7" w:rsidRPr="00106361" w:rsidRDefault="00FC5AF7" w:rsidP="00DA41C0">
                            <w:pPr>
                              <w:widowControl w:val="0"/>
                              <w:suppressAutoHyphens/>
                              <w:spacing w:after="0" w:line="288" w:lineRule="auto"/>
                              <w:jc w:val="left"/>
                              <w:textAlignment w:val="center"/>
                              <w:rPr>
                                <w:rFonts w:cs="MyriadPro-Regular"/>
                                <w:caps/>
                                <w:color w:val="000000"/>
                                <w:sz w:val="40"/>
                                <w:szCs w:val="40"/>
                              </w:rPr>
                            </w:pPr>
                            <w:r w:rsidRPr="00106361">
                              <w:rPr>
                                <w:rFonts w:cs="MyriadPro-Regular"/>
                                <w:caps/>
                                <w:color w:val="000000"/>
                                <w:sz w:val="40"/>
                                <w:szCs w:val="40"/>
                              </w:rPr>
                              <w:t>datum vyhlášení: 29. 4. 2016</w:t>
                            </w:r>
                          </w:p>
                          <w:p w:rsidR="00FC5AF7" w:rsidRDefault="00FC5AF7" w:rsidP="00EA3680">
                            <w:pPr>
                              <w:rPr>
                                <w:lang w:eastAsia="cs-CZ"/>
                              </w:rPr>
                            </w:pPr>
                          </w:p>
                          <w:p w:rsidR="00FC5AF7" w:rsidRDefault="00FC5AF7" w:rsidP="00EA3680">
                            <w:pPr>
                              <w:rPr>
                                <w:i/>
                                <w:color w:val="FF0000"/>
                                <w:sz w:val="32"/>
                                <w:szCs w:val="32"/>
                                <w:lang w:eastAsia="cs-CZ"/>
                              </w:rPr>
                            </w:pPr>
                          </w:p>
                          <w:p w:rsidR="00FC5AF7" w:rsidRPr="00466D2C" w:rsidRDefault="00FC5AF7" w:rsidP="00250557">
                            <w:pPr>
                              <w:pStyle w:val="Zkladnodstavec"/>
                              <w:rPr>
                                <w:rFonts w:asciiTheme="majorHAnsi" w:hAnsiTheme="majorHAnsi" w:cs="MyriadPro-Black"/>
                                <w:caps/>
                                <w:color w:val="A6A6A6" w:themeColor="background1" w:themeShade="A6"/>
                                <w:sz w:val="32"/>
                                <w:szCs w:val="40"/>
                              </w:rPr>
                            </w:pPr>
                            <w:r>
                              <w:rPr>
                                <w:rFonts w:asciiTheme="majorHAnsi" w:hAnsiTheme="majorHAnsi" w:cs="MyriadPro-Black"/>
                                <w:caps/>
                                <w:color w:val="A6A6A6" w:themeColor="background1" w:themeShade="A6"/>
                                <w:sz w:val="32"/>
                                <w:szCs w:val="40"/>
                              </w:rPr>
                              <w:t>Vydání 1.2</w:t>
                            </w:r>
                          </w:p>
                          <w:p w:rsidR="00FC5AF7" w:rsidRPr="00466D2C" w:rsidRDefault="00FC5AF7" w:rsidP="0088542D">
                            <w:pPr>
                              <w:pStyle w:val="Zkladnodstavec"/>
                              <w:rPr>
                                <w:rFonts w:asciiTheme="majorHAnsi" w:hAnsiTheme="majorHAnsi" w:cs="MyriadPro-Black"/>
                                <w:caps/>
                                <w:color w:val="A6A6A6" w:themeColor="background1" w:themeShade="A6"/>
                                <w:sz w:val="32"/>
                                <w:szCs w:val="40"/>
                              </w:rPr>
                            </w:pPr>
                            <w:r w:rsidRPr="00F76554">
                              <w:rPr>
                                <w:rFonts w:asciiTheme="majorHAnsi" w:hAnsiTheme="majorHAnsi" w:cs="MyriadPro-Black"/>
                                <w:caps/>
                                <w:color w:val="A6A6A6" w:themeColor="background1" w:themeShade="A6"/>
                                <w:sz w:val="32"/>
                                <w:szCs w:val="40"/>
                              </w:rPr>
                              <w:t xml:space="preserve">PLATNOST </w:t>
                            </w:r>
                            <w:r w:rsidRPr="001032B5">
                              <w:rPr>
                                <w:rFonts w:asciiTheme="majorHAnsi" w:hAnsiTheme="majorHAnsi" w:cs="MyriadPro-Black"/>
                                <w:caps/>
                                <w:color w:val="A6A6A6" w:themeColor="background1" w:themeShade="A6"/>
                                <w:sz w:val="32"/>
                                <w:szCs w:val="40"/>
                              </w:rPr>
                              <w:t xml:space="preserve">OD </w:t>
                            </w:r>
                            <w:r w:rsidRPr="00F76554">
                              <w:rPr>
                                <w:rFonts w:asciiTheme="majorHAnsi" w:hAnsiTheme="majorHAnsi" w:cs="MyriadPro-Black"/>
                                <w:caps/>
                                <w:color w:val="A6A6A6" w:themeColor="background1" w:themeShade="A6"/>
                                <w:sz w:val="32"/>
                                <w:szCs w:val="40"/>
                              </w:rPr>
                              <w:t>1. 7. 2016</w:t>
                            </w:r>
                          </w:p>
                          <w:p w:rsidR="00FC5AF7" w:rsidRPr="00281409" w:rsidRDefault="00FC5AF7" w:rsidP="00EA3680">
                            <w:pPr>
                              <w:pStyle w:val="Zkladnodstavec"/>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15pt;margin-top:41.75pt;width:485.9pt;height:58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" filled="f" stroked="f">
                <v:path arrowok="t"/>
                <v:textbox>
                  <w:txbxContent>
                    <w:p w:rsidR="00FC5AF7" w:rsidRPr="0080124E" w:rsidRDefault="00FC5AF7" w:rsidP="00DC69E0">
                      <w:pPr>
                        <w:rPr>
                          <w:rFonts w:cs="Arial"/>
                        </w:rPr>
                      </w:pPr>
                      <w:r w:rsidRPr="0080124E">
                        <w:rPr>
                          <w:rFonts w:cs="Arial"/>
                          <w:caps/>
                          <w:sz w:val="40"/>
                          <w:szCs w:val="60"/>
                        </w:rPr>
                        <w:t>INTEGROVANÝ REGIONÁLNÍ OPERAČNÍ PROGRAM</w:t>
                      </w:r>
                    </w:p>
                    <w:p w:rsidR="00FC5AF7" w:rsidRDefault="00FC5AF7" w:rsidP="00DA41C0">
                      <w:pPr>
                        <w:widowControl w:val="0"/>
                        <w:suppressAutoHyphens/>
                        <w:spacing w:after="0" w:line="288" w:lineRule="auto"/>
                        <w:jc w:val="left"/>
                        <w:textAlignment w:val="center"/>
                        <w:rPr>
                          <w:rFonts w:cs="MyriadPro-Black"/>
                          <w:caps/>
                          <w:color w:val="000000"/>
                          <w:sz w:val="60"/>
                          <w:szCs w:val="60"/>
                        </w:rPr>
                      </w:pPr>
                    </w:p>
                    <w:p w:rsidR="00FC5AF7" w:rsidRPr="00DA41C0" w:rsidRDefault="00FC5AF7" w:rsidP="00DA41C0">
                      <w:pPr>
                        <w:widowControl w:val="0"/>
                        <w:suppressAutoHyphens/>
                        <w:spacing w:after="0" w:line="288" w:lineRule="auto"/>
                        <w:jc w:val="left"/>
                        <w:textAlignment w:val="center"/>
                        <w:rPr>
                          <w:rFonts w:cs="MyriadPro-Black"/>
                          <w:caps/>
                          <w:color w:val="000000"/>
                          <w:sz w:val="60"/>
                          <w:szCs w:val="60"/>
                        </w:rPr>
                      </w:pPr>
                      <w:r w:rsidRPr="00DA41C0">
                        <w:rPr>
                          <w:rFonts w:cs="MyriadPro-Black"/>
                          <w:caps/>
                          <w:color w:val="000000"/>
                          <w:sz w:val="60"/>
                          <w:szCs w:val="60"/>
                        </w:rPr>
                        <w:t xml:space="preserve">SPECIFICKÁ </w:t>
                      </w:r>
                      <w:r w:rsidRPr="00DA41C0">
                        <w:rPr>
                          <w:rFonts w:cs="MyriadPro-Black" w:hint="eastAsia"/>
                          <w:caps/>
                          <w:color w:val="000000"/>
                          <w:sz w:val="60"/>
                          <w:szCs w:val="60"/>
                        </w:rPr>
                        <w:t xml:space="preserve">PRAVIDLA PRO ŽADATELE a příjemce </w:t>
                      </w:r>
                    </w:p>
                    <w:p w:rsidR="00FC5AF7" w:rsidRPr="00DA41C0" w:rsidRDefault="00FC5AF7" w:rsidP="00DA41C0">
                      <w:pPr>
                        <w:widowControl w:val="0"/>
                        <w:suppressAutoHyphens/>
                        <w:spacing w:after="0" w:line="288" w:lineRule="auto"/>
                        <w:jc w:val="left"/>
                        <w:textAlignment w:val="center"/>
                        <w:rPr>
                          <w:rFonts w:cs="MyriadPro-Black"/>
                          <w:caps/>
                          <w:color w:val="000000"/>
                          <w:sz w:val="60"/>
                          <w:szCs w:val="60"/>
                        </w:rPr>
                      </w:pPr>
                    </w:p>
                    <w:p w:rsidR="00FC5AF7" w:rsidRPr="00DA41C0" w:rsidRDefault="00FC5AF7" w:rsidP="00DA41C0">
                      <w:pPr>
                        <w:widowControl w:val="0"/>
                        <w:suppressAutoHyphens/>
                        <w:spacing w:after="0" w:line="288" w:lineRule="auto"/>
                        <w:jc w:val="left"/>
                        <w:textAlignment w:val="center"/>
                        <w:rPr>
                          <w:rFonts w:cs="MyriadPro-Black"/>
                          <w:caps/>
                          <w:color w:val="A6A6A6"/>
                          <w:sz w:val="40"/>
                          <w:szCs w:val="40"/>
                        </w:rPr>
                      </w:pPr>
                      <w:r w:rsidRPr="00DA41C0">
                        <w:rPr>
                          <w:rFonts w:cs="MyriadPro-Black"/>
                          <w:caps/>
                          <w:color w:val="A6A6A6"/>
                          <w:sz w:val="40"/>
                          <w:szCs w:val="40"/>
                        </w:rPr>
                        <w:t xml:space="preserve">SPECIFICKÝ CÍL 2.1: </w:t>
                      </w:r>
                    </w:p>
                    <w:p w:rsidR="00FC5AF7" w:rsidRPr="00DA41C0" w:rsidRDefault="00FC5AF7" w:rsidP="00DA41C0">
                      <w:pPr>
                        <w:widowControl w:val="0"/>
                        <w:suppressAutoHyphens/>
                        <w:spacing w:after="0" w:line="288" w:lineRule="auto"/>
                        <w:jc w:val="left"/>
                        <w:textAlignment w:val="center"/>
                        <w:rPr>
                          <w:rFonts w:cs="MyriadPro-Regular"/>
                          <w:caps/>
                          <w:color w:val="000000"/>
                          <w:sz w:val="50"/>
                          <w:szCs w:val="50"/>
                        </w:rPr>
                      </w:pPr>
                      <w:r w:rsidRPr="00DA41C0">
                        <w:rPr>
                          <w:rFonts w:cs="MyriadPro-Regular"/>
                          <w:caps/>
                          <w:color w:val="000000"/>
                          <w:sz w:val="50"/>
                          <w:szCs w:val="50"/>
                        </w:rPr>
                        <w:t xml:space="preserve">Zvýšení kvality a dostupnosti služeb vedoucí k sociální inkluzi </w:t>
                      </w:r>
                    </w:p>
                    <w:p w:rsidR="00FC5AF7" w:rsidRDefault="00FC5AF7" w:rsidP="00EA3680"/>
                    <w:p w:rsidR="00FC5AF7" w:rsidRPr="00106361" w:rsidRDefault="00FC5AF7" w:rsidP="00DA41C0">
                      <w:pPr>
                        <w:widowControl w:val="0"/>
                        <w:suppressAutoHyphens/>
                        <w:spacing w:after="0" w:line="288" w:lineRule="auto"/>
                        <w:jc w:val="left"/>
                        <w:textAlignment w:val="center"/>
                        <w:rPr>
                          <w:rFonts w:cs="MyriadPro-Black"/>
                          <w:caps/>
                          <w:color w:val="A6A6A6"/>
                          <w:sz w:val="40"/>
                          <w:szCs w:val="40"/>
                        </w:rPr>
                      </w:pPr>
                      <w:r w:rsidRPr="00106361">
                        <w:rPr>
                          <w:rFonts w:cs="MyriadPro-Black"/>
                          <w:caps/>
                          <w:color w:val="A6A6A6"/>
                          <w:sz w:val="40"/>
                          <w:szCs w:val="40"/>
                        </w:rPr>
                        <w:t xml:space="preserve">kolová výzva č. </w:t>
                      </w:r>
                      <w:r>
                        <w:rPr>
                          <w:rFonts w:cs="MyriadPro-Black"/>
                          <w:caps/>
                          <w:color w:val="A6A6A6"/>
                          <w:sz w:val="40"/>
                          <w:szCs w:val="40"/>
                        </w:rPr>
                        <w:t>30</w:t>
                      </w:r>
                      <w:r w:rsidRPr="00106361">
                        <w:rPr>
                          <w:rFonts w:cs="MyriadPro-Black"/>
                          <w:caps/>
                          <w:color w:val="A6A6A6"/>
                          <w:sz w:val="40"/>
                          <w:szCs w:val="40"/>
                        </w:rPr>
                        <w:t>:</w:t>
                      </w:r>
                    </w:p>
                    <w:p w:rsidR="00FC5AF7" w:rsidRPr="00106361" w:rsidRDefault="00FC5AF7" w:rsidP="00EA3680">
                      <w:r w:rsidRPr="00106361">
                        <w:rPr>
                          <w:rFonts w:cs="MyriadPro-Regular"/>
                          <w:caps/>
                          <w:color w:val="000000"/>
                          <w:sz w:val="50"/>
                          <w:szCs w:val="50"/>
                        </w:rPr>
                        <w:t>Rozvoj sociálních služeb</w:t>
                      </w:r>
                      <w:r>
                        <w:rPr>
                          <w:rFonts w:cs="MyriadPro-Regular"/>
                          <w:caps/>
                          <w:color w:val="000000"/>
                          <w:sz w:val="50"/>
                          <w:szCs w:val="50"/>
                        </w:rPr>
                        <w:t xml:space="preserve"> V SOCIÁLNĚ VYLOUČENÝCH LOKALITÁCH</w:t>
                      </w:r>
                    </w:p>
                    <w:p w:rsidR="00FC5AF7" w:rsidRDefault="00FC5AF7" w:rsidP="00DA41C0">
                      <w:pPr>
                        <w:widowControl w:val="0"/>
                        <w:suppressAutoHyphens/>
                        <w:spacing w:after="0" w:line="288" w:lineRule="auto"/>
                        <w:jc w:val="left"/>
                        <w:textAlignment w:val="center"/>
                        <w:rPr>
                          <w:rFonts w:cs="MyriadPro-Regular"/>
                          <w:caps/>
                          <w:color w:val="000000"/>
                          <w:sz w:val="40"/>
                          <w:szCs w:val="40"/>
                        </w:rPr>
                      </w:pPr>
                    </w:p>
                    <w:p w:rsidR="00FC5AF7" w:rsidRPr="00106361" w:rsidRDefault="00FC5AF7" w:rsidP="00DA41C0">
                      <w:pPr>
                        <w:widowControl w:val="0"/>
                        <w:suppressAutoHyphens/>
                        <w:spacing w:after="0" w:line="288" w:lineRule="auto"/>
                        <w:jc w:val="left"/>
                        <w:textAlignment w:val="center"/>
                        <w:rPr>
                          <w:rFonts w:cs="MyriadPro-Regular"/>
                          <w:caps/>
                          <w:color w:val="000000"/>
                          <w:sz w:val="40"/>
                          <w:szCs w:val="40"/>
                        </w:rPr>
                      </w:pPr>
                      <w:r w:rsidRPr="00106361">
                        <w:rPr>
                          <w:rFonts w:cs="MyriadPro-Regular"/>
                          <w:caps/>
                          <w:color w:val="000000"/>
                          <w:sz w:val="40"/>
                          <w:szCs w:val="40"/>
                        </w:rPr>
                        <w:t>datum vyhlášení: 29. 4. 2016</w:t>
                      </w:r>
                    </w:p>
                    <w:p w:rsidR="00FC5AF7" w:rsidRDefault="00FC5AF7" w:rsidP="00EA3680">
                      <w:pPr>
                        <w:rPr>
                          <w:lang w:eastAsia="cs-CZ"/>
                        </w:rPr>
                      </w:pPr>
                    </w:p>
                    <w:p w:rsidR="00FC5AF7" w:rsidRDefault="00FC5AF7" w:rsidP="00EA3680">
                      <w:pPr>
                        <w:rPr>
                          <w:i/>
                          <w:color w:val="FF0000"/>
                          <w:sz w:val="32"/>
                          <w:szCs w:val="32"/>
                          <w:lang w:eastAsia="cs-CZ"/>
                        </w:rPr>
                      </w:pPr>
                    </w:p>
                    <w:p w:rsidR="00FC5AF7" w:rsidRPr="00466D2C" w:rsidRDefault="00FC5AF7" w:rsidP="00250557">
                      <w:pPr>
                        <w:pStyle w:val="Zkladnodstavec"/>
                        <w:rPr>
                          <w:rFonts w:asciiTheme="majorHAnsi" w:hAnsiTheme="majorHAnsi" w:cs="MyriadPro-Black"/>
                          <w:caps/>
                          <w:color w:val="A6A6A6" w:themeColor="background1" w:themeShade="A6"/>
                          <w:sz w:val="32"/>
                          <w:szCs w:val="40"/>
                        </w:rPr>
                      </w:pPr>
                      <w:r>
                        <w:rPr>
                          <w:rFonts w:asciiTheme="majorHAnsi" w:hAnsiTheme="majorHAnsi" w:cs="MyriadPro-Black"/>
                          <w:caps/>
                          <w:color w:val="A6A6A6" w:themeColor="background1" w:themeShade="A6"/>
                          <w:sz w:val="32"/>
                          <w:szCs w:val="40"/>
                        </w:rPr>
                        <w:t>Vydání 1.2</w:t>
                      </w:r>
                    </w:p>
                    <w:p w:rsidR="00FC5AF7" w:rsidRPr="00466D2C" w:rsidRDefault="00FC5AF7" w:rsidP="0088542D">
                      <w:pPr>
                        <w:pStyle w:val="Zkladnodstavec"/>
                        <w:rPr>
                          <w:rFonts w:asciiTheme="majorHAnsi" w:hAnsiTheme="majorHAnsi" w:cs="MyriadPro-Black"/>
                          <w:caps/>
                          <w:color w:val="A6A6A6" w:themeColor="background1" w:themeShade="A6"/>
                          <w:sz w:val="32"/>
                          <w:szCs w:val="40"/>
                        </w:rPr>
                      </w:pPr>
                      <w:r w:rsidRPr="00F76554">
                        <w:rPr>
                          <w:rFonts w:asciiTheme="majorHAnsi" w:hAnsiTheme="majorHAnsi" w:cs="MyriadPro-Black"/>
                          <w:caps/>
                          <w:color w:val="A6A6A6" w:themeColor="background1" w:themeShade="A6"/>
                          <w:sz w:val="32"/>
                          <w:szCs w:val="40"/>
                        </w:rPr>
                        <w:t xml:space="preserve">PLATNOST </w:t>
                      </w:r>
                      <w:r w:rsidRPr="001032B5">
                        <w:rPr>
                          <w:rFonts w:asciiTheme="majorHAnsi" w:hAnsiTheme="majorHAnsi" w:cs="MyriadPro-Black"/>
                          <w:caps/>
                          <w:color w:val="A6A6A6" w:themeColor="background1" w:themeShade="A6"/>
                          <w:sz w:val="32"/>
                          <w:szCs w:val="40"/>
                        </w:rPr>
                        <w:t xml:space="preserve">OD </w:t>
                      </w:r>
                      <w:r w:rsidRPr="00F76554">
                        <w:rPr>
                          <w:rFonts w:asciiTheme="majorHAnsi" w:hAnsiTheme="majorHAnsi" w:cs="MyriadPro-Black"/>
                          <w:caps/>
                          <w:color w:val="A6A6A6" w:themeColor="background1" w:themeShade="A6"/>
                          <w:sz w:val="32"/>
                          <w:szCs w:val="40"/>
                        </w:rPr>
                        <w:t>1. 7. 2016</w:t>
                      </w:r>
                    </w:p>
                    <w:p w:rsidR="00FC5AF7" w:rsidRPr="00281409" w:rsidRDefault="00FC5AF7" w:rsidP="00EA3680">
                      <w:pPr>
                        <w:pStyle w:val="Zkladnodstavec"/>
                      </w:pPr>
                    </w:p>
                  </w:txbxContent>
                </v:textbox>
                <w10:wrap type="square"/>
              </v:shape>
            </w:pict>
          </mc:Fallback>
        </mc:AlternateContent>
      </w:r>
    </w:p>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D02F46" w:rsidRDefault="00D02F46" w:rsidP="00EA3680"/>
    <w:p w:rsidR="006367C2" w:rsidRDefault="006367C2" w:rsidP="00EA3680"/>
    <w:p w:rsidR="00FD4CE6" w:rsidRDefault="00FD4CE6" w:rsidP="00EA3680"/>
    <w:p w:rsidR="00FD4CE6" w:rsidRDefault="00FD4CE6" w:rsidP="00EA3680"/>
    <w:p w:rsidR="00FD4CE6" w:rsidRDefault="00FD4CE6" w:rsidP="00EA3680"/>
    <w:p w:rsidR="0088542D" w:rsidRDefault="0088542D" w:rsidP="00EA3680"/>
    <w:p w:rsidR="0088542D" w:rsidRDefault="0088542D" w:rsidP="00EA3680"/>
    <w:p w:rsidR="0088542D" w:rsidRDefault="0088542D" w:rsidP="00EA3680"/>
    <w:p w:rsidR="0088542D" w:rsidRDefault="0088542D" w:rsidP="00EA3680"/>
    <w:p w:rsidR="0088542D" w:rsidRDefault="0088542D" w:rsidP="00EA3680"/>
    <w:p w:rsidR="0088542D" w:rsidRDefault="0088542D" w:rsidP="00EA3680"/>
    <w:p w:rsidR="006367C2" w:rsidRPr="008725B7" w:rsidRDefault="006367C2" w:rsidP="00EA3680"/>
    <w:p w:rsidR="00D02F46" w:rsidRPr="0049386B" w:rsidRDefault="00D02F46" w:rsidP="00EA3680">
      <w:r w:rsidRPr="0049386B">
        <w:t>Ministerstvo pro místní rozvoj ČR</w:t>
      </w:r>
    </w:p>
    <w:p w:rsidR="00D02F46" w:rsidRPr="0049386B" w:rsidRDefault="00D02F46" w:rsidP="00EA3680">
      <w:r w:rsidRPr="0049386B">
        <w:t>Odbor řízení operačních programů</w:t>
      </w:r>
    </w:p>
    <w:p w:rsidR="00D02F46" w:rsidRPr="0049386B" w:rsidRDefault="00D02F46" w:rsidP="00EA3680">
      <w:r w:rsidRPr="0049386B">
        <w:t>Staroměstské náměstí 6, 110 15 Praha 1</w:t>
      </w:r>
    </w:p>
    <w:p w:rsidR="0088542D" w:rsidRDefault="0088542D">
      <w:pPr>
        <w:spacing w:line="276" w:lineRule="auto"/>
        <w:jc w:val="left"/>
      </w:pPr>
      <w:r>
        <w:br w:type="page"/>
      </w:r>
    </w:p>
    <w:p w:rsidR="000616B8" w:rsidRPr="00412CBE" w:rsidRDefault="000616B8" w:rsidP="00EA3680">
      <w:pPr>
        <w:rPr>
          <w:b/>
          <w:sz w:val="36"/>
          <w:szCs w:val="36"/>
        </w:rPr>
      </w:pPr>
      <w:bookmarkStart w:id="0" w:name="_Toc401928003"/>
      <w:r w:rsidRPr="00412CBE">
        <w:rPr>
          <w:b/>
          <w:sz w:val="36"/>
          <w:szCs w:val="36"/>
        </w:rPr>
        <w:lastRenderedPageBreak/>
        <w:t>Obsah</w:t>
      </w:r>
      <w:bookmarkEnd w:id="0"/>
    </w:p>
    <w:p w:rsidR="004574D4" w:rsidRDefault="0095024C">
      <w:pPr>
        <w:pStyle w:val="Obsah1"/>
        <w:tabs>
          <w:tab w:val="left" w:pos="480"/>
          <w:tab w:val="right" w:leader="dot" w:pos="9060"/>
        </w:tabs>
        <w:rPr>
          <w:rFonts w:asciiTheme="minorHAnsi" w:eastAsiaTheme="minorEastAsia" w:hAnsiTheme="minorHAnsi" w:cstheme="minorBidi"/>
          <w:noProof/>
          <w:sz w:val="22"/>
          <w:szCs w:val="22"/>
          <w:lang w:eastAsia="cs-CZ"/>
        </w:rPr>
      </w:pPr>
      <w:r>
        <w:rPr>
          <w:rFonts w:cs="Arial"/>
        </w:rPr>
        <w:fldChar w:fldCharType="begin"/>
      </w:r>
      <w:r w:rsidR="00F64B9F">
        <w:rPr>
          <w:rFonts w:cs="Arial"/>
        </w:rPr>
        <w:instrText xml:space="preserve"> TOC \o "1-3" \h \z \u </w:instrText>
      </w:r>
      <w:r>
        <w:rPr>
          <w:rFonts w:cs="Arial"/>
        </w:rPr>
        <w:fldChar w:fldCharType="separate"/>
      </w:r>
      <w:hyperlink w:anchor="_Toc455143123" w:history="1">
        <w:r w:rsidR="004574D4" w:rsidRPr="005C6B7B">
          <w:rPr>
            <w:rStyle w:val="Hypertextovodkaz"/>
            <w:noProof/>
          </w:rPr>
          <w:t>1.</w:t>
        </w:r>
        <w:r w:rsidR="004574D4">
          <w:rPr>
            <w:rFonts w:asciiTheme="minorHAnsi" w:eastAsiaTheme="minorEastAsia" w:hAnsiTheme="minorHAnsi" w:cstheme="minorBidi"/>
            <w:noProof/>
            <w:sz w:val="22"/>
            <w:szCs w:val="22"/>
            <w:lang w:eastAsia="cs-CZ"/>
          </w:rPr>
          <w:tab/>
        </w:r>
        <w:r w:rsidR="004574D4" w:rsidRPr="005C6B7B">
          <w:rPr>
            <w:rStyle w:val="Hypertextovodkaz"/>
            <w:noProof/>
          </w:rPr>
          <w:t>Úvod</w:t>
        </w:r>
        <w:r w:rsidR="004574D4">
          <w:rPr>
            <w:noProof/>
            <w:webHidden/>
          </w:rPr>
          <w:tab/>
        </w:r>
        <w:r w:rsidR="004574D4">
          <w:rPr>
            <w:noProof/>
            <w:webHidden/>
          </w:rPr>
          <w:fldChar w:fldCharType="begin"/>
        </w:r>
        <w:r w:rsidR="004574D4">
          <w:rPr>
            <w:noProof/>
            <w:webHidden/>
          </w:rPr>
          <w:instrText xml:space="preserve"> PAGEREF _Toc455143123 \h </w:instrText>
        </w:r>
        <w:r w:rsidR="004574D4">
          <w:rPr>
            <w:noProof/>
            <w:webHidden/>
          </w:rPr>
        </w:r>
        <w:r w:rsidR="004574D4">
          <w:rPr>
            <w:noProof/>
            <w:webHidden/>
          </w:rPr>
          <w:fldChar w:fldCharType="separate"/>
        </w:r>
        <w:r w:rsidR="004574D4">
          <w:rPr>
            <w:noProof/>
            <w:webHidden/>
          </w:rPr>
          <w:t>6</w:t>
        </w:r>
        <w:r w:rsidR="004574D4">
          <w:rPr>
            <w:noProof/>
            <w:webHidden/>
          </w:rPr>
          <w:fldChar w:fldCharType="end"/>
        </w:r>
      </w:hyperlink>
    </w:p>
    <w:p w:rsidR="004574D4" w:rsidRDefault="00FC5AF7">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55143124" w:history="1">
        <w:r w:rsidR="004574D4" w:rsidRPr="005C6B7B">
          <w:rPr>
            <w:rStyle w:val="Hypertextovodkaz"/>
            <w:noProof/>
          </w:rPr>
          <w:t>2.</w:t>
        </w:r>
        <w:r w:rsidR="004574D4">
          <w:rPr>
            <w:rFonts w:asciiTheme="minorHAnsi" w:eastAsiaTheme="minorEastAsia" w:hAnsiTheme="minorHAnsi" w:cstheme="minorBidi"/>
            <w:noProof/>
            <w:sz w:val="22"/>
            <w:szCs w:val="22"/>
            <w:lang w:eastAsia="cs-CZ"/>
          </w:rPr>
          <w:tab/>
        </w:r>
        <w:r w:rsidR="004574D4" w:rsidRPr="005C6B7B">
          <w:rPr>
            <w:rStyle w:val="Hypertextovodkaz"/>
            <w:noProof/>
          </w:rPr>
          <w:t>Údaje o výzvě</w:t>
        </w:r>
        <w:r w:rsidR="004574D4">
          <w:rPr>
            <w:noProof/>
            <w:webHidden/>
          </w:rPr>
          <w:tab/>
        </w:r>
        <w:r w:rsidR="004574D4">
          <w:rPr>
            <w:noProof/>
            <w:webHidden/>
          </w:rPr>
          <w:fldChar w:fldCharType="begin"/>
        </w:r>
        <w:r w:rsidR="004574D4">
          <w:rPr>
            <w:noProof/>
            <w:webHidden/>
          </w:rPr>
          <w:instrText xml:space="preserve"> PAGEREF _Toc455143124 \h </w:instrText>
        </w:r>
        <w:r w:rsidR="004574D4">
          <w:rPr>
            <w:noProof/>
            <w:webHidden/>
          </w:rPr>
        </w:r>
        <w:r w:rsidR="004574D4">
          <w:rPr>
            <w:noProof/>
            <w:webHidden/>
          </w:rPr>
          <w:fldChar w:fldCharType="separate"/>
        </w:r>
        <w:r w:rsidR="004574D4">
          <w:rPr>
            <w:noProof/>
            <w:webHidden/>
          </w:rPr>
          <w:t>7</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25" w:history="1">
        <w:r w:rsidR="004574D4" w:rsidRPr="005C6B7B">
          <w:rPr>
            <w:rStyle w:val="Hypertextovodkaz"/>
            <w:noProof/>
          </w:rPr>
          <w:t>2.1.</w:t>
        </w:r>
        <w:r w:rsidR="004574D4">
          <w:rPr>
            <w:rFonts w:asciiTheme="minorHAnsi" w:eastAsiaTheme="minorEastAsia" w:hAnsiTheme="minorHAnsi" w:cstheme="minorBidi"/>
            <w:noProof/>
            <w:sz w:val="22"/>
            <w:szCs w:val="22"/>
            <w:lang w:eastAsia="cs-CZ"/>
          </w:rPr>
          <w:tab/>
        </w:r>
        <w:r w:rsidR="004574D4" w:rsidRPr="005C6B7B">
          <w:rPr>
            <w:rStyle w:val="Hypertextovodkaz"/>
            <w:noProof/>
          </w:rPr>
          <w:t>Vyhlášení výzvy a podání žádosti o podporu</w:t>
        </w:r>
        <w:r w:rsidR="004574D4">
          <w:rPr>
            <w:noProof/>
            <w:webHidden/>
          </w:rPr>
          <w:tab/>
        </w:r>
        <w:r w:rsidR="004574D4">
          <w:rPr>
            <w:noProof/>
            <w:webHidden/>
          </w:rPr>
          <w:fldChar w:fldCharType="begin"/>
        </w:r>
        <w:r w:rsidR="004574D4">
          <w:rPr>
            <w:noProof/>
            <w:webHidden/>
          </w:rPr>
          <w:instrText xml:space="preserve"> PAGEREF _Toc455143125 \h </w:instrText>
        </w:r>
        <w:r w:rsidR="004574D4">
          <w:rPr>
            <w:noProof/>
            <w:webHidden/>
          </w:rPr>
        </w:r>
        <w:r w:rsidR="004574D4">
          <w:rPr>
            <w:noProof/>
            <w:webHidden/>
          </w:rPr>
          <w:fldChar w:fldCharType="separate"/>
        </w:r>
        <w:r w:rsidR="004574D4">
          <w:rPr>
            <w:noProof/>
            <w:webHidden/>
          </w:rPr>
          <w:t>7</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26" w:history="1">
        <w:r w:rsidR="004574D4" w:rsidRPr="005C6B7B">
          <w:rPr>
            <w:rStyle w:val="Hypertextovodkaz"/>
            <w:noProof/>
          </w:rPr>
          <w:t>2.2.</w:t>
        </w:r>
        <w:r w:rsidR="004574D4">
          <w:rPr>
            <w:rFonts w:asciiTheme="minorHAnsi" w:eastAsiaTheme="minorEastAsia" w:hAnsiTheme="minorHAnsi" w:cstheme="minorBidi"/>
            <w:noProof/>
            <w:sz w:val="22"/>
            <w:szCs w:val="22"/>
            <w:lang w:eastAsia="cs-CZ"/>
          </w:rPr>
          <w:tab/>
        </w:r>
        <w:r w:rsidR="004574D4" w:rsidRPr="005C6B7B">
          <w:rPr>
            <w:rStyle w:val="Hypertextovodkaz"/>
            <w:noProof/>
          </w:rPr>
          <w:t>Podporované aktivity</w:t>
        </w:r>
        <w:r w:rsidR="004574D4">
          <w:rPr>
            <w:noProof/>
            <w:webHidden/>
          </w:rPr>
          <w:tab/>
        </w:r>
        <w:r w:rsidR="004574D4">
          <w:rPr>
            <w:noProof/>
            <w:webHidden/>
          </w:rPr>
          <w:fldChar w:fldCharType="begin"/>
        </w:r>
        <w:r w:rsidR="004574D4">
          <w:rPr>
            <w:noProof/>
            <w:webHidden/>
          </w:rPr>
          <w:instrText xml:space="preserve"> PAGEREF _Toc455143126 \h </w:instrText>
        </w:r>
        <w:r w:rsidR="004574D4">
          <w:rPr>
            <w:noProof/>
            <w:webHidden/>
          </w:rPr>
        </w:r>
        <w:r w:rsidR="004574D4">
          <w:rPr>
            <w:noProof/>
            <w:webHidden/>
          </w:rPr>
          <w:fldChar w:fldCharType="separate"/>
        </w:r>
        <w:r w:rsidR="004574D4">
          <w:rPr>
            <w:noProof/>
            <w:webHidden/>
          </w:rPr>
          <w:t>9</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27" w:history="1">
        <w:r w:rsidR="004574D4" w:rsidRPr="005C6B7B">
          <w:rPr>
            <w:rStyle w:val="Hypertextovodkaz"/>
            <w:noProof/>
          </w:rPr>
          <w:t>2.3.</w:t>
        </w:r>
        <w:r w:rsidR="004574D4">
          <w:rPr>
            <w:rFonts w:asciiTheme="minorHAnsi" w:eastAsiaTheme="minorEastAsia" w:hAnsiTheme="minorHAnsi" w:cstheme="minorBidi"/>
            <w:noProof/>
            <w:sz w:val="22"/>
            <w:szCs w:val="22"/>
            <w:lang w:eastAsia="cs-CZ"/>
          </w:rPr>
          <w:tab/>
        </w:r>
        <w:r w:rsidR="004574D4" w:rsidRPr="005C6B7B">
          <w:rPr>
            <w:rStyle w:val="Hypertextovodkaz"/>
            <w:noProof/>
          </w:rPr>
          <w:t>Komplementarita</w:t>
        </w:r>
        <w:r w:rsidR="004574D4">
          <w:rPr>
            <w:noProof/>
            <w:webHidden/>
          </w:rPr>
          <w:tab/>
        </w:r>
        <w:r w:rsidR="004574D4">
          <w:rPr>
            <w:noProof/>
            <w:webHidden/>
          </w:rPr>
          <w:fldChar w:fldCharType="begin"/>
        </w:r>
        <w:r w:rsidR="004574D4">
          <w:rPr>
            <w:noProof/>
            <w:webHidden/>
          </w:rPr>
          <w:instrText xml:space="preserve"> PAGEREF _Toc455143127 \h </w:instrText>
        </w:r>
        <w:r w:rsidR="004574D4">
          <w:rPr>
            <w:noProof/>
            <w:webHidden/>
          </w:rPr>
        </w:r>
        <w:r w:rsidR="004574D4">
          <w:rPr>
            <w:noProof/>
            <w:webHidden/>
          </w:rPr>
          <w:fldChar w:fldCharType="separate"/>
        </w:r>
        <w:r w:rsidR="004574D4">
          <w:rPr>
            <w:noProof/>
            <w:webHidden/>
          </w:rPr>
          <w:t>11</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28" w:history="1">
        <w:r w:rsidR="004574D4" w:rsidRPr="005C6B7B">
          <w:rPr>
            <w:rStyle w:val="Hypertextovodkaz"/>
            <w:noProof/>
          </w:rPr>
          <w:t>2.4.</w:t>
        </w:r>
        <w:r w:rsidR="004574D4">
          <w:rPr>
            <w:rFonts w:asciiTheme="minorHAnsi" w:eastAsiaTheme="minorEastAsia" w:hAnsiTheme="minorHAnsi" w:cstheme="minorBidi"/>
            <w:noProof/>
            <w:sz w:val="22"/>
            <w:szCs w:val="22"/>
            <w:lang w:eastAsia="cs-CZ"/>
          </w:rPr>
          <w:tab/>
        </w:r>
        <w:r w:rsidR="004574D4" w:rsidRPr="005C6B7B">
          <w:rPr>
            <w:rStyle w:val="Hypertextovodkaz"/>
            <w:noProof/>
          </w:rPr>
          <w:t>Povinné přílohy žádosti o podporu</w:t>
        </w:r>
        <w:r w:rsidR="004574D4">
          <w:rPr>
            <w:noProof/>
            <w:webHidden/>
          </w:rPr>
          <w:tab/>
        </w:r>
        <w:r w:rsidR="004574D4">
          <w:rPr>
            <w:noProof/>
            <w:webHidden/>
          </w:rPr>
          <w:fldChar w:fldCharType="begin"/>
        </w:r>
        <w:r w:rsidR="004574D4">
          <w:rPr>
            <w:noProof/>
            <w:webHidden/>
          </w:rPr>
          <w:instrText xml:space="preserve"> PAGEREF _Toc455143128 \h </w:instrText>
        </w:r>
        <w:r w:rsidR="004574D4">
          <w:rPr>
            <w:noProof/>
            <w:webHidden/>
          </w:rPr>
        </w:r>
        <w:r w:rsidR="004574D4">
          <w:rPr>
            <w:noProof/>
            <w:webHidden/>
          </w:rPr>
          <w:fldChar w:fldCharType="separate"/>
        </w:r>
        <w:r w:rsidR="004574D4">
          <w:rPr>
            <w:noProof/>
            <w:webHidden/>
          </w:rPr>
          <w:t>11</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29" w:history="1">
        <w:r w:rsidR="004574D4" w:rsidRPr="005C6B7B">
          <w:rPr>
            <w:rStyle w:val="Hypertextovodkaz"/>
            <w:noProof/>
          </w:rPr>
          <w:t>2.5.</w:t>
        </w:r>
        <w:r w:rsidR="004574D4">
          <w:rPr>
            <w:rFonts w:asciiTheme="minorHAnsi" w:eastAsiaTheme="minorEastAsia" w:hAnsiTheme="minorHAnsi" w:cstheme="minorBidi"/>
            <w:noProof/>
            <w:sz w:val="22"/>
            <w:szCs w:val="22"/>
            <w:lang w:eastAsia="cs-CZ"/>
          </w:rPr>
          <w:tab/>
        </w:r>
        <w:r w:rsidR="004574D4" w:rsidRPr="005C6B7B">
          <w:rPr>
            <w:rStyle w:val="Hypertextovodkaz"/>
            <w:noProof/>
          </w:rPr>
          <w:t>Struktura financování</w:t>
        </w:r>
        <w:r w:rsidR="004574D4">
          <w:rPr>
            <w:noProof/>
            <w:webHidden/>
          </w:rPr>
          <w:tab/>
        </w:r>
        <w:r w:rsidR="004574D4">
          <w:rPr>
            <w:noProof/>
            <w:webHidden/>
          </w:rPr>
          <w:fldChar w:fldCharType="begin"/>
        </w:r>
        <w:r w:rsidR="004574D4">
          <w:rPr>
            <w:noProof/>
            <w:webHidden/>
          </w:rPr>
          <w:instrText xml:space="preserve"> PAGEREF _Toc455143129 \h </w:instrText>
        </w:r>
        <w:r w:rsidR="004574D4">
          <w:rPr>
            <w:noProof/>
            <w:webHidden/>
          </w:rPr>
        </w:r>
        <w:r w:rsidR="004574D4">
          <w:rPr>
            <w:noProof/>
            <w:webHidden/>
          </w:rPr>
          <w:fldChar w:fldCharType="separate"/>
        </w:r>
        <w:r w:rsidR="004574D4">
          <w:rPr>
            <w:noProof/>
            <w:webHidden/>
          </w:rPr>
          <w:t>16</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30" w:history="1">
        <w:r w:rsidR="004574D4" w:rsidRPr="005C6B7B">
          <w:rPr>
            <w:rStyle w:val="Hypertextovodkaz"/>
            <w:noProof/>
          </w:rPr>
          <w:t>2.6.</w:t>
        </w:r>
        <w:r w:rsidR="004574D4">
          <w:rPr>
            <w:rFonts w:asciiTheme="minorHAnsi" w:eastAsiaTheme="minorEastAsia" w:hAnsiTheme="minorHAnsi" w:cstheme="minorBidi"/>
            <w:noProof/>
            <w:sz w:val="22"/>
            <w:szCs w:val="22"/>
            <w:lang w:eastAsia="cs-CZ"/>
          </w:rPr>
          <w:tab/>
        </w:r>
        <w:r w:rsidR="004574D4" w:rsidRPr="005C6B7B">
          <w:rPr>
            <w:rStyle w:val="Hypertextovodkaz"/>
            <w:noProof/>
          </w:rPr>
          <w:t>Způsobilé výdaje</w:t>
        </w:r>
        <w:r w:rsidR="004574D4">
          <w:rPr>
            <w:noProof/>
            <w:webHidden/>
          </w:rPr>
          <w:tab/>
        </w:r>
        <w:r w:rsidR="004574D4">
          <w:rPr>
            <w:noProof/>
            <w:webHidden/>
          </w:rPr>
          <w:fldChar w:fldCharType="begin"/>
        </w:r>
        <w:r w:rsidR="004574D4">
          <w:rPr>
            <w:noProof/>
            <w:webHidden/>
          </w:rPr>
          <w:instrText xml:space="preserve"> PAGEREF _Toc455143130 \h </w:instrText>
        </w:r>
        <w:r w:rsidR="004574D4">
          <w:rPr>
            <w:noProof/>
            <w:webHidden/>
          </w:rPr>
        </w:r>
        <w:r w:rsidR="004574D4">
          <w:rPr>
            <w:noProof/>
            <w:webHidden/>
          </w:rPr>
          <w:fldChar w:fldCharType="separate"/>
        </w:r>
        <w:r w:rsidR="004574D4">
          <w:rPr>
            <w:noProof/>
            <w:webHidden/>
          </w:rPr>
          <w:t>17</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31" w:history="1">
        <w:r w:rsidR="004574D4" w:rsidRPr="005C6B7B">
          <w:rPr>
            <w:rStyle w:val="Hypertextovodkaz"/>
            <w:noProof/>
          </w:rPr>
          <w:t>2.7.</w:t>
        </w:r>
        <w:r w:rsidR="004574D4">
          <w:rPr>
            <w:rFonts w:asciiTheme="minorHAnsi" w:eastAsiaTheme="minorEastAsia" w:hAnsiTheme="minorHAnsi" w:cstheme="minorBidi"/>
            <w:noProof/>
            <w:sz w:val="22"/>
            <w:szCs w:val="22"/>
            <w:lang w:eastAsia="cs-CZ"/>
          </w:rPr>
          <w:tab/>
        </w:r>
        <w:r w:rsidR="004574D4" w:rsidRPr="005C6B7B">
          <w:rPr>
            <w:rStyle w:val="Hypertextovodkaz"/>
            <w:noProof/>
          </w:rPr>
          <w:t>Indikátory</w:t>
        </w:r>
        <w:r w:rsidR="004574D4">
          <w:rPr>
            <w:noProof/>
            <w:webHidden/>
          </w:rPr>
          <w:tab/>
        </w:r>
        <w:r w:rsidR="004574D4">
          <w:rPr>
            <w:noProof/>
            <w:webHidden/>
          </w:rPr>
          <w:fldChar w:fldCharType="begin"/>
        </w:r>
        <w:r w:rsidR="004574D4">
          <w:rPr>
            <w:noProof/>
            <w:webHidden/>
          </w:rPr>
          <w:instrText xml:space="preserve"> PAGEREF _Toc455143131 \h </w:instrText>
        </w:r>
        <w:r w:rsidR="004574D4">
          <w:rPr>
            <w:noProof/>
            <w:webHidden/>
          </w:rPr>
        </w:r>
        <w:r w:rsidR="004574D4">
          <w:rPr>
            <w:noProof/>
            <w:webHidden/>
          </w:rPr>
          <w:fldChar w:fldCharType="separate"/>
        </w:r>
        <w:r w:rsidR="004574D4">
          <w:rPr>
            <w:noProof/>
            <w:webHidden/>
          </w:rPr>
          <w:t>21</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32" w:history="1">
        <w:r w:rsidR="004574D4" w:rsidRPr="005C6B7B">
          <w:rPr>
            <w:rStyle w:val="Hypertextovodkaz"/>
            <w:noProof/>
          </w:rPr>
          <w:t>2.8.</w:t>
        </w:r>
        <w:r w:rsidR="004574D4">
          <w:rPr>
            <w:rFonts w:asciiTheme="minorHAnsi" w:eastAsiaTheme="minorEastAsia" w:hAnsiTheme="minorHAnsi" w:cstheme="minorBidi"/>
            <w:noProof/>
            <w:sz w:val="22"/>
            <w:szCs w:val="22"/>
            <w:lang w:eastAsia="cs-CZ"/>
          </w:rPr>
          <w:tab/>
        </w:r>
        <w:r w:rsidR="004574D4" w:rsidRPr="005C6B7B">
          <w:rPr>
            <w:rStyle w:val="Hypertextovodkaz"/>
            <w:noProof/>
          </w:rPr>
          <w:t>Místo realizace projektů</w:t>
        </w:r>
        <w:r w:rsidR="004574D4">
          <w:rPr>
            <w:noProof/>
            <w:webHidden/>
          </w:rPr>
          <w:tab/>
        </w:r>
        <w:r w:rsidR="004574D4">
          <w:rPr>
            <w:noProof/>
            <w:webHidden/>
          </w:rPr>
          <w:fldChar w:fldCharType="begin"/>
        </w:r>
        <w:r w:rsidR="004574D4">
          <w:rPr>
            <w:noProof/>
            <w:webHidden/>
          </w:rPr>
          <w:instrText xml:space="preserve"> PAGEREF _Toc455143132 \h </w:instrText>
        </w:r>
        <w:r w:rsidR="004574D4">
          <w:rPr>
            <w:noProof/>
            <w:webHidden/>
          </w:rPr>
        </w:r>
        <w:r w:rsidR="004574D4">
          <w:rPr>
            <w:noProof/>
            <w:webHidden/>
          </w:rPr>
          <w:fldChar w:fldCharType="separate"/>
        </w:r>
        <w:r w:rsidR="004574D4">
          <w:rPr>
            <w:noProof/>
            <w:webHidden/>
          </w:rPr>
          <w:t>22</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33" w:history="1">
        <w:r w:rsidR="004574D4" w:rsidRPr="005C6B7B">
          <w:rPr>
            <w:rStyle w:val="Hypertextovodkaz"/>
            <w:noProof/>
          </w:rPr>
          <w:t>2.9.</w:t>
        </w:r>
        <w:r w:rsidR="004574D4">
          <w:rPr>
            <w:rFonts w:asciiTheme="minorHAnsi" w:eastAsiaTheme="minorEastAsia" w:hAnsiTheme="minorHAnsi" w:cstheme="minorBidi"/>
            <w:noProof/>
            <w:sz w:val="22"/>
            <w:szCs w:val="22"/>
            <w:lang w:eastAsia="cs-CZ"/>
          </w:rPr>
          <w:tab/>
        </w:r>
        <w:r w:rsidR="004574D4" w:rsidRPr="005C6B7B">
          <w:rPr>
            <w:rStyle w:val="Hypertextovodkaz"/>
            <w:noProof/>
          </w:rPr>
          <w:t>Projekty generující příjmy</w:t>
        </w:r>
        <w:r w:rsidR="004574D4">
          <w:rPr>
            <w:noProof/>
            <w:webHidden/>
          </w:rPr>
          <w:tab/>
        </w:r>
        <w:r w:rsidR="004574D4">
          <w:rPr>
            <w:noProof/>
            <w:webHidden/>
          </w:rPr>
          <w:fldChar w:fldCharType="begin"/>
        </w:r>
        <w:r w:rsidR="004574D4">
          <w:rPr>
            <w:noProof/>
            <w:webHidden/>
          </w:rPr>
          <w:instrText xml:space="preserve"> PAGEREF _Toc455143133 \h </w:instrText>
        </w:r>
        <w:r w:rsidR="004574D4">
          <w:rPr>
            <w:noProof/>
            <w:webHidden/>
          </w:rPr>
        </w:r>
        <w:r w:rsidR="004574D4">
          <w:rPr>
            <w:noProof/>
            <w:webHidden/>
          </w:rPr>
          <w:fldChar w:fldCharType="separate"/>
        </w:r>
        <w:r w:rsidR="004574D4">
          <w:rPr>
            <w:noProof/>
            <w:webHidden/>
          </w:rPr>
          <w:t>22</w:t>
        </w:r>
        <w:r w:rsidR="004574D4">
          <w:rPr>
            <w:noProof/>
            <w:webHidden/>
          </w:rPr>
          <w:fldChar w:fldCharType="end"/>
        </w:r>
      </w:hyperlink>
    </w:p>
    <w:p w:rsidR="004574D4" w:rsidRDefault="00FC5AF7">
      <w:pPr>
        <w:pStyle w:val="Obsah1"/>
        <w:tabs>
          <w:tab w:val="left" w:pos="880"/>
          <w:tab w:val="right" w:leader="dot" w:pos="9060"/>
        </w:tabs>
        <w:rPr>
          <w:rFonts w:asciiTheme="minorHAnsi" w:eastAsiaTheme="minorEastAsia" w:hAnsiTheme="minorHAnsi" w:cstheme="minorBidi"/>
          <w:noProof/>
          <w:sz w:val="22"/>
          <w:szCs w:val="22"/>
          <w:lang w:eastAsia="cs-CZ"/>
        </w:rPr>
      </w:pPr>
      <w:hyperlink w:anchor="_Toc455143134" w:history="1">
        <w:r w:rsidR="004574D4" w:rsidRPr="005C6B7B">
          <w:rPr>
            <w:rStyle w:val="Hypertextovodkaz"/>
            <w:noProof/>
          </w:rPr>
          <w:t>2.10.</w:t>
        </w:r>
        <w:r w:rsidR="004574D4">
          <w:rPr>
            <w:rFonts w:asciiTheme="minorHAnsi" w:eastAsiaTheme="minorEastAsia" w:hAnsiTheme="minorHAnsi" w:cstheme="minorBidi"/>
            <w:noProof/>
            <w:sz w:val="22"/>
            <w:szCs w:val="22"/>
            <w:lang w:eastAsia="cs-CZ"/>
          </w:rPr>
          <w:tab/>
        </w:r>
        <w:r w:rsidR="004574D4" w:rsidRPr="005C6B7B">
          <w:rPr>
            <w:rStyle w:val="Hypertextovodkaz"/>
            <w:noProof/>
          </w:rPr>
          <w:t>Přenesená daňová povinnost</w:t>
        </w:r>
        <w:r w:rsidR="004574D4">
          <w:rPr>
            <w:noProof/>
            <w:webHidden/>
          </w:rPr>
          <w:tab/>
        </w:r>
        <w:r w:rsidR="004574D4">
          <w:rPr>
            <w:noProof/>
            <w:webHidden/>
          </w:rPr>
          <w:fldChar w:fldCharType="begin"/>
        </w:r>
        <w:r w:rsidR="004574D4">
          <w:rPr>
            <w:noProof/>
            <w:webHidden/>
          </w:rPr>
          <w:instrText xml:space="preserve"> PAGEREF _Toc455143134 \h </w:instrText>
        </w:r>
        <w:r w:rsidR="004574D4">
          <w:rPr>
            <w:noProof/>
            <w:webHidden/>
          </w:rPr>
        </w:r>
        <w:r w:rsidR="004574D4">
          <w:rPr>
            <w:noProof/>
            <w:webHidden/>
          </w:rPr>
          <w:fldChar w:fldCharType="separate"/>
        </w:r>
        <w:r w:rsidR="004574D4">
          <w:rPr>
            <w:noProof/>
            <w:webHidden/>
          </w:rPr>
          <w:t>23</w:t>
        </w:r>
        <w:r w:rsidR="004574D4">
          <w:rPr>
            <w:noProof/>
            <w:webHidden/>
          </w:rPr>
          <w:fldChar w:fldCharType="end"/>
        </w:r>
      </w:hyperlink>
    </w:p>
    <w:p w:rsidR="004574D4" w:rsidRDefault="00FC5AF7">
      <w:pPr>
        <w:pStyle w:val="Obsah1"/>
        <w:tabs>
          <w:tab w:val="left" w:pos="880"/>
          <w:tab w:val="right" w:leader="dot" w:pos="9060"/>
        </w:tabs>
        <w:rPr>
          <w:rFonts w:asciiTheme="minorHAnsi" w:eastAsiaTheme="minorEastAsia" w:hAnsiTheme="minorHAnsi" w:cstheme="minorBidi"/>
          <w:noProof/>
          <w:sz w:val="22"/>
          <w:szCs w:val="22"/>
          <w:lang w:eastAsia="cs-CZ"/>
        </w:rPr>
      </w:pPr>
      <w:hyperlink w:anchor="_Toc455143135" w:history="1">
        <w:r w:rsidR="004574D4" w:rsidRPr="005C6B7B">
          <w:rPr>
            <w:rStyle w:val="Hypertextovodkaz"/>
            <w:noProof/>
          </w:rPr>
          <w:t>2.11.</w:t>
        </w:r>
        <w:r w:rsidR="004574D4">
          <w:rPr>
            <w:rFonts w:asciiTheme="minorHAnsi" w:eastAsiaTheme="minorEastAsia" w:hAnsiTheme="minorHAnsi" w:cstheme="minorBidi"/>
            <w:noProof/>
            <w:sz w:val="22"/>
            <w:szCs w:val="22"/>
            <w:lang w:eastAsia="cs-CZ"/>
          </w:rPr>
          <w:tab/>
        </w:r>
        <w:r w:rsidR="004574D4" w:rsidRPr="005C6B7B">
          <w:rPr>
            <w:rStyle w:val="Hypertextovodkaz"/>
            <w:noProof/>
          </w:rPr>
          <w:t>Dodatečné stavební práce</w:t>
        </w:r>
        <w:r w:rsidR="004574D4">
          <w:rPr>
            <w:noProof/>
            <w:webHidden/>
          </w:rPr>
          <w:tab/>
        </w:r>
        <w:r w:rsidR="004574D4">
          <w:rPr>
            <w:noProof/>
            <w:webHidden/>
          </w:rPr>
          <w:fldChar w:fldCharType="begin"/>
        </w:r>
        <w:r w:rsidR="004574D4">
          <w:rPr>
            <w:noProof/>
            <w:webHidden/>
          </w:rPr>
          <w:instrText xml:space="preserve"> PAGEREF _Toc455143135 \h </w:instrText>
        </w:r>
        <w:r w:rsidR="004574D4">
          <w:rPr>
            <w:noProof/>
            <w:webHidden/>
          </w:rPr>
        </w:r>
        <w:r w:rsidR="004574D4">
          <w:rPr>
            <w:noProof/>
            <w:webHidden/>
          </w:rPr>
          <w:fldChar w:fldCharType="separate"/>
        </w:r>
        <w:r w:rsidR="004574D4">
          <w:rPr>
            <w:noProof/>
            <w:webHidden/>
          </w:rPr>
          <w:t>23</w:t>
        </w:r>
        <w:r w:rsidR="004574D4">
          <w:rPr>
            <w:noProof/>
            <w:webHidden/>
          </w:rPr>
          <w:fldChar w:fldCharType="end"/>
        </w:r>
      </w:hyperlink>
    </w:p>
    <w:p w:rsidR="004574D4" w:rsidRDefault="00FC5AF7">
      <w:pPr>
        <w:pStyle w:val="Obsah1"/>
        <w:tabs>
          <w:tab w:val="left" w:pos="880"/>
          <w:tab w:val="right" w:leader="dot" w:pos="9060"/>
        </w:tabs>
        <w:rPr>
          <w:rFonts w:asciiTheme="minorHAnsi" w:eastAsiaTheme="minorEastAsia" w:hAnsiTheme="minorHAnsi" w:cstheme="minorBidi"/>
          <w:noProof/>
          <w:sz w:val="22"/>
          <w:szCs w:val="22"/>
          <w:lang w:eastAsia="cs-CZ"/>
        </w:rPr>
      </w:pPr>
      <w:hyperlink w:anchor="_Toc455143136" w:history="1">
        <w:r w:rsidR="004574D4" w:rsidRPr="005C6B7B">
          <w:rPr>
            <w:rStyle w:val="Hypertextovodkaz"/>
            <w:noProof/>
          </w:rPr>
          <w:t>2.12.</w:t>
        </w:r>
        <w:r w:rsidR="004574D4">
          <w:rPr>
            <w:rFonts w:asciiTheme="minorHAnsi" w:eastAsiaTheme="minorEastAsia" w:hAnsiTheme="minorHAnsi" w:cstheme="minorBidi"/>
            <w:noProof/>
            <w:sz w:val="22"/>
            <w:szCs w:val="22"/>
            <w:lang w:eastAsia="cs-CZ"/>
          </w:rPr>
          <w:tab/>
        </w:r>
        <w:r w:rsidR="004574D4" w:rsidRPr="005C6B7B">
          <w:rPr>
            <w:rStyle w:val="Hypertextovodkaz"/>
            <w:noProof/>
          </w:rPr>
          <w:t>Veřejná podpora</w:t>
        </w:r>
        <w:r w:rsidR="004574D4">
          <w:rPr>
            <w:noProof/>
            <w:webHidden/>
          </w:rPr>
          <w:tab/>
        </w:r>
        <w:r w:rsidR="004574D4">
          <w:rPr>
            <w:noProof/>
            <w:webHidden/>
          </w:rPr>
          <w:fldChar w:fldCharType="begin"/>
        </w:r>
        <w:r w:rsidR="004574D4">
          <w:rPr>
            <w:noProof/>
            <w:webHidden/>
          </w:rPr>
          <w:instrText xml:space="preserve"> PAGEREF _Toc455143136 \h </w:instrText>
        </w:r>
        <w:r w:rsidR="004574D4">
          <w:rPr>
            <w:noProof/>
            <w:webHidden/>
          </w:rPr>
        </w:r>
        <w:r w:rsidR="004574D4">
          <w:rPr>
            <w:noProof/>
            <w:webHidden/>
          </w:rPr>
          <w:fldChar w:fldCharType="separate"/>
        </w:r>
        <w:r w:rsidR="004574D4">
          <w:rPr>
            <w:noProof/>
            <w:webHidden/>
          </w:rPr>
          <w:t>23</w:t>
        </w:r>
        <w:r w:rsidR="004574D4">
          <w:rPr>
            <w:noProof/>
            <w:webHidden/>
          </w:rPr>
          <w:fldChar w:fldCharType="end"/>
        </w:r>
      </w:hyperlink>
    </w:p>
    <w:p w:rsidR="004574D4" w:rsidRDefault="00FC5AF7">
      <w:pPr>
        <w:pStyle w:val="Obsah1"/>
        <w:tabs>
          <w:tab w:val="left" w:pos="880"/>
          <w:tab w:val="right" w:leader="dot" w:pos="9060"/>
        </w:tabs>
        <w:rPr>
          <w:rFonts w:asciiTheme="minorHAnsi" w:eastAsiaTheme="minorEastAsia" w:hAnsiTheme="minorHAnsi" w:cstheme="minorBidi"/>
          <w:noProof/>
          <w:sz w:val="22"/>
          <w:szCs w:val="22"/>
          <w:lang w:eastAsia="cs-CZ"/>
        </w:rPr>
      </w:pPr>
      <w:hyperlink w:anchor="_Toc455143137" w:history="1">
        <w:r w:rsidR="004574D4" w:rsidRPr="005C6B7B">
          <w:rPr>
            <w:rStyle w:val="Hypertextovodkaz"/>
            <w:noProof/>
          </w:rPr>
          <w:t>2.13.</w:t>
        </w:r>
        <w:r w:rsidR="004574D4">
          <w:rPr>
            <w:rFonts w:asciiTheme="minorHAnsi" w:eastAsiaTheme="minorEastAsia" w:hAnsiTheme="minorHAnsi" w:cstheme="minorBidi"/>
            <w:noProof/>
            <w:sz w:val="22"/>
            <w:szCs w:val="22"/>
            <w:lang w:eastAsia="cs-CZ"/>
          </w:rPr>
          <w:tab/>
        </w:r>
        <w:r w:rsidR="004574D4" w:rsidRPr="005C6B7B">
          <w:rPr>
            <w:rStyle w:val="Hypertextovodkaz"/>
            <w:noProof/>
          </w:rPr>
          <w:t>Podklady pro výpočet ukazatelů eCBA</w:t>
        </w:r>
        <w:r w:rsidR="004574D4">
          <w:rPr>
            <w:noProof/>
            <w:webHidden/>
          </w:rPr>
          <w:tab/>
        </w:r>
        <w:r w:rsidR="004574D4">
          <w:rPr>
            <w:noProof/>
            <w:webHidden/>
          </w:rPr>
          <w:fldChar w:fldCharType="begin"/>
        </w:r>
        <w:r w:rsidR="004574D4">
          <w:rPr>
            <w:noProof/>
            <w:webHidden/>
          </w:rPr>
          <w:instrText xml:space="preserve"> PAGEREF _Toc455143137 \h </w:instrText>
        </w:r>
        <w:r w:rsidR="004574D4">
          <w:rPr>
            <w:noProof/>
            <w:webHidden/>
          </w:rPr>
        </w:r>
        <w:r w:rsidR="004574D4">
          <w:rPr>
            <w:noProof/>
            <w:webHidden/>
          </w:rPr>
          <w:fldChar w:fldCharType="separate"/>
        </w:r>
        <w:r w:rsidR="004574D4">
          <w:rPr>
            <w:noProof/>
            <w:webHidden/>
          </w:rPr>
          <w:t>25</w:t>
        </w:r>
        <w:r w:rsidR="004574D4">
          <w:rPr>
            <w:noProof/>
            <w:webHidden/>
          </w:rPr>
          <w:fldChar w:fldCharType="end"/>
        </w:r>
      </w:hyperlink>
    </w:p>
    <w:p w:rsidR="004574D4" w:rsidRDefault="00FC5AF7">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55143138" w:history="1">
        <w:r w:rsidR="004574D4" w:rsidRPr="005C6B7B">
          <w:rPr>
            <w:rStyle w:val="Hypertextovodkaz"/>
            <w:noProof/>
          </w:rPr>
          <w:t xml:space="preserve">3. </w:t>
        </w:r>
        <w:r w:rsidR="004574D4">
          <w:rPr>
            <w:rFonts w:asciiTheme="minorHAnsi" w:eastAsiaTheme="minorEastAsia" w:hAnsiTheme="minorHAnsi" w:cstheme="minorBidi"/>
            <w:noProof/>
            <w:sz w:val="22"/>
            <w:szCs w:val="22"/>
            <w:lang w:eastAsia="cs-CZ"/>
          </w:rPr>
          <w:tab/>
        </w:r>
        <w:r w:rsidR="004574D4" w:rsidRPr="005C6B7B">
          <w:rPr>
            <w:rStyle w:val="Hypertextovodkaz"/>
            <w:noProof/>
          </w:rPr>
          <w:t>Kontaktní místa pro poskytování informací</w:t>
        </w:r>
        <w:r w:rsidR="004574D4">
          <w:rPr>
            <w:noProof/>
            <w:webHidden/>
          </w:rPr>
          <w:tab/>
        </w:r>
        <w:r w:rsidR="004574D4">
          <w:rPr>
            <w:noProof/>
            <w:webHidden/>
          </w:rPr>
          <w:fldChar w:fldCharType="begin"/>
        </w:r>
        <w:r w:rsidR="004574D4">
          <w:rPr>
            <w:noProof/>
            <w:webHidden/>
          </w:rPr>
          <w:instrText xml:space="preserve"> PAGEREF _Toc455143138 \h </w:instrText>
        </w:r>
        <w:r w:rsidR="004574D4">
          <w:rPr>
            <w:noProof/>
            <w:webHidden/>
          </w:rPr>
        </w:r>
        <w:r w:rsidR="004574D4">
          <w:rPr>
            <w:noProof/>
            <w:webHidden/>
          </w:rPr>
          <w:fldChar w:fldCharType="separate"/>
        </w:r>
        <w:r w:rsidR="004574D4">
          <w:rPr>
            <w:noProof/>
            <w:webHidden/>
          </w:rPr>
          <w:t>29</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39" w:history="1">
        <w:r w:rsidR="004574D4" w:rsidRPr="005C6B7B">
          <w:rPr>
            <w:rStyle w:val="Hypertextovodkaz"/>
            <w:noProof/>
          </w:rPr>
          <w:t>4.1.</w:t>
        </w:r>
        <w:r w:rsidR="004574D4">
          <w:rPr>
            <w:rFonts w:asciiTheme="minorHAnsi" w:eastAsiaTheme="minorEastAsia" w:hAnsiTheme="minorHAnsi" w:cstheme="minorBidi"/>
            <w:noProof/>
            <w:sz w:val="22"/>
            <w:szCs w:val="22"/>
            <w:lang w:eastAsia="cs-CZ"/>
          </w:rPr>
          <w:tab/>
        </w:r>
        <w:r w:rsidR="004574D4" w:rsidRPr="005C6B7B">
          <w:rPr>
            <w:rStyle w:val="Hypertextovodkaz"/>
            <w:noProof/>
          </w:rPr>
          <w:t>Hodnocení žádostí o podporu</w:t>
        </w:r>
        <w:r w:rsidR="004574D4">
          <w:rPr>
            <w:noProof/>
            <w:webHidden/>
          </w:rPr>
          <w:tab/>
        </w:r>
        <w:r w:rsidR="004574D4">
          <w:rPr>
            <w:noProof/>
            <w:webHidden/>
          </w:rPr>
          <w:fldChar w:fldCharType="begin"/>
        </w:r>
        <w:r w:rsidR="004574D4">
          <w:rPr>
            <w:noProof/>
            <w:webHidden/>
          </w:rPr>
          <w:instrText xml:space="preserve"> PAGEREF _Toc455143139 \h </w:instrText>
        </w:r>
        <w:r w:rsidR="004574D4">
          <w:rPr>
            <w:noProof/>
            <w:webHidden/>
          </w:rPr>
        </w:r>
        <w:r w:rsidR="004574D4">
          <w:rPr>
            <w:noProof/>
            <w:webHidden/>
          </w:rPr>
          <w:fldChar w:fldCharType="separate"/>
        </w:r>
        <w:r w:rsidR="004574D4">
          <w:rPr>
            <w:noProof/>
            <w:webHidden/>
          </w:rPr>
          <w:t>30</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45" w:history="1">
        <w:r w:rsidR="004574D4" w:rsidRPr="005C6B7B">
          <w:rPr>
            <w:rStyle w:val="Hypertextovodkaz"/>
            <w:noProof/>
          </w:rPr>
          <w:t>4.2.</w:t>
        </w:r>
        <w:r w:rsidR="004574D4">
          <w:rPr>
            <w:rFonts w:asciiTheme="minorHAnsi" w:eastAsiaTheme="minorEastAsia" w:hAnsiTheme="minorHAnsi" w:cstheme="minorBidi"/>
            <w:noProof/>
            <w:sz w:val="22"/>
            <w:szCs w:val="22"/>
            <w:lang w:eastAsia="cs-CZ"/>
          </w:rPr>
          <w:tab/>
        </w:r>
        <w:r w:rsidR="004574D4" w:rsidRPr="005C6B7B">
          <w:rPr>
            <w:rStyle w:val="Hypertextovodkaz"/>
            <w:noProof/>
          </w:rPr>
          <w:t>Výběr projektů</w:t>
        </w:r>
        <w:r w:rsidR="004574D4">
          <w:rPr>
            <w:noProof/>
            <w:webHidden/>
          </w:rPr>
          <w:tab/>
        </w:r>
        <w:r w:rsidR="004574D4">
          <w:rPr>
            <w:noProof/>
            <w:webHidden/>
          </w:rPr>
          <w:fldChar w:fldCharType="begin"/>
        </w:r>
        <w:r w:rsidR="004574D4">
          <w:rPr>
            <w:noProof/>
            <w:webHidden/>
          </w:rPr>
          <w:instrText xml:space="preserve"> PAGEREF _Toc455143145 \h </w:instrText>
        </w:r>
        <w:r w:rsidR="004574D4">
          <w:rPr>
            <w:noProof/>
            <w:webHidden/>
          </w:rPr>
        </w:r>
        <w:r w:rsidR="004574D4">
          <w:rPr>
            <w:noProof/>
            <w:webHidden/>
          </w:rPr>
          <w:fldChar w:fldCharType="separate"/>
        </w:r>
        <w:r w:rsidR="004574D4">
          <w:rPr>
            <w:noProof/>
            <w:webHidden/>
          </w:rPr>
          <w:t>35</w:t>
        </w:r>
        <w:r w:rsidR="004574D4">
          <w:rPr>
            <w:noProof/>
            <w:webHidden/>
          </w:rPr>
          <w:fldChar w:fldCharType="end"/>
        </w:r>
      </w:hyperlink>
    </w:p>
    <w:p w:rsidR="004574D4" w:rsidRDefault="00FC5AF7">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55143146" w:history="1">
        <w:r w:rsidR="004574D4" w:rsidRPr="005C6B7B">
          <w:rPr>
            <w:rStyle w:val="Hypertextovodkaz"/>
            <w:noProof/>
          </w:rPr>
          <w:t>5.</w:t>
        </w:r>
        <w:r w:rsidR="004574D4">
          <w:rPr>
            <w:rFonts w:asciiTheme="minorHAnsi" w:eastAsiaTheme="minorEastAsia" w:hAnsiTheme="minorHAnsi" w:cstheme="minorBidi"/>
            <w:noProof/>
            <w:sz w:val="22"/>
            <w:szCs w:val="22"/>
            <w:lang w:eastAsia="cs-CZ"/>
          </w:rPr>
          <w:tab/>
        </w:r>
        <w:r w:rsidR="004574D4" w:rsidRPr="005C6B7B">
          <w:rPr>
            <w:rStyle w:val="Hypertextovodkaz"/>
            <w:noProof/>
          </w:rPr>
          <w:t>Monitorování projektů</w:t>
        </w:r>
        <w:r w:rsidR="004574D4">
          <w:rPr>
            <w:noProof/>
            <w:webHidden/>
          </w:rPr>
          <w:tab/>
        </w:r>
        <w:r w:rsidR="004574D4">
          <w:rPr>
            <w:noProof/>
            <w:webHidden/>
          </w:rPr>
          <w:fldChar w:fldCharType="begin"/>
        </w:r>
        <w:r w:rsidR="004574D4">
          <w:rPr>
            <w:noProof/>
            <w:webHidden/>
          </w:rPr>
          <w:instrText xml:space="preserve"> PAGEREF _Toc455143146 \h </w:instrText>
        </w:r>
        <w:r w:rsidR="004574D4">
          <w:rPr>
            <w:noProof/>
            <w:webHidden/>
          </w:rPr>
        </w:r>
        <w:r w:rsidR="004574D4">
          <w:rPr>
            <w:noProof/>
            <w:webHidden/>
          </w:rPr>
          <w:fldChar w:fldCharType="separate"/>
        </w:r>
        <w:r w:rsidR="004574D4">
          <w:rPr>
            <w:noProof/>
            <w:webHidden/>
          </w:rPr>
          <w:t>36</w:t>
        </w:r>
        <w:r w:rsidR="004574D4">
          <w:rPr>
            <w:noProof/>
            <w:webHidden/>
          </w:rPr>
          <w:fldChar w:fldCharType="end"/>
        </w:r>
      </w:hyperlink>
    </w:p>
    <w:p w:rsidR="004574D4" w:rsidRDefault="00FC5AF7">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55143147" w:history="1">
        <w:r w:rsidR="004574D4" w:rsidRPr="005C6B7B">
          <w:rPr>
            <w:rStyle w:val="Hypertextovodkaz"/>
            <w:noProof/>
          </w:rPr>
          <w:t>6.</w:t>
        </w:r>
        <w:r w:rsidR="004574D4">
          <w:rPr>
            <w:rFonts w:asciiTheme="minorHAnsi" w:eastAsiaTheme="minorEastAsia" w:hAnsiTheme="minorHAnsi" w:cstheme="minorBidi"/>
            <w:noProof/>
            <w:sz w:val="22"/>
            <w:szCs w:val="22"/>
            <w:lang w:eastAsia="cs-CZ"/>
          </w:rPr>
          <w:tab/>
        </w:r>
        <w:r w:rsidR="004574D4" w:rsidRPr="005C6B7B">
          <w:rPr>
            <w:rStyle w:val="Hypertextovodkaz"/>
            <w:noProof/>
          </w:rPr>
          <w:t>Financování</w:t>
        </w:r>
        <w:r w:rsidR="004574D4">
          <w:rPr>
            <w:noProof/>
            <w:webHidden/>
          </w:rPr>
          <w:tab/>
        </w:r>
        <w:r w:rsidR="004574D4">
          <w:rPr>
            <w:noProof/>
            <w:webHidden/>
          </w:rPr>
          <w:fldChar w:fldCharType="begin"/>
        </w:r>
        <w:r w:rsidR="004574D4">
          <w:rPr>
            <w:noProof/>
            <w:webHidden/>
          </w:rPr>
          <w:instrText xml:space="preserve"> PAGEREF _Toc455143147 \h </w:instrText>
        </w:r>
        <w:r w:rsidR="004574D4">
          <w:rPr>
            <w:noProof/>
            <w:webHidden/>
          </w:rPr>
        </w:r>
        <w:r w:rsidR="004574D4">
          <w:rPr>
            <w:noProof/>
            <w:webHidden/>
          </w:rPr>
          <w:fldChar w:fldCharType="separate"/>
        </w:r>
        <w:r w:rsidR="004574D4">
          <w:rPr>
            <w:noProof/>
            <w:webHidden/>
          </w:rPr>
          <w:t>37</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50" w:history="1">
        <w:r w:rsidR="004574D4" w:rsidRPr="005C6B7B">
          <w:rPr>
            <w:rStyle w:val="Hypertextovodkaz"/>
            <w:noProof/>
          </w:rPr>
          <w:t>6.1.</w:t>
        </w:r>
        <w:r w:rsidR="004574D4">
          <w:rPr>
            <w:rFonts w:asciiTheme="minorHAnsi" w:eastAsiaTheme="minorEastAsia" w:hAnsiTheme="minorHAnsi" w:cstheme="minorBidi"/>
            <w:noProof/>
            <w:sz w:val="22"/>
            <w:szCs w:val="22"/>
            <w:lang w:eastAsia="cs-CZ"/>
          </w:rPr>
          <w:tab/>
        </w:r>
        <w:r w:rsidR="004574D4" w:rsidRPr="005C6B7B">
          <w:rPr>
            <w:rStyle w:val="Hypertextovodkaz"/>
            <w:noProof/>
          </w:rPr>
          <w:t>Zjednodušená žádost o platbu</w:t>
        </w:r>
        <w:r w:rsidR="004574D4">
          <w:rPr>
            <w:noProof/>
            <w:webHidden/>
          </w:rPr>
          <w:tab/>
        </w:r>
        <w:r w:rsidR="004574D4">
          <w:rPr>
            <w:noProof/>
            <w:webHidden/>
          </w:rPr>
          <w:fldChar w:fldCharType="begin"/>
        </w:r>
        <w:r w:rsidR="004574D4">
          <w:rPr>
            <w:noProof/>
            <w:webHidden/>
          </w:rPr>
          <w:instrText xml:space="preserve"> PAGEREF _Toc455143150 \h </w:instrText>
        </w:r>
        <w:r w:rsidR="004574D4">
          <w:rPr>
            <w:noProof/>
            <w:webHidden/>
          </w:rPr>
        </w:r>
        <w:r w:rsidR="004574D4">
          <w:rPr>
            <w:noProof/>
            <w:webHidden/>
          </w:rPr>
          <w:fldChar w:fldCharType="separate"/>
        </w:r>
        <w:r w:rsidR="004574D4">
          <w:rPr>
            <w:noProof/>
            <w:webHidden/>
          </w:rPr>
          <w:t>37</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51" w:history="1">
        <w:r w:rsidR="004574D4" w:rsidRPr="005C6B7B">
          <w:rPr>
            <w:rStyle w:val="Hypertextovodkaz"/>
            <w:noProof/>
          </w:rPr>
          <w:t>6.2.</w:t>
        </w:r>
        <w:r w:rsidR="004574D4">
          <w:rPr>
            <w:rFonts w:asciiTheme="minorHAnsi" w:eastAsiaTheme="minorEastAsia" w:hAnsiTheme="minorHAnsi" w:cstheme="minorBidi"/>
            <w:noProof/>
            <w:sz w:val="22"/>
            <w:szCs w:val="22"/>
            <w:lang w:eastAsia="cs-CZ"/>
          </w:rPr>
          <w:tab/>
        </w:r>
        <w:r w:rsidR="004574D4" w:rsidRPr="005C6B7B">
          <w:rPr>
            <w:rStyle w:val="Hypertextovodkaz"/>
            <w:noProof/>
          </w:rPr>
          <w:t>Účelové znaky</w:t>
        </w:r>
        <w:r w:rsidR="004574D4">
          <w:rPr>
            <w:noProof/>
            <w:webHidden/>
          </w:rPr>
          <w:tab/>
        </w:r>
        <w:r w:rsidR="004574D4">
          <w:rPr>
            <w:noProof/>
            <w:webHidden/>
          </w:rPr>
          <w:fldChar w:fldCharType="begin"/>
        </w:r>
        <w:r w:rsidR="004574D4">
          <w:rPr>
            <w:noProof/>
            <w:webHidden/>
          </w:rPr>
          <w:instrText xml:space="preserve"> PAGEREF _Toc455143151 \h </w:instrText>
        </w:r>
        <w:r w:rsidR="004574D4">
          <w:rPr>
            <w:noProof/>
            <w:webHidden/>
          </w:rPr>
        </w:r>
        <w:r w:rsidR="004574D4">
          <w:rPr>
            <w:noProof/>
            <w:webHidden/>
          </w:rPr>
          <w:fldChar w:fldCharType="separate"/>
        </w:r>
        <w:r w:rsidR="004574D4">
          <w:rPr>
            <w:noProof/>
            <w:webHidden/>
          </w:rPr>
          <w:t>37</w:t>
        </w:r>
        <w:r w:rsidR="004574D4">
          <w:rPr>
            <w:noProof/>
            <w:webHidden/>
          </w:rPr>
          <w:fldChar w:fldCharType="end"/>
        </w:r>
      </w:hyperlink>
    </w:p>
    <w:p w:rsidR="004574D4" w:rsidRDefault="00FC5AF7">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55143152" w:history="1">
        <w:r w:rsidR="004574D4" w:rsidRPr="005C6B7B">
          <w:rPr>
            <w:rStyle w:val="Hypertextovodkaz"/>
            <w:noProof/>
          </w:rPr>
          <w:t>7.</w:t>
        </w:r>
        <w:r w:rsidR="004574D4">
          <w:rPr>
            <w:rFonts w:asciiTheme="minorHAnsi" w:eastAsiaTheme="minorEastAsia" w:hAnsiTheme="minorHAnsi" w:cstheme="minorBidi"/>
            <w:noProof/>
            <w:sz w:val="22"/>
            <w:szCs w:val="22"/>
            <w:lang w:eastAsia="cs-CZ"/>
          </w:rPr>
          <w:tab/>
        </w:r>
        <w:r w:rsidR="004574D4" w:rsidRPr="005C6B7B">
          <w:rPr>
            <w:rStyle w:val="Hypertextovodkaz"/>
            <w:noProof/>
          </w:rPr>
          <w:t>Udržitelnost</w:t>
        </w:r>
        <w:r w:rsidR="004574D4">
          <w:rPr>
            <w:noProof/>
            <w:webHidden/>
          </w:rPr>
          <w:tab/>
        </w:r>
        <w:r w:rsidR="004574D4">
          <w:rPr>
            <w:noProof/>
            <w:webHidden/>
          </w:rPr>
          <w:fldChar w:fldCharType="begin"/>
        </w:r>
        <w:r w:rsidR="004574D4">
          <w:rPr>
            <w:noProof/>
            <w:webHidden/>
          </w:rPr>
          <w:instrText xml:space="preserve"> PAGEREF _Toc455143152 \h </w:instrText>
        </w:r>
        <w:r w:rsidR="004574D4">
          <w:rPr>
            <w:noProof/>
            <w:webHidden/>
          </w:rPr>
        </w:r>
        <w:r w:rsidR="004574D4">
          <w:rPr>
            <w:noProof/>
            <w:webHidden/>
          </w:rPr>
          <w:fldChar w:fldCharType="separate"/>
        </w:r>
        <w:r w:rsidR="004574D4">
          <w:rPr>
            <w:noProof/>
            <w:webHidden/>
          </w:rPr>
          <w:t>38</w:t>
        </w:r>
        <w:r w:rsidR="004574D4">
          <w:rPr>
            <w:noProof/>
            <w:webHidden/>
          </w:rPr>
          <w:fldChar w:fldCharType="end"/>
        </w:r>
      </w:hyperlink>
    </w:p>
    <w:p w:rsidR="004574D4" w:rsidRDefault="00FC5AF7">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55143153" w:history="1">
        <w:r w:rsidR="004574D4" w:rsidRPr="005C6B7B">
          <w:rPr>
            <w:rStyle w:val="Hypertextovodkaz"/>
            <w:noProof/>
          </w:rPr>
          <w:t>8.</w:t>
        </w:r>
        <w:r w:rsidR="004574D4">
          <w:rPr>
            <w:rFonts w:asciiTheme="minorHAnsi" w:eastAsiaTheme="minorEastAsia" w:hAnsiTheme="minorHAnsi" w:cstheme="minorBidi"/>
            <w:noProof/>
            <w:sz w:val="22"/>
            <w:szCs w:val="22"/>
            <w:lang w:eastAsia="cs-CZ"/>
          </w:rPr>
          <w:tab/>
        </w:r>
        <w:r w:rsidR="004574D4" w:rsidRPr="005C6B7B">
          <w:rPr>
            <w:rStyle w:val="Hypertextovodkaz"/>
            <w:noProof/>
          </w:rPr>
          <w:t>Seznam zkratek</w:t>
        </w:r>
        <w:r w:rsidR="004574D4">
          <w:rPr>
            <w:noProof/>
            <w:webHidden/>
          </w:rPr>
          <w:tab/>
        </w:r>
        <w:r w:rsidR="004574D4">
          <w:rPr>
            <w:noProof/>
            <w:webHidden/>
          </w:rPr>
          <w:fldChar w:fldCharType="begin"/>
        </w:r>
        <w:r w:rsidR="004574D4">
          <w:rPr>
            <w:noProof/>
            <w:webHidden/>
          </w:rPr>
          <w:instrText xml:space="preserve"> PAGEREF _Toc455143153 \h </w:instrText>
        </w:r>
        <w:r w:rsidR="004574D4">
          <w:rPr>
            <w:noProof/>
            <w:webHidden/>
          </w:rPr>
        </w:r>
        <w:r w:rsidR="004574D4">
          <w:rPr>
            <w:noProof/>
            <w:webHidden/>
          </w:rPr>
          <w:fldChar w:fldCharType="separate"/>
        </w:r>
        <w:r w:rsidR="004574D4">
          <w:rPr>
            <w:noProof/>
            <w:webHidden/>
          </w:rPr>
          <w:t>39</w:t>
        </w:r>
        <w:r w:rsidR="004574D4">
          <w:rPr>
            <w:noProof/>
            <w:webHidden/>
          </w:rPr>
          <w:fldChar w:fldCharType="end"/>
        </w:r>
      </w:hyperlink>
    </w:p>
    <w:p w:rsidR="004574D4" w:rsidRDefault="00FC5AF7">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455143154" w:history="1">
        <w:r w:rsidR="004574D4" w:rsidRPr="005C6B7B">
          <w:rPr>
            <w:rStyle w:val="Hypertextovodkaz"/>
            <w:noProof/>
          </w:rPr>
          <w:t>9.</w:t>
        </w:r>
        <w:r w:rsidR="004574D4">
          <w:rPr>
            <w:rFonts w:asciiTheme="minorHAnsi" w:eastAsiaTheme="minorEastAsia" w:hAnsiTheme="minorHAnsi" w:cstheme="minorBidi"/>
            <w:noProof/>
            <w:sz w:val="22"/>
            <w:szCs w:val="22"/>
            <w:lang w:eastAsia="cs-CZ"/>
          </w:rPr>
          <w:tab/>
        </w:r>
        <w:r w:rsidR="004574D4" w:rsidRPr="005C6B7B">
          <w:rPr>
            <w:rStyle w:val="Hypertextovodkaz"/>
            <w:noProof/>
          </w:rPr>
          <w:t>Právní rámec</w:t>
        </w:r>
        <w:r w:rsidR="004574D4">
          <w:rPr>
            <w:noProof/>
            <w:webHidden/>
          </w:rPr>
          <w:tab/>
        </w:r>
        <w:r w:rsidR="004574D4">
          <w:rPr>
            <w:noProof/>
            <w:webHidden/>
          </w:rPr>
          <w:fldChar w:fldCharType="begin"/>
        </w:r>
        <w:r w:rsidR="004574D4">
          <w:rPr>
            <w:noProof/>
            <w:webHidden/>
          </w:rPr>
          <w:instrText xml:space="preserve"> PAGEREF _Toc455143154 \h </w:instrText>
        </w:r>
        <w:r w:rsidR="004574D4">
          <w:rPr>
            <w:noProof/>
            <w:webHidden/>
          </w:rPr>
        </w:r>
        <w:r w:rsidR="004574D4">
          <w:rPr>
            <w:noProof/>
            <w:webHidden/>
          </w:rPr>
          <w:fldChar w:fldCharType="separate"/>
        </w:r>
        <w:r w:rsidR="004574D4">
          <w:rPr>
            <w:noProof/>
            <w:webHidden/>
          </w:rPr>
          <w:t>40</w:t>
        </w:r>
        <w:r w:rsidR="004574D4">
          <w:rPr>
            <w:noProof/>
            <w:webHidden/>
          </w:rPr>
          <w:fldChar w:fldCharType="end"/>
        </w:r>
      </w:hyperlink>
    </w:p>
    <w:p w:rsidR="004574D4" w:rsidRDefault="00FC5AF7">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455143155" w:history="1">
        <w:r w:rsidR="004574D4" w:rsidRPr="005C6B7B">
          <w:rPr>
            <w:rStyle w:val="Hypertextovodkaz"/>
            <w:noProof/>
          </w:rPr>
          <w:t>10.</w:t>
        </w:r>
        <w:r w:rsidR="004574D4">
          <w:rPr>
            <w:rFonts w:asciiTheme="minorHAnsi" w:eastAsiaTheme="minorEastAsia" w:hAnsiTheme="minorHAnsi" w:cstheme="minorBidi"/>
            <w:noProof/>
            <w:sz w:val="22"/>
            <w:szCs w:val="22"/>
            <w:lang w:eastAsia="cs-CZ"/>
          </w:rPr>
          <w:tab/>
        </w:r>
        <w:r w:rsidR="004574D4" w:rsidRPr="005C6B7B">
          <w:rPr>
            <w:rStyle w:val="Hypertextovodkaz"/>
            <w:noProof/>
          </w:rPr>
          <w:t>Seznam příloh</w:t>
        </w:r>
        <w:r w:rsidR="004574D4">
          <w:rPr>
            <w:noProof/>
            <w:webHidden/>
          </w:rPr>
          <w:tab/>
        </w:r>
        <w:r w:rsidR="004574D4">
          <w:rPr>
            <w:noProof/>
            <w:webHidden/>
          </w:rPr>
          <w:fldChar w:fldCharType="begin"/>
        </w:r>
        <w:r w:rsidR="004574D4">
          <w:rPr>
            <w:noProof/>
            <w:webHidden/>
          </w:rPr>
          <w:instrText xml:space="preserve"> PAGEREF _Toc455143155 \h </w:instrText>
        </w:r>
        <w:r w:rsidR="004574D4">
          <w:rPr>
            <w:noProof/>
            <w:webHidden/>
          </w:rPr>
        </w:r>
        <w:r w:rsidR="004574D4">
          <w:rPr>
            <w:noProof/>
            <w:webHidden/>
          </w:rPr>
          <w:fldChar w:fldCharType="separate"/>
        </w:r>
        <w:r w:rsidR="004574D4">
          <w:rPr>
            <w:noProof/>
            <w:webHidden/>
          </w:rPr>
          <w:t>41</w:t>
        </w:r>
        <w:r w:rsidR="004574D4">
          <w:rPr>
            <w:noProof/>
            <w:webHidden/>
          </w:rPr>
          <w:fldChar w:fldCharType="end"/>
        </w:r>
      </w:hyperlink>
    </w:p>
    <w:p w:rsidR="00D02F46" w:rsidRDefault="0095024C" w:rsidP="00EA3680">
      <w:r>
        <w:fldChar w:fldCharType="end"/>
      </w:r>
    </w:p>
    <w:p w:rsidR="006A31B8" w:rsidRDefault="006A31B8">
      <w:pPr>
        <w:spacing w:line="276" w:lineRule="auto"/>
        <w:jc w:val="left"/>
      </w:pPr>
      <w:bookmarkStart w:id="1" w:name="_Toc426037750"/>
    </w:p>
    <w:p w:rsidR="006A31B8" w:rsidRDefault="006A31B8">
      <w:pPr>
        <w:spacing w:line="276" w:lineRule="auto"/>
        <w:jc w:val="left"/>
      </w:pPr>
    </w:p>
    <w:p w:rsidR="006A31B8" w:rsidRDefault="006A31B8">
      <w:pPr>
        <w:spacing w:line="276" w:lineRule="auto"/>
        <w:jc w:val="left"/>
      </w:pPr>
    </w:p>
    <w:p w:rsidR="006A31B8" w:rsidRDefault="006A31B8">
      <w:pPr>
        <w:spacing w:line="276" w:lineRule="auto"/>
        <w:jc w:val="left"/>
      </w:pPr>
    </w:p>
    <w:p w:rsidR="006A31B8" w:rsidRDefault="006A31B8">
      <w:pPr>
        <w:spacing w:line="276" w:lineRule="auto"/>
        <w:jc w:val="left"/>
      </w:pPr>
    </w:p>
    <w:p w:rsidR="006A31B8" w:rsidRDefault="006A31B8">
      <w:pPr>
        <w:spacing w:line="276" w:lineRule="auto"/>
        <w:jc w:val="left"/>
      </w:pPr>
    </w:p>
    <w:p w:rsidR="006A31B8" w:rsidRPr="006A31B8" w:rsidRDefault="006A31B8" w:rsidP="006A31B8">
      <w:pPr>
        <w:rPr>
          <w:rFonts w:ascii="Cambria" w:hAnsi="Cambria"/>
          <w:b/>
          <w:sz w:val="40"/>
        </w:rPr>
      </w:pPr>
      <w:r w:rsidRPr="006A31B8">
        <w:rPr>
          <w:rFonts w:ascii="Cambria" w:hAnsi="Cambria"/>
          <w:b/>
          <w:sz w:val="40"/>
        </w:rPr>
        <w:lastRenderedPageBreak/>
        <w:t>Přehled změn</w:t>
      </w:r>
    </w:p>
    <w:p w:rsidR="006A31B8" w:rsidRPr="006A31B8" w:rsidRDefault="006A31B8" w:rsidP="006A31B8">
      <w:pPr>
        <w:rPr>
          <w:rFonts w:ascii="Cambria" w:hAnsi="Cambri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1076"/>
        <w:gridCol w:w="2247"/>
        <w:gridCol w:w="2410"/>
        <w:gridCol w:w="1417"/>
        <w:gridCol w:w="1134"/>
      </w:tblGrid>
      <w:tr w:rsidR="0024700C" w:rsidRPr="006A31B8" w:rsidTr="0024700C">
        <w:trPr>
          <w:trHeight w:val="324"/>
        </w:trPr>
        <w:tc>
          <w:tcPr>
            <w:tcW w:w="896" w:type="dxa"/>
          </w:tcPr>
          <w:p w:rsidR="0024700C" w:rsidRPr="006A31B8" w:rsidRDefault="0024700C" w:rsidP="00FC5AF7">
            <w:pPr>
              <w:spacing w:after="0"/>
              <w:rPr>
                <w:rFonts w:ascii="Cambria" w:hAnsi="Cambria"/>
              </w:rPr>
            </w:pPr>
            <w:r w:rsidRPr="006A31B8">
              <w:rPr>
                <w:rFonts w:ascii="Cambria" w:hAnsi="Cambria"/>
              </w:rPr>
              <w:t>Revize</w:t>
            </w:r>
            <w:r>
              <w:rPr>
                <w:rFonts w:ascii="Cambria" w:hAnsi="Cambria"/>
              </w:rPr>
              <w:t xml:space="preserve"> č. </w:t>
            </w:r>
          </w:p>
        </w:tc>
        <w:tc>
          <w:tcPr>
            <w:tcW w:w="1076" w:type="dxa"/>
          </w:tcPr>
          <w:p w:rsidR="0024700C" w:rsidRPr="006A31B8" w:rsidRDefault="0024700C" w:rsidP="00FC5AF7">
            <w:pPr>
              <w:spacing w:after="0"/>
              <w:rPr>
                <w:rFonts w:ascii="Cambria" w:hAnsi="Cambria"/>
              </w:rPr>
            </w:pPr>
            <w:r w:rsidRPr="006A31B8">
              <w:rPr>
                <w:rFonts w:ascii="Cambria" w:hAnsi="Cambria"/>
              </w:rPr>
              <w:t>Kapitola</w:t>
            </w:r>
          </w:p>
        </w:tc>
        <w:tc>
          <w:tcPr>
            <w:tcW w:w="2247" w:type="dxa"/>
          </w:tcPr>
          <w:p w:rsidR="0024700C" w:rsidRPr="006A31B8" w:rsidRDefault="0024700C" w:rsidP="00FC5AF7">
            <w:pPr>
              <w:spacing w:after="0"/>
              <w:rPr>
                <w:rFonts w:ascii="Cambria" w:hAnsi="Cambria"/>
              </w:rPr>
            </w:pPr>
            <w:r w:rsidRPr="006A31B8">
              <w:rPr>
                <w:rFonts w:ascii="Cambria" w:hAnsi="Cambria"/>
              </w:rPr>
              <w:t>Předmět revize</w:t>
            </w:r>
          </w:p>
        </w:tc>
        <w:tc>
          <w:tcPr>
            <w:tcW w:w="2410" w:type="dxa"/>
          </w:tcPr>
          <w:p w:rsidR="0024700C" w:rsidRPr="006A31B8" w:rsidRDefault="0024700C" w:rsidP="00FC5AF7">
            <w:pPr>
              <w:spacing w:after="0"/>
              <w:rPr>
                <w:rFonts w:ascii="Cambria" w:hAnsi="Cambria"/>
              </w:rPr>
            </w:pPr>
            <w:r w:rsidRPr="006A31B8">
              <w:rPr>
                <w:rFonts w:ascii="Cambria" w:hAnsi="Cambria"/>
              </w:rPr>
              <w:t>Zdůvodnění revize</w:t>
            </w:r>
          </w:p>
        </w:tc>
        <w:tc>
          <w:tcPr>
            <w:tcW w:w="1417" w:type="dxa"/>
          </w:tcPr>
          <w:p w:rsidR="0024700C" w:rsidRDefault="0024700C" w:rsidP="00FC5AF7">
            <w:pPr>
              <w:spacing w:after="0"/>
              <w:rPr>
                <w:rFonts w:ascii="Cambria" w:hAnsi="Cambria"/>
              </w:rPr>
            </w:pPr>
            <w:r w:rsidRPr="006A31B8">
              <w:rPr>
                <w:rFonts w:ascii="Cambria" w:hAnsi="Cambria"/>
              </w:rPr>
              <w:t>Za správnost</w:t>
            </w:r>
          </w:p>
          <w:p w:rsidR="0024700C" w:rsidRPr="006A31B8" w:rsidRDefault="0024700C" w:rsidP="00FC5AF7">
            <w:pPr>
              <w:spacing w:after="0"/>
              <w:rPr>
                <w:rFonts w:ascii="Cambria" w:hAnsi="Cambria"/>
              </w:rPr>
            </w:pPr>
          </w:p>
        </w:tc>
        <w:tc>
          <w:tcPr>
            <w:tcW w:w="1134" w:type="dxa"/>
          </w:tcPr>
          <w:p w:rsidR="0024700C" w:rsidRPr="006A31B8" w:rsidRDefault="0024700C" w:rsidP="00FC5AF7">
            <w:pPr>
              <w:spacing w:after="0"/>
              <w:rPr>
                <w:rFonts w:ascii="Cambria" w:hAnsi="Cambria"/>
              </w:rPr>
            </w:pPr>
            <w:r w:rsidRPr="006A31B8">
              <w:rPr>
                <w:rFonts w:ascii="Cambria" w:hAnsi="Cambria"/>
              </w:rPr>
              <w:t>Datum platnosti revize</w:t>
            </w:r>
          </w:p>
        </w:tc>
      </w:tr>
      <w:tr w:rsidR="0024700C" w:rsidRPr="006A31B8" w:rsidTr="0070797C">
        <w:trPr>
          <w:trHeight w:val="3600"/>
        </w:trPr>
        <w:tc>
          <w:tcPr>
            <w:tcW w:w="896" w:type="dxa"/>
          </w:tcPr>
          <w:p w:rsidR="0024700C" w:rsidRPr="006A31B8" w:rsidRDefault="0024700C" w:rsidP="00FC5AF7">
            <w:pPr>
              <w:spacing w:after="0"/>
              <w:rPr>
                <w:rFonts w:ascii="Cambria" w:hAnsi="Cambria"/>
              </w:rPr>
            </w:pPr>
            <w:r>
              <w:rPr>
                <w:rFonts w:ascii="Cambria" w:hAnsi="Cambria"/>
              </w:rPr>
              <w:t>1.1</w:t>
            </w:r>
          </w:p>
        </w:tc>
        <w:tc>
          <w:tcPr>
            <w:tcW w:w="1076" w:type="dxa"/>
          </w:tcPr>
          <w:p w:rsidR="0024700C" w:rsidRDefault="0024700C" w:rsidP="006A31B8">
            <w:pPr>
              <w:spacing w:after="0"/>
              <w:rPr>
                <w:rFonts w:ascii="Cambria" w:hAnsi="Cambria"/>
              </w:rPr>
            </w:pPr>
          </w:p>
          <w:p w:rsidR="0024700C" w:rsidRPr="006A31B8" w:rsidRDefault="0024700C" w:rsidP="006A31B8">
            <w:pPr>
              <w:spacing w:after="0"/>
              <w:rPr>
                <w:rFonts w:ascii="Cambria" w:hAnsi="Cambria"/>
              </w:rPr>
            </w:pPr>
            <w:r>
              <w:rPr>
                <w:rFonts w:ascii="Cambria" w:hAnsi="Cambria"/>
              </w:rPr>
              <w:t xml:space="preserve">Příloha č. 1 </w:t>
            </w:r>
            <w:r w:rsidRPr="006A31B8">
              <w:rPr>
                <w:rFonts w:ascii="Cambria" w:hAnsi="Cambria"/>
              </w:rPr>
              <w:t>Postup pro podání žádosti o podporu v MS2014</w:t>
            </w:r>
          </w:p>
        </w:tc>
        <w:tc>
          <w:tcPr>
            <w:tcW w:w="2247" w:type="dxa"/>
          </w:tcPr>
          <w:p w:rsidR="0024700C" w:rsidRPr="006A31B8" w:rsidRDefault="0024700C" w:rsidP="006A31B8">
            <w:pPr>
              <w:spacing w:after="0"/>
              <w:rPr>
                <w:rFonts w:ascii="Cambria" w:hAnsi="Cambria"/>
              </w:rPr>
            </w:pPr>
            <w:r w:rsidRPr="006A31B8">
              <w:rPr>
                <w:rFonts w:ascii="Cambria" w:hAnsi="Cambria"/>
              </w:rPr>
              <w:t>Z důvodu administrativní ch</w:t>
            </w:r>
            <w:r w:rsidR="00FC5AF7">
              <w:rPr>
                <w:rFonts w:ascii="Cambria" w:hAnsi="Cambria"/>
              </w:rPr>
              <w:t xml:space="preserve">yby byla doplněna do přílohy č. </w:t>
            </w:r>
            <w:r w:rsidRPr="006A31B8">
              <w:rPr>
                <w:rFonts w:ascii="Cambria" w:hAnsi="Cambria"/>
              </w:rPr>
              <w:t>P1 - Postup pro podání žádosti o podporu v MS2014“ kapitola Veřejná podpora a s tím související pole Veřejná podpora v kapitole 3.6 Záložka Projekt.</w:t>
            </w:r>
          </w:p>
        </w:tc>
        <w:tc>
          <w:tcPr>
            <w:tcW w:w="2410" w:type="dxa"/>
          </w:tcPr>
          <w:p w:rsidR="0024700C" w:rsidRPr="006A31B8" w:rsidRDefault="0024700C" w:rsidP="006A31B8">
            <w:pPr>
              <w:spacing w:after="0"/>
              <w:rPr>
                <w:rFonts w:ascii="Cambria" w:hAnsi="Cambria"/>
              </w:rPr>
            </w:pPr>
            <w:r>
              <w:rPr>
                <w:rFonts w:ascii="Cambria" w:hAnsi="Cambria"/>
              </w:rPr>
              <w:t>Administrativní pochybení</w:t>
            </w:r>
          </w:p>
        </w:tc>
        <w:tc>
          <w:tcPr>
            <w:tcW w:w="1417" w:type="dxa"/>
          </w:tcPr>
          <w:p w:rsidR="0024700C" w:rsidRPr="006A31B8" w:rsidRDefault="0024700C" w:rsidP="006A31B8">
            <w:pPr>
              <w:spacing w:after="0"/>
              <w:rPr>
                <w:rFonts w:ascii="Cambria" w:hAnsi="Cambria"/>
              </w:rPr>
            </w:pPr>
            <w:r>
              <w:rPr>
                <w:rFonts w:ascii="Cambria" w:hAnsi="Cambria"/>
              </w:rPr>
              <w:t>Mgr. Jan Trögl</w:t>
            </w:r>
          </w:p>
        </w:tc>
        <w:tc>
          <w:tcPr>
            <w:tcW w:w="1134" w:type="dxa"/>
          </w:tcPr>
          <w:p w:rsidR="0024700C" w:rsidRPr="006A31B8" w:rsidRDefault="0024700C" w:rsidP="006A31B8">
            <w:pPr>
              <w:spacing w:after="0"/>
              <w:rPr>
                <w:rFonts w:ascii="Cambria" w:hAnsi="Cambria"/>
              </w:rPr>
            </w:pPr>
            <w:proofErr w:type="gramStart"/>
            <w:r>
              <w:rPr>
                <w:rFonts w:ascii="Cambria" w:hAnsi="Cambria"/>
              </w:rPr>
              <w:t>5.5.2016</w:t>
            </w:r>
            <w:proofErr w:type="gramEnd"/>
          </w:p>
        </w:tc>
      </w:tr>
      <w:tr w:rsidR="0024700C" w:rsidRPr="006A31B8" w:rsidTr="0070797C">
        <w:trPr>
          <w:trHeight w:val="644"/>
        </w:trPr>
        <w:tc>
          <w:tcPr>
            <w:tcW w:w="896" w:type="dxa"/>
          </w:tcPr>
          <w:p w:rsidR="0024700C" w:rsidRPr="006A31B8" w:rsidRDefault="0024700C" w:rsidP="00FC5AF7">
            <w:pPr>
              <w:spacing w:after="0"/>
              <w:rPr>
                <w:rFonts w:ascii="Cambria" w:hAnsi="Cambria"/>
              </w:rPr>
            </w:pPr>
            <w:r>
              <w:rPr>
                <w:rFonts w:ascii="Cambria" w:hAnsi="Cambria"/>
              </w:rPr>
              <w:t>1.2</w:t>
            </w:r>
          </w:p>
        </w:tc>
        <w:tc>
          <w:tcPr>
            <w:tcW w:w="1076" w:type="dxa"/>
          </w:tcPr>
          <w:p w:rsidR="0024700C" w:rsidRPr="006A31B8" w:rsidRDefault="0024700C" w:rsidP="006A31B8">
            <w:pPr>
              <w:spacing w:after="0"/>
              <w:rPr>
                <w:rFonts w:ascii="Cambria" w:hAnsi="Cambria"/>
              </w:rPr>
            </w:pPr>
            <w:r>
              <w:rPr>
                <w:rFonts w:ascii="Cambria" w:hAnsi="Cambria"/>
              </w:rPr>
              <w:t>Kapitola 2.2 Podporované aktivity</w:t>
            </w:r>
          </w:p>
        </w:tc>
        <w:tc>
          <w:tcPr>
            <w:tcW w:w="2247" w:type="dxa"/>
          </w:tcPr>
          <w:p w:rsidR="0024700C" w:rsidRPr="006A31B8" w:rsidRDefault="0024700C" w:rsidP="006A31B8">
            <w:pPr>
              <w:spacing w:after="0"/>
              <w:rPr>
                <w:rFonts w:ascii="Cambria" w:hAnsi="Cambria"/>
              </w:rPr>
            </w:pPr>
            <w:r>
              <w:rPr>
                <w:rFonts w:ascii="Cambria" w:hAnsi="Cambria"/>
              </w:rPr>
              <w:t>Vyjmuta podporovaná aktivita Domov se zvláštním režimem.</w:t>
            </w:r>
          </w:p>
        </w:tc>
        <w:tc>
          <w:tcPr>
            <w:tcW w:w="2410" w:type="dxa"/>
          </w:tcPr>
          <w:p w:rsidR="0024700C" w:rsidRPr="006A31B8" w:rsidRDefault="0024700C" w:rsidP="006A31B8">
            <w:pPr>
              <w:spacing w:after="0"/>
              <w:rPr>
                <w:rFonts w:ascii="Cambria" w:hAnsi="Cambria"/>
              </w:rPr>
            </w:pPr>
            <w:r>
              <w:rPr>
                <w:rFonts w:ascii="Cambria" w:hAnsi="Cambria"/>
              </w:rPr>
              <w:t>Riziko nezpůsobilosti výdajů ze strany Evropské komise</w:t>
            </w:r>
          </w:p>
        </w:tc>
        <w:tc>
          <w:tcPr>
            <w:tcW w:w="1417" w:type="dxa"/>
          </w:tcPr>
          <w:p w:rsidR="0024700C" w:rsidRPr="006A31B8" w:rsidRDefault="0024700C" w:rsidP="006A31B8">
            <w:pPr>
              <w:spacing w:after="0"/>
              <w:rPr>
                <w:rFonts w:ascii="Cambria" w:hAnsi="Cambria"/>
              </w:rPr>
            </w:pPr>
            <w:r>
              <w:rPr>
                <w:rFonts w:ascii="Cambria" w:hAnsi="Cambria"/>
              </w:rPr>
              <w:t>Mgr. Jakub Horáček</w:t>
            </w:r>
          </w:p>
        </w:tc>
        <w:tc>
          <w:tcPr>
            <w:tcW w:w="1134" w:type="dxa"/>
          </w:tcPr>
          <w:p w:rsidR="0024700C" w:rsidRPr="006A31B8" w:rsidRDefault="0024700C" w:rsidP="006A31B8">
            <w:pPr>
              <w:spacing w:after="0"/>
              <w:rPr>
                <w:rFonts w:ascii="Cambria" w:hAnsi="Cambria"/>
              </w:rPr>
            </w:pPr>
            <w:proofErr w:type="gramStart"/>
            <w:r>
              <w:rPr>
                <w:rFonts w:ascii="Cambria" w:hAnsi="Cambria"/>
              </w:rPr>
              <w:t>1.7.2016</w:t>
            </w:r>
            <w:proofErr w:type="gramEnd"/>
          </w:p>
        </w:tc>
      </w:tr>
      <w:tr w:rsidR="0024700C" w:rsidRPr="006A31B8" w:rsidTr="0070797C">
        <w:trPr>
          <w:trHeight w:val="644"/>
        </w:trPr>
        <w:tc>
          <w:tcPr>
            <w:tcW w:w="896" w:type="dxa"/>
          </w:tcPr>
          <w:p w:rsidR="0024700C" w:rsidRPr="006A31B8" w:rsidRDefault="0024700C" w:rsidP="00FC5AF7">
            <w:pPr>
              <w:spacing w:after="0"/>
              <w:rPr>
                <w:rFonts w:ascii="Cambria" w:hAnsi="Cambria"/>
              </w:rPr>
            </w:pPr>
            <w:r>
              <w:rPr>
                <w:rFonts w:ascii="Cambria" w:hAnsi="Cambria"/>
              </w:rPr>
              <w:t>1.2</w:t>
            </w:r>
          </w:p>
        </w:tc>
        <w:tc>
          <w:tcPr>
            <w:tcW w:w="1076" w:type="dxa"/>
          </w:tcPr>
          <w:p w:rsidR="0024700C" w:rsidRPr="006A31B8" w:rsidRDefault="0024700C" w:rsidP="006A31B8">
            <w:pPr>
              <w:spacing w:after="0"/>
              <w:rPr>
                <w:rFonts w:ascii="Cambria" w:hAnsi="Cambria"/>
              </w:rPr>
            </w:pPr>
            <w:r w:rsidRPr="00CC41F3">
              <w:rPr>
                <w:rFonts w:ascii="Cambria" w:hAnsi="Cambria"/>
              </w:rPr>
              <w:t>Kapitola 2.2 Podporované aktivity</w:t>
            </w:r>
          </w:p>
        </w:tc>
        <w:tc>
          <w:tcPr>
            <w:tcW w:w="2247" w:type="dxa"/>
          </w:tcPr>
          <w:p w:rsidR="0024700C" w:rsidRPr="006A31B8" w:rsidRDefault="0024700C" w:rsidP="006A31B8">
            <w:pPr>
              <w:spacing w:after="0"/>
              <w:rPr>
                <w:rFonts w:ascii="Cambria" w:hAnsi="Cambria"/>
              </w:rPr>
            </w:pPr>
            <w:r>
              <w:rPr>
                <w:rFonts w:ascii="Cambria" w:hAnsi="Cambria"/>
              </w:rPr>
              <w:t>Upřesnění podmínek pořízení vybavení jako hlavní aktivity projektu</w:t>
            </w:r>
          </w:p>
        </w:tc>
        <w:tc>
          <w:tcPr>
            <w:tcW w:w="2410" w:type="dxa"/>
          </w:tcPr>
          <w:p w:rsidR="0024700C" w:rsidRPr="006A31B8" w:rsidRDefault="0024700C" w:rsidP="006A31B8">
            <w:pPr>
              <w:spacing w:after="0"/>
              <w:rPr>
                <w:rFonts w:ascii="Cambria" w:hAnsi="Cambria"/>
              </w:rPr>
            </w:pPr>
            <w:r>
              <w:rPr>
                <w:rFonts w:ascii="Cambria" w:hAnsi="Cambria"/>
              </w:rPr>
              <w:t>Upřesnění výkladu specifických pravidel</w:t>
            </w:r>
          </w:p>
        </w:tc>
        <w:tc>
          <w:tcPr>
            <w:tcW w:w="1417" w:type="dxa"/>
          </w:tcPr>
          <w:p w:rsidR="0024700C" w:rsidRPr="006A31B8" w:rsidRDefault="0024700C" w:rsidP="006A31B8">
            <w:pPr>
              <w:spacing w:after="0"/>
              <w:rPr>
                <w:rFonts w:ascii="Cambria" w:hAnsi="Cambria"/>
              </w:rPr>
            </w:pPr>
            <w:r w:rsidRPr="003E4DA3">
              <w:t>Mgr. Jakub Horáček</w:t>
            </w:r>
          </w:p>
        </w:tc>
        <w:tc>
          <w:tcPr>
            <w:tcW w:w="1134" w:type="dxa"/>
          </w:tcPr>
          <w:p w:rsidR="0024700C" w:rsidRPr="006A31B8" w:rsidRDefault="0024700C" w:rsidP="006A31B8">
            <w:pPr>
              <w:spacing w:after="0"/>
              <w:rPr>
                <w:rFonts w:ascii="Cambria" w:hAnsi="Cambria"/>
              </w:rPr>
            </w:pPr>
            <w:proofErr w:type="gramStart"/>
            <w:r w:rsidRPr="003E4DA3">
              <w:t>1.7.2016</w:t>
            </w:r>
            <w:proofErr w:type="gramEnd"/>
          </w:p>
        </w:tc>
      </w:tr>
      <w:tr w:rsidR="0024700C" w:rsidRPr="006A31B8" w:rsidTr="0070797C">
        <w:trPr>
          <w:trHeight w:val="644"/>
        </w:trPr>
        <w:tc>
          <w:tcPr>
            <w:tcW w:w="896" w:type="dxa"/>
          </w:tcPr>
          <w:p w:rsidR="0024700C" w:rsidRPr="006A31B8" w:rsidRDefault="0024700C" w:rsidP="00FC5AF7">
            <w:pPr>
              <w:spacing w:after="0"/>
              <w:rPr>
                <w:rFonts w:ascii="Cambria" w:hAnsi="Cambria"/>
              </w:rPr>
            </w:pPr>
            <w:r>
              <w:rPr>
                <w:rFonts w:ascii="Cambria" w:hAnsi="Cambria"/>
              </w:rPr>
              <w:t>1.2</w:t>
            </w:r>
          </w:p>
        </w:tc>
        <w:tc>
          <w:tcPr>
            <w:tcW w:w="1076" w:type="dxa"/>
          </w:tcPr>
          <w:p w:rsidR="0024700C" w:rsidRPr="006A31B8" w:rsidRDefault="0024700C" w:rsidP="006A31B8">
            <w:pPr>
              <w:spacing w:after="0"/>
              <w:rPr>
                <w:rFonts w:ascii="Cambria" w:hAnsi="Cambria"/>
              </w:rPr>
            </w:pPr>
            <w:r w:rsidRPr="00CC41F3">
              <w:rPr>
                <w:rFonts w:ascii="Cambria" w:hAnsi="Cambria"/>
              </w:rPr>
              <w:t>Kapitola 2.2 Podporované aktivity</w:t>
            </w:r>
          </w:p>
        </w:tc>
        <w:tc>
          <w:tcPr>
            <w:tcW w:w="2247" w:type="dxa"/>
          </w:tcPr>
          <w:p w:rsidR="0024700C" w:rsidRDefault="0024700C" w:rsidP="006A31B8">
            <w:pPr>
              <w:spacing w:after="0"/>
              <w:rPr>
                <w:rFonts w:ascii="Cambria" w:hAnsi="Cambria"/>
              </w:rPr>
            </w:pPr>
          </w:p>
          <w:p w:rsidR="0024700C" w:rsidRPr="006A31B8" w:rsidRDefault="0024700C" w:rsidP="00E42D21">
            <w:pPr>
              <w:spacing w:after="0"/>
              <w:rPr>
                <w:rFonts w:ascii="Cambria" w:hAnsi="Cambria"/>
              </w:rPr>
            </w:pPr>
            <w:r>
              <w:rPr>
                <w:rFonts w:ascii="Cambria" w:hAnsi="Cambria"/>
              </w:rPr>
              <w:t>Upřesnění územního vymezení terénní služby a podání projektové žádosti do příslušné výzvy dle místa realizace projektu.</w:t>
            </w:r>
          </w:p>
        </w:tc>
        <w:tc>
          <w:tcPr>
            <w:tcW w:w="2410" w:type="dxa"/>
          </w:tcPr>
          <w:p w:rsidR="0024700C" w:rsidRPr="006A31B8" w:rsidRDefault="0024700C" w:rsidP="006A31B8">
            <w:pPr>
              <w:spacing w:after="0"/>
              <w:rPr>
                <w:rFonts w:ascii="Cambria" w:hAnsi="Cambria"/>
              </w:rPr>
            </w:pPr>
            <w:r w:rsidRPr="007C5617">
              <w:t>Upřesnění výkladu specifických pravidel</w:t>
            </w:r>
          </w:p>
        </w:tc>
        <w:tc>
          <w:tcPr>
            <w:tcW w:w="1417" w:type="dxa"/>
          </w:tcPr>
          <w:p w:rsidR="0024700C" w:rsidRPr="006A31B8" w:rsidRDefault="0024700C" w:rsidP="006A31B8">
            <w:pPr>
              <w:spacing w:after="0"/>
              <w:rPr>
                <w:rFonts w:ascii="Cambria" w:hAnsi="Cambria"/>
              </w:rPr>
            </w:pPr>
            <w:r w:rsidRPr="007C5617">
              <w:t>Mgr. Jakub Horáček</w:t>
            </w:r>
          </w:p>
        </w:tc>
        <w:tc>
          <w:tcPr>
            <w:tcW w:w="1134" w:type="dxa"/>
          </w:tcPr>
          <w:p w:rsidR="0024700C" w:rsidRPr="006A31B8" w:rsidRDefault="0024700C" w:rsidP="006A31B8">
            <w:pPr>
              <w:spacing w:after="0"/>
              <w:rPr>
                <w:rFonts w:ascii="Cambria" w:hAnsi="Cambria"/>
              </w:rPr>
            </w:pPr>
            <w:proofErr w:type="gramStart"/>
            <w:r w:rsidRPr="007C5617">
              <w:t>1.7.2016</w:t>
            </w:r>
            <w:proofErr w:type="gramEnd"/>
          </w:p>
        </w:tc>
      </w:tr>
      <w:tr w:rsidR="0024700C" w:rsidRPr="006A31B8" w:rsidTr="0070797C">
        <w:trPr>
          <w:trHeight w:val="644"/>
        </w:trPr>
        <w:tc>
          <w:tcPr>
            <w:tcW w:w="896" w:type="dxa"/>
          </w:tcPr>
          <w:p w:rsidR="0024700C" w:rsidRPr="006A31B8" w:rsidRDefault="0024700C" w:rsidP="00FC5AF7">
            <w:pPr>
              <w:spacing w:after="0"/>
              <w:rPr>
                <w:rFonts w:ascii="Cambria" w:hAnsi="Cambria"/>
              </w:rPr>
            </w:pPr>
            <w:r>
              <w:rPr>
                <w:rFonts w:ascii="Cambria" w:hAnsi="Cambria"/>
              </w:rPr>
              <w:t>1.2</w:t>
            </w:r>
          </w:p>
        </w:tc>
        <w:tc>
          <w:tcPr>
            <w:tcW w:w="1076" w:type="dxa"/>
          </w:tcPr>
          <w:p w:rsidR="0024700C" w:rsidRPr="006A31B8" w:rsidRDefault="0024700C" w:rsidP="006A31B8">
            <w:pPr>
              <w:spacing w:after="0"/>
              <w:rPr>
                <w:rFonts w:ascii="Cambria" w:hAnsi="Cambria"/>
              </w:rPr>
            </w:pPr>
            <w:r w:rsidRPr="00CC41F3">
              <w:rPr>
                <w:rFonts w:ascii="Cambria" w:hAnsi="Cambria"/>
              </w:rPr>
              <w:t>Kapitola 2.2 Podporované aktivity</w:t>
            </w:r>
          </w:p>
        </w:tc>
        <w:tc>
          <w:tcPr>
            <w:tcW w:w="2247" w:type="dxa"/>
          </w:tcPr>
          <w:p w:rsidR="0024700C" w:rsidRPr="006A31B8" w:rsidRDefault="0024700C" w:rsidP="006A31B8">
            <w:pPr>
              <w:spacing w:after="0"/>
              <w:rPr>
                <w:rFonts w:ascii="Cambria" w:hAnsi="Cambria"/>
              </w:rPr>
            </w:pPr>
            <w:r>
              <w:rPr>
                <w:rFonts w:ascii="Cambria" w:hAnsi="Cambria"/>
              </w:rPr>
              <w:t xml:space="preserve">Přidání vedlejší aktivity projektu: </w:t>
            </w:r>
            <w:r w:rsidRPr="0089193D">
              <w:rPr>
                <w:rFonts w:ascii="Cambria" w:hAnsi="Cambria"/>
              </w:rPr>
              <w:t>zeleň v okolí budov a na budovách (zelené zdi a střechy, aleje, hřiště a parky)</w:t>
            </w:r>
            <w:r>
              <w:rPr>
                <w:rFonts w:ascii="Cambria" w:hAnsi="Cambria"/>
              </w:rPr>
              <w:t xml:space="preserve"> jako způsobilý výdaj projektu </w:t>
            </w:r>
          </w:p>
        </w:tc>
        <w:tc>
          <w:tcPr>
            <w:tcW w:w="2410" w:type="dxa"/>
          </w:tcPr>
          <w:p w:rsidR="0024700C" w:rsidRPr="006A31B8" w:rsidRDefault="0024700C" w:rsidP="006A31B8">
            <w:pPr>
              <w:spacing w:after="0"/>
              <w:rPr>
                <w:rFonts w:ascii="Cambria" w:hAnsi="Cambria"/>
              </w:rPr>
            </w:pPr>
            <w:r w:rsidRPr="007C5617">
              <w:t>Upřesnění výkladu specifických pravidel</w:t>
            </w:r>
          </w:p>
        </w:tc>
        <w:tc>
          <w:tcPr>
            <w:tcW w:w="1417" w:type="dxa"/>
          </w:tcPr>
          <w:p w:rsidR="0024700C" w:rsidRPr="006A31B8" w:rsidRDefault="0024700C" w:rsidP="006A31B8">
            <w:pPr>
              <w:spacing w:after="0"/>
              <w:rPr>
                <w:rFonts w:ascii="Cambria" w:hAnsi="Cambria"/>
              </w:rPr>
            </w:pPr>
            <w:r w:rsidRPr="007C5617">
              <w:t>Mgr. Jakub Horáček</w:t>
            </w:r>
          </w:p>
        </w:tc>
        <w:tc>
          <w:tcPr>
            <w:tcW w:w="1134" w:type="dxa"/>
          </w:tcPr>
          <w:p w:rsidR="0024700C" w:rsidRPr="006A31B8" w:rsidRDefault="0024700C" w:rsidP="006A31B8">
            <w:pPr>
              <w:spacing w:after="0"/>
              <w:rPr>
                <w:rFonts w:ascii="Cambria" w:hAnsi="Cambria"/>
              </w:rPr>
            </w:pPr>
            <w:proofErr w:type="gramStart"/>
            <w:r w:rsidRPr="007C5617">
              <w:t>1.7.2016</w:t>
            </w:r>
            <w:proofErr w:type="gramEnd"/>
          </w:p>
        </w:tc>
      </w:tr>
      <w:tr w:rsidR="0024700C" w:rsidRPr="006A31B8" w:rsidTr="0070797C">
        <w:trPr>
          <w:trHeight w:val="644"/>
        </w:trPr>
        <w:tc>
          <w:tcPr>
            <w:tcW w:w="896" w:type="dxa"/>
          </w:tcPr>
          <w:p w:rsidR="0024700C" w:rsidRPr="00CC41F3" w:rsidRDefault="0024700C" w:rsidP="00FC5AF7">
            <w:pPr>
              <w:spacing w:after="0"/>
              <w:rPr>
                <w:rFonts w:ascii="Cambria" w:hAnsi="Cambria"/>
              </w:rPr>
            </w:pPr>
            <w:r>
              <w:rPr>
                <w:rFonts w:ascii="Cambria" w:hAnsi="Cambria"/>
              </w:rPr>
              <w:lastRenderedPageBreak/>
              <w:t>1.2</w:t>
            </w:r>
          </w:p>
        </w:tc>
        <w:tc>
          <w:tcPr>
            <w:tcW w:w="1076" w:type="dxa"/>
          </w:tcPr>
          <w:p w:rsidR="0024700C" w:rsidRPr="00CC41F3" w:rsidRDefault="0024700C" w:rsidP="006A31B8">
            <w:pPr>
              <w:spacing w:after="0"/>
              <w:rPr>
                <w:rFonts w:ascii="Cambria" w:hAnsi="Cambria"/>
              </w:rPr>
            </w:pPr>
            <w:r>
              <w:rPr>
                <w:rFonts w:ascii="Cambria" w:hAnsi="Cambria"/>
              </w:rPr>
              <w:t>Kapitola 4.1 Hodnocení žádostí o podporu</w:t>
            </w:r>
          </w:p>
        </w:tc>
        <w:tc>
          <w:tcPr>
            <w:tcW w:w="2247" w:type="dxa"/>
          </w:tcPr>
          <w:p w:rsidR="0024700C" w:rsidRDefault="0024700C" w:rsidP="006A31B8">
            <w:pPr>
              <w:spacing w:after="0"/>
              <w:rPr>
                <w:rFonts w:ascii="Cambria" w:hAnsi="Cambria"/>
              </w:rPr>
            </w:pPr>
          </w:p>
          <w:p w:rsidR="0024700C" w:rsidRDefault="0024700C" w:rsidP="006A31B8">
            <w:pPr>
              <w:spacing w:after="0"/>
              <w:rPr>
                <w:rFonts w:ascii="Cambria" w:hAnsi="Cambria"/>
              </w:rPr>
            </w:pPr>
            <w:r>
              <w:rPr>
                <w:rFonts w:ascii="Cambria" w:hAnsi="Cambria"/>
              </w:rPr>
              <w:t>R</w:t>
            </w:r>
            <w:r w:rsidRPr="00217341">
              <w:rPr>
                <w:rFonts w:ascii="Cambria" w:hAnsi="Cambria"/>
              </w:rPr>
              <w:t>ozlišení kritérií přijatelnosti na kritéria napravitelná a ne-napravitelná</w:t>
            </w:r>
          </w:p>
        </w:tc>
        <w:tc>
          <w:tcPr>
            <w:tcW w:w="2410" w:type="dxa"/>
          </w:tcPr>
          <w:p w:rsidR="0024700C" w:rsidRPr="007C5617" w:rsidRDefault="0024700C" w:rsidP="006A31B8">
            <w:pPr>
              <w:spacing w:after="0"/>
            </w:pPr>
            <w:r>
              <w:t>Ú</w:t>
            </w:r>
            <w:r w:rsidRPr="00BA7F1B">
              <w:t>prava Systému schvalování individuálních projektů v IROP schválená na 5. zasedání Monitorovacího výboru IROP</w:t>
            </w:r>
          </w:p>
        </w:tc>
        <w:tc>
          <w:tcPr>
            <w:tcW w:w="1417" w:type="dxa"/>
          </w:tcPr>
          <w:p w:rsidR="0024700C" w:rsidRPr="007C5617" w:rsidRDefault="0024700C" w:rsidP="006A31B8">
            <w:pPr>
              <w:spacing w:after="0"/>
            </w:pPr>
            <w:r w:rsidRPr="007C5617">
              <w:t>Mgr. Jakub Horáček</w:t>
            </w:r>
          </w:p>
        </w:tc>
        <w:tc>
          <w:tcPr>
            <w:tcW w:w="1134" w:type="dxa"/>
          </w:tcPr>
          <w:p w:rsidR="0024700C" w:rsidRPr="007C5617" w:rsidRDefault="0024700C" w:rsidP="006A31B8">
            <w:pPr>
              <w:spacing w:after="0"/>
            </w:pPr>
            <w:proofErr w:type="gramStart"/>
            <w:r w:rsidRPr="007C5617">
              <w:t>1.7.2016</w:t>
            </w:r>
            <w:proofErr w:type="gramEnd"/>
          </w:p>
        </w:tc>
      </w:tr>
      <w:tr w:rsidR="0024700C" w:rsidRPr="006A31B8" w:rsidTr="0070797C">
        <w:trPr>
          <w:trHeight w:val="644"/>
        </w:trPr>
        <w:tc>
          <w:tcPr>
            <w:tcW w:w="896" w:type="dxa"/>
          </w:tcPr>
          <w:p w:rsidR="0024700C" w:rsidRPr="00CC41F3" w:rsidRDefault="0024700C" w:rsidP="00FC5AF7">
            <w:pPr>
              <w:spacing w:after="0"/>
              <w:rPr>
                <w:rFonts w:ascii="Cambria" w:hAnsi="Cambria"/>
              </w:rPr>
            </w:pPr>
            <w:r>
              <w:rPr>
                <w:rFonts w:ascii="Cambria" w:hAnsi="Cambria"/>
              </w:rPr>
              <w:t>1.2</w:t>
            </w:r>
          </w:p>
        </w:tc>
        <w:tc>
          <w:tcPr>
            <w:tcW w:w="1076" w:type="dxa"/>
          </w:tcPr>
          <w:p w:rsidR="0024700C" w:rsidRPr="00CC41F3" w:rsidRDefault="0024700C" w:rsidP="006A31B8">
            <w:pPr>
              <w:spacing w:after="0"/>
              <w:rPr>
                <w:rFonts w:ascii="Cambria" w:hAnsi="Cambria"/>
              </w:rPr>
            </w:pPr>
            <w:r>
              <w:rPr>
                <w:rFonts w:ascii="Cambria" w:hAnsi="Cambria"/>
              </w:rPr>
              <w:t xml:space="preserve">Kapitola 3. </w:t>
            </w:r>
            <w:r w:rsidRPr="009A4B58">
              <w:rPr>
                <w:rFonts w:ascii="Cambria" w:hAnsi="Cambria"/>
              </w:rPr>
              <w:t>Kontaktní místa pro poskytování informací</w:t>
            </w:r>
          </w:p>
        </w:tc>
        <w:tc>
          <w:tcPr>
            <w:tcW w:w="2247" w:type="dxa"/>
          </w:tcPr>
          <w:p w:rsidR="0024700C" w:rsidRDefault="0024700C" w:rsidP="006A31B8">
            <w:pPr>
              <w:spacing w:after="0"/>
              <w:rPr>
                <w:rFonts w:ascii="Cambria" w:hAnsi="Cambria"/>
              </w:rPr>
            </w:pPr>
            <w:r>
              <w:rPr>
                <w:rFonts w:ascii="Cambria" w:hAnsi="Cambria"/>
              </w:rPr>
              <w:t>Změna kontaktní osoby CRR pro Středočeský kraj</w:t>
            </w:r>
          </w:p>
        </w:tc>
        <w:tc>
          <w:tcPr>
            <w:tcW w:w="2410" w:type="dxa"/>
          </w:tcPr>
          <w:p w:rsidR="0024700C" w:rsidRPr="007C5617" w:rsidRDefault="0024700C" w:rsidP="006A31B8">
            <w:pPr>
              <w:spacing w:after="0"/>
            </w:pPr>
            <w:r>
              <w:t>Administrativní upřesnění</w:t>
            </w:r>
          </w:p>
        </w:tc>
        <w:tc>
          <w:tcPr>
            <w:tcW w:w="1417" w:type="dxa"/>
          </w:tcPr>
          <w:p w:rsidR="0024700C" w:rsidRPr="007C5617" w:rsidRDefault="0024700C" w:rsidP="006A31B8">
            <w:pPr>
              <w:spacing w:after="0"/>
            </w:pPr>
            <w:r w:rsidRPr="00C257B8">
              <w:t>Mgr. Jakub Horáček</w:t>
            </w:r>
          </w:p>
        </w:tc>
        <w:tc>
          <w:tcPr>
            <w:tcW w:w="1134" w:type="dxa"/>
          </w:tcPr>
          <w:p w:rsidR="0024700C" w:rsidRPr="007C5617" w:rsidRDefault="0024700C" w:rsidP="006A31B8">
            <w:pPr>
              <w:spacing w:after="0"/>
            </w:pPr>
            <w:proofErr w:type="gramStart"/>
            <w:r w:rsidRPr="00C257B8">
              <w:t>1.7.2016</w:t>
            </w:r>
            <w:proofErr w:type="gramEnd"/>
          </w:p>
        </w:tc>
      </w:tr>
      <w:tr w:rsidR="0024700C" w:rsidRPr="006A31B8" w:rsidTr="0070797C">
        <w:trPr>
          <w:trHeight w:val="644"/>
        </w:trPr>
        <w:tc>
          <w:tcPr>
            <w:tcW w:w="896" w:type="dxa"/>
          </w:tcPr>
          <w:p w:rsidR="0024700C" w:rsidRDefault="0024700C" w:rsidP="00FC5AF7">
            <w:pPr>
              <w:spacing w:after="0"/>
              <w:rPr>
                <w:rFonts w:ascii="Cambria" w:hAnsi="Cambria"/>
              </w:rPr>
            </w:pPr>
            <w:r>
              <w:rPr>
                <w:rFonts w:ascii="Cambria" w:hAnsi="Cambria"/>
              </w:rPr>
              <w:t>1.2</w:t>
            </w:r>
          </w:p>
        </w:tc>
        <w:tc>
          <w:tcPr>
            <w:tcW w:w="1076" w:type="dxa"/>
          </w:tcPr>
          <w:p w:rsidR="0024700C" w:rsidRDefault="0024700C" w:rsidP="006A31B8">
            <w:pPr>
              <w:spacing w:after="0"/>
              <w:rPr>
                <w:rFonts w:ascii="Cambria" w:hAnsi="Cambria"/>
              </w:rPr>
            </w:pPr>
            <w:r>
              <w:rPr>
                <w:rFonts w:ascii="Cambria" w:hAnsi="Cambria"/>
              </w:rPr>
              <w:t>Příloha č. 9</w:t>
            </w:r>
          </w:p>
        </w:tc>
        <w:tc>
          <w:tcPr>
            <w:tcW w:w="2247" w:type="dxa"/>
          </w:tcPr>
          <w:p w:rsidR="0024700C" w:rsidRDefault="0024700C" w:rsidP="006A31B8">
            <w:pPr>
              <w:spacing w:after="0"/>
              <w:rPr>
                <w:rFonts w:ascii="Cambria" w:hAnsi="Cambria"/>
              </w:rPr>
            </w:pPr>
            <w:r>
              <w:rPr>
                <w:rFonts w:ascii="Cambria" w:hAnsi="Cambria"/>
              </w:rPr>
              <w:t>Úprava specifikace žadatele v souhlasném stanovisku.</w:t>
            </w:r>
          </w:p>
        </w:tc>
        <w:tc>
          <w:tcPr>
            <w:tcW w:w="2410" w:type="dxa"/>
          </w:tcPr>
          <w:p w:rsidR="0024700C" w:rsidRDefault="0024700C" w:rsidP="006A31B8">
            <w:pPr>
              <w:spacing w:after="0"/>
            </w:pPr>
            <w:r w:rsidRPr="00DA120E">
              <w:t>Administrativní upřesnění</w:t>
            </w:r>
          </w:p>
        </w:tc>
        <w:tc>
          <w:tcPr>
            <w:tcW w:w="1417" w:type="dxa"/>
          </w:tcPr>
          <w:p w:rsidR="0024700C" w:rsidRPr="00C257B8" w:rsidRDefault="0024700C" w:rsidP="006A31B8">
            <w:pPr>
              <w:spacing w:after="0"/>
            </w:pPr>
            <w:r w:rsidRPr="00DA120E">
              <w:t>Mgr. Jakub Horáček</w:t>
            </w:r>
          </w:p>
        </w:tc>
        <w:tc>
          <w:tcPr>
            <w:tcW w:w="1134" w:type="dxa"/>
          </w:tcPr>
          <w:p w:rsidR="0024700C" w:rsidRPr="00C257B8" w:rsidRDefault="0024700C" w:rsidP="006A31B8">
            <w:pPr>
              <w:spacing w:after="0"/>
            </w:pPr>
            <w:proofErr w:type="gramStart"/>
            <w:r w:rsidRPr="00DA120E">
              <w:t>1.7.2016</w:t>
            </w:r>
            <w:proofErr w:type="gramEnd"/>
          </w:p>
        </w:tc>
      </w:tr>
    </w:tbl>
    <w:p w:rsidR="00401481" w:rsidRDefault="00401481">
      <w:pPr>
        <w:spacing w:line="276" w:lineRule="auto"/>
        <w:jc w:val="left"/>
        <w:rPr>
          <w:rFonts w:eastAsiaTheme="majorEastAsia" w:cstheme="majorBidi"/>
          <w:b/>
          <w:bCs/>
          <w:color w:val="000000" w:themeColor="text1"/>
          <w:sz w:val="36"/>
          <w:szCs w:val="28"/>
        </w:rPr>
      </w:pPr>
      <w:r>
        <w:br w:type="page"/>
      </w:r>
    </w:p>
    <w:p w:rsidR="00563B3E" w:rsidRPr="00EE702C" w:rsidRDefault="00563B3E" w:rsidP="00BA1FC9">
      <w:pPr>
        <w:pStyle w:val="Pravidla1"/>
        <w:numPr>
          <w:ilvl w:val="0"/>
          <w:numId w:val="28"/>
        </w:numPr>
      </w:pPr>
      <w:bookmarkStart w:id="2" w:name="_Toc455143123"/>
      <w:r w:rsidRPr="00EE702C">
        <w:lastRenderedPageBreak/>
        <w:t>Úvod</w:t>
      </w:r>
      <w:bookmarkEnd w:id="1"/>
      <w:bookmarkEnd w:id="2"/>
    </w:p>
    <w:p w:rsidR="0049386B" w:rsidRDefault="0049386B" w:rsidP="00EA3680"/>
    <w:p w:rsidR="0088542D" w:rsidRDefault="00563B3E" w:rsidP="00EA3680">
      <w:r w:rsidRPr="00563B3E">
        <w:t>Pravidla pro žadatele a příjemce mají dvě části, Obecná a Specifická pravidla (dále jen „Pravidla“). Oboje jsou pro žadatele a příjemce závazná od data jejich platnosti.</w:t>
      </w:r>
      <w:r w:rsidR="00790FDD" w:rsidRPr="00790FDD">
        <w:t xml:space="preserve"> </w:t>
      </w:r>
    </w:p>
    <w:tbl>
      <w:tblPr>
        <w:tblStyle w:val="Mkatabulky"/>
        <w:tblW w:w="0" w:type="auto"/>
        <w:jc w:val="center"/>
        <w:tblLook w:val="04A0" w:firstRow="1" w:lastRow="0" w:firstColumn="1" w:lastColumn="0" w:noHBand="0" w:noVBand="1"/>
      </w:tblPr>
      <w:tblGrid>
        <w:gridCol w:w="9218"/>
      </w:tblGrid>
      <w:tr w:rsidR="0088542D" w:rsidRPr="00D56242" w:rsidTr="008807E3">
        <w:trPr>
          <w:trHeight w:val="1028"/>
          <w:jc w:val="center"/>
        </w:trPr>
        <w:tc>
          <w:tcPr>
            <w:tcW w:w="9218" w:type="dxa"/>
          </w:tcPr>
          <w:p w:rsidR="0088542D" w:rsidRPr="00FF5AA4" w:rsidRDefault="0088542D" w:rsidP="0088542D">
            <w:pPr>
              <w:spacing w:after="200"/>
              <w:rPr>
                <w:rFonts w:cs="Arial"/>
                <w:b/>
                <w:lang w:val="cs-CZ"/>
              </w:rPr>
            </w:pPr>
            <w:r w:rsidRPr="00C81109">
              <w:rPr>
                <w:rFonts w:cs="Arial"/>
                <w:b/>
                <w:lang w:val="cs-CZ"/>
              </w:rPr>
              <w:t>UPOZORNĚNÍ</w:t>
            </w:r>
          </w:p>
          <w:p w:rsidR="0088542D" w:rsidRPr="0088542D" w:rsidRDefault="0088542D" w:rsidP="0088542D">
            <w:pPr>
              <w:rPr>
                <w:rFonts w:cs="Arial"/>
                <w:b/>
                <w:lang w:val="cs-CZ"/>
              </w:rPr>
            </w:pPr>
            <w:r w:rsidRPr="0088542D">
              <w:rPr>
                <w:rFonts w:cs="Arial"/>
                <w:b/>
                <w:lang w:val="cs-CZ"/>
              </w:rPr>
              <w:t>Není-li v těchto Pravidlech stanoveno jinak, postupují žadatelé a příjemci v souladu s Obecnými pravidly.</w:t>
            </w:r>
          </w:p>
        </w:tc>
      </w:tr>
    </w:tbl>
    <w:p w:rsidR="00563B3E" w:rsidRPr="00563B3E" w:rsidRDefault="00563B3E" w:rsidP="00EA3680">
      <w:r w:rsidRPr="00563B3E">
        <w:t xml:space="preserve">Pravidla mohou být v průběhu realizace IROP aktualizována. O aktualizaci Pravidel budou žadatelé a příjemci informováni na internetových stránkách </w:t>
      </w:r>
      <w:hyperlink r:id="rId9" w:history="1">
        <w:r w:rsidRPr="00563B3E">
          <w:rPr>
            <w:color w:val="0000FF"/>
            <w:u w:val="single"/>
          </w:rPr>
          <w:t>www.dotaceeu.cz/cs/Microsites/IROP/Vyzvy-v-IROP</w:t>
        </w:r>
      </w:hyperlink>
      <w:r w:rsidRPr="00563B3E">
        <w:t xml:space="preserve">. </w:t>
      </w:r>
    </w:p>
    <w:p w:rsidR="00563B3E" w:rsidRPr="00563B3E" w:rsidRDefault="00563B3E" w:rsidP="00EA3680">
      <w:pPr>
        <w:rPr>
          <w:sz w:val="20"/>
          <w:szCs w:val="20"/>
        </w:rPr>
      </w:pPr>
      <w:r w:rsidRPr="00563B3E">
        <w:t xml:space="preserve">Obecná pravidla </w:t>
      </w:r>
      <w:r w:rsidR="005A6F9F" w:rsidRPr="00CB13B8">
        <w:rPr>
          <w:rFonts w:cs="Arial"/>
        </w:rPr>
        <w:t xml:space="preserve">vydal Řídicí orgán IROP (dále jen „ŘO IROP“) </w:t>
      </w:r>
      <w:r w:rsidR="005A6F9F">
        <w:rPr>
          <w:rFonts w:cs="Arial"/>
        </w:rPr>
        <w:t xml:space="preserve">a jsou platná </w:t>
      </w:r>
      <w:r w:rsidRPr="00563B3E">
        <w:t xml:space="preserve">pro všechny výzvy, specifické cíle a typy příjemců. Obecná pravidla jsou zveřejněna na webových stránkách </w:t>
      </w:r>
      <w:hyperlink r:id="rId10" w:history="1">
        <w:r w:rsidRPr="00563B3E">
          <w:rPr>
            <w:color w:val="0000FF"/>
            <w:u w:val="single"/>
          </w:rPr>
          <w:t>www.dotaceeu.cz/cs/Microsites/IROP/Vyzvy-v-IROP</w:t>
        </w:r>
      </w:hyperlink>
      <w:r w:rsidRPr="00563B3E">
        <w:t>.</w:t>
      </w:r>
    </w:p>
    <w:p w:rsidR="00563B3E" w:rsidRPr="00563B3E" w:rsidRDefault="00563B3E" w:rsidP="00EA3680">
      <w:r w:rsidRPr="00563B3E">
        <w:rPr>
          <w:rFonts w:cs="Arial"/>
        </w:rPr>
        <w:t xml:space="preserve"> </w:t>
      </w:r>
      <w:r w:rsidRPr="00563B3E">
        <w:t>Obecná pravidla obsahují tyto kapitoly:</w:t>
      </w:r>
    </w:p>
    <w:p w:rsidR="00563B3E" w:rsidRPr="00563B3E" w:rsidRDefault="00563B3E" w:rsidP="00EA3680">
      <w:pPr>
        <w:pStyle w:val="Odstavecseseznamem"/>
        <w:numPr>
          <w:ilvl w:val="0"/>
          <w:numId w:val="16"/>
        </w:numPr>
      </w:pPr>
      <w:r w:rsidRPr="00563B3E">
        <w:t>Vyhlášení výzvy a předkládání žádosti o podporu</w:t>
      </w:r>
    </w:p>
    <w:p w:rsidR="00563B3E" w:rsidRPr="00563B3E" w:rsidRDefault="00563B3E" w:rsidP="00EA3680">
      <w:pPr>
        <w:pStyle w:val="Odstavecseseznamem"/>
        <w:numPr>
          <w:ilvl w:val="0"/>
          <w:numId w:val="16"/>
        </w:numPr>
      </w:pPr>
      <w:r w:rsidRPr="00563B3E">
        <w:t>Hodnocení a výběr projektů</w:t>
      </w:r>
    </w:p>
    <w:p w:rsidR="00563B3E" w:rsidRPr="00563B3E" w:rsidRDefault="005A6F9F" w:rsidP="00EA3680">
      <w:pPr>
        <w:pStyle w:val="Odstavecseseznamem"/>
        <w:numPr>
          <w:ilvl w:val="0"/>
          <w:numId w:val="16"/>
        </w:numPr>
      </w:pPr>
      <w:r>
        <w:t>Příprava a r</w:t>
      </w:r>
      <w:r w:rsidR="00563B3E" w:rsidRPr="00563B3E">
        <w:t>ealizace projektu</w:t>
      </w:r>
    </w:p>
    <w:p w:rsidR="00563B3E" w:rsidRPr="00563B3E" w:rsidRDefault="0088542D" w:rsidP="00EA3680">
      <w:pPr>
        <w:pStyle w:val="Odstavecseseznamem"/>
        <w:numPr>
          <w:ilvl w:val="0"/>
          <w:numId w:val="16"/>
        </w:numPr>
      </w:pPr>
      <w:r>
        <w:t>Investiční plánování a z</w:t>
      </w:r>
      <w:r w:rsidR="00563B3E" w:rsidRPr="00563B3E">
        <w:t>adávání zakázek</w:t>
      </w:r>
    </w:p>
    <w:p w:rsidR="00563B3E" w:rsidRPr="00563B3E" w:rsidRDefault="00563B3E" w:rsidP="00EA3680">
      <w:pPr>
        <w:pStyle w:val="Odstavecseseznamem"/>
        <w:numPr>
          <w:ilvl w:val="0"/>
          <w:numId w:val="16"/>
        </w:numPr>
      </w:pPr>
      <w:r w:rsidRPr="00563B3E">
        <w:t>Dodatečné stavební práce</w:t>
      </w:r>
    </w:p>
    <w:p w:rsidR="00563B3E" w:rsidRPr="00563B3E" w:rsidRDefault="00563B3E" w:rsidP="00EA3680">
      <w:pPr>
        <w:pStyle w:val="Odstavecseseznamem"/>
        <w:numPr>
          <w:ilvl w:val="0"/>
          <w:numId w:val="16"/>
        </w:numPr>
      </w:pPr>
      <w:r w:rsidRPr="00563B3E">
        <w:t>Příjmy</w:t>
      </w:r>
    </w:p>
    <w:p w:rsidR="00563B3E" w:rsidRPr="00563B3E" w:rsidRDefault="00563B3E" w:rsidP="00EA3680">
      <w:pPr>
        <w:pStyle w:val="Odstavecseseznamem"/>
        <w:numPr>
          <w:ilvl w:val="0"/>
          <w:numId w:val="16"/>
        </w:numPr>
      </w:pPr>
      <w:r w:rsidRPr="00563B3E">
        <w:t>Veřejná podpora</w:t>
      </w:r>
    </w:p>
    <w:p w:rsidR="00563B3E" w:rsidRPr="00563B3E" w:rsidRDefault="00563B3E" w:rsidP="00EA3680">
      <w:pPr>
        <w:pStyle w:val="Odstavecseseznamem"/>
        <w:numPr>
          <w:ilvl w:val="0"/>
          <w:numId w:val="16"/>
        </w:numPr>
      </w:pPr>
      <w:r w:rsidRPr="00563B3E">
        <w:t>Účetnictví</w:t>
      </w:r>
    </w:p>
    <w:p w:rsidR="00563B3E" w:rsidRPr="00563B3E" w:rsidRDefault="00563B3E" w:rsidP="00EA3680">
      <w:pPr>
        <w:pStyle w:val="Odstavecseseznamem"/>
        <w:numPr>
          <w:ilvl w:val="0"/>
          <w:numId w:val="16"/>
        </w:numPr>
      </w:pPr>
      <w:r w:rsidRPr="00563B3E">
        <w:t>Způsobilé výdaje</w:t>
      </w:r>
    </w:p>
    <w:p w:rsidR="00563B3E" w:rsidRPr="00563B3E" w:rsidRDefault="00563B3E" w:rsidP="00EA3680">
      <w:pPr>
        <w:pStyle w:val="Odstavecseseznamem"/>
        <w:numPr>
          <w:ilvl w:val="0"/>
          <w:numId w:val="16"/>
        </w:numPr>
      </w:pPr>
      <w:r w:rsidRPr="00563B3E">
        <w:t>Přenesená daňová povinnost</w:t>
      </w:r>
    </w:p>
    <w:p w:rsidR="00563B3E" w:rsidRPr="00563B3E" w:rsidRDefault="00563B3E" w:rsidP="00EA3680">
      <w:pPr>
        <w:pStyle w:val="Odstavecseseznamem"/>
        <w:numPr>
          <w:ilvl w:val="0"/>
          <w:numId w:val="16"/>
        </w:numPr>
      </w:pPr>
      <w:r w:rsidRPr="00563B3E">
        <w:t>Archivace</w:t>
      </w:r>
    </w:p>
    <w:p w:rsidR="00563B3E" w:rsidRPr="00563B3E" w:rsidRDefault="00563B3E" w:rsidP="00EA3680">
      <w:pPr>
        <w:pStyle w:val="Odstavecseseznamem"/>
        <w:numPr>
          <w:ilvl w:val="0"/>
          <w:numId w:val="16"/>
        </w:numPr>
      </w:pPr>
      <w:r w:rsidRPr="00563B3E">
        <w:t>Publicita</w:t>
      </w:r>
    </w:p>
    <w:p w:rsidR="00563B3E" w:rsidRPr="00563B3E" w:rsidRDefault="00563B3E" w:rsidP="00EA3680">
      <w:pPr>
        <w:pStyle w:val="Odstavecseseznamem"/>
        <w:numPr>
          <w:ilvl w:val="0"/>
          <w:numId w:val="16"/>
        </w:numPr>
      </w:pPr>
      <w:r w:rsidRPr="00563B3E">
        <w:t>Monitorování projektů</w:t>
      </w:r>
    </w:p>
    <w:p w:rsidR="00563B3E" w:rsidRPr="00563B3E" w:rsidRDefault="00563B3E" w:rsidP="00EA3680">
      <w:pPr>
        <w:pStyle w:val="Odstavecseseznamem"/>
        <w:numPr>
          <w:ilvl w:val="0"/>
          <w:numId w:val="16"/>
        </w:numPr>
      </w:pPr>
      <w:r w:rsidRPr="00563B3E">
        <w:t>Indikátory</w:t>
      </w:r>
    </w:p>
    <w:p w:rsidR="00563B3E" w:rsidRPr="00563B3E" w:rsidRDefault="00563B3E" w:rsidP="00EA3680">
      <w:pPr>
        <w:pStyle w:val="Odstavecseseznamem"/>
        <w:numPr>
          <w:ilvl w:val="0"/>
          <w:numId w:val="16"/>
        </w:numPr>
      </w:pPr>
      <w:r w:rsidRPr="00563B3E">
        <w:t>Změny v projektu</w:t>
      </w:r>
    </w:p>
    <w:p w:rsidR="00563B3E" w:rsidRPr="00563B3E" w:rsidRDefault="00563B3E" w:rsidP="00EA3680">
      <w:pPr>
        <w:pStyle w:val="Odstavecseseznamem"/>
        <w:numPr>
          <w:ilvl w:val="0"/>
          <w:numId w:val="16"/>
        </w:numPr>
      </w:pPr>
      <w:r w:rsidRPr="00563B3E">
        <w:t>Nesrovnalosti, porušení rozpočtové kázně</w:t>
      </w:r>
      <w:r w:rsidR="00A96F2E">
        <w:t>, porušení právního aktu</w:t>
      </w:r>
    </w:p>
    <w:p w:rsidR="00563B3E" w:rsidRPr="00563B3E" w:rsidRDefault="00563B3E" w:rsidP="00EA3680">
      <w:pPr>
        <w:pStyle w:val="Odstavecseseznamem"/>
        <w:numPr>
          <w:ilvl w:val="0"/>
          <w:numId w:val="16"/>
        </w:numPr>
      </w:pPr>
      <w:r w:rsidRPr="00563B3E">
        <w:t>Financování</w:t>
      </w:r>
    </w:p>
    <w:p w:rsidR="00563B3E" w:rsidRPr="00563B3E" w:rsidRDefault="00563B3E" w:rsidP="00EA3680">
      <w:pPr>
        <w:pStyle w:val="Odstavecseseznamem"/>
        <w:numPr>
          <w:ilvl w:val="0"/>
          <w:numId w:val="16"/>
        </w:numPr>
      </w:pPr>
      <w:r w:rsidRPr="00563B3E">
        <w:t>Odstoupení, ukončení realizace projektu</w:t>
      </w:r>
    </w:p>
    <w:p w:rsidR="00563B3E" w:rsidRPr="00563B3E" w:rsidRDefault="00563B3E" w:rsidP="00EA3680">
      <w:pPr>
        <w:pStyle w:val="Odstavecseseznamem"/>
        <w:numPr>
          <w:ilvl w:val="0"/>
          <w:numId w:val="16"/>
        </w:numPr>
      </w:pPr>
      <w:r w:rsidRPr="00563B3E">
        <w:t>Udržitelnost</w:t>
      </w:r>
    </w:p>
    <w:p w:rsidR="00563B3E" w:rsidRPr="00563B3E" w:rsidRDefault="00563B3E" w:rsidP="00EA3680">
      <w:pPr>
        <w:pStyle w:val="Odstavecseseznamem"/>
        <w:numPr>
          <w:ilvl w:val="0"/>
          <w:numId w:val="16"/>
        </w:numPr>
      </w:pPr>
      <w:r w:rsidRPr="00563B3E">
        <w:t>Námitky a stížnosti</w:t>
      </w:r>
    </w:p>
    <w:p w:rsidR="00563B3E" w:rsidRPr="00563B3E" w:rsidRDefault="00563B3E" w:rsidP="00EA3680">
      <w:pPr>
        <w:pStyle w:val="Odstavecseseznamem"/>
        <w:numPr>
          <w:ilvl w:val="0"/>
          <w:numId w:val="16"/>
        </w:numPr>
      </w:pPr>
      <w:r w:rsidRPr="00563B3E">
        <w:t>Kontroly a audity</w:t>
      </w:r>
    </w:p>
    <w:p w:rsidR="00563B3E" w:rsidRPr="00563B3E" w:rsidRDefault="00563B3E" w:rsidP="00EA3680">
      <w:pPr>
        <w:pStyle w:val="Odstavecseseznamem"/>
        <w:numPr>
          <w:ilvl w:val="0"/>
          <w:numId w:val="16"/>
        </w:numPr>
      </w:pPr>
      <w:r w:rsidRPr="00563B3E">
        <w:t>Vazba na integrované nástroje</w:t>
      </w:r>
    </w:p>
    <w:p w:rsidR="005A6F9F" w:rsidRDefault="00563B3E" w:rsidP="00EA3680">
      <w:pPr>
        <w:pStyle w:val="Odstavecseseznamem"/>
        <w:numPr>
          <w:ilvl w:val="0"/>
          <w:numId w:val="16"/>
        </w:numPr>
      </w:pPr>
      <w:r w:rsidRPr="00563B3E">
        <w:t>Použité pojmy</w:t>
      </w:r>
    </w:p>
    <w:p w:rsidR="00563B3E" w:rsidRPr="00563B3E" w:rsidRDefault="005A6F9F" w:rsidP="00EA3680">
      <w:pPr>
        <w:pStyle w:val="Odstavecseseznamem"/>
        <w:numPr>
          <w:ilvl w:val="0"/>
          <w:numId w:val="16"/>
        </w:numPr>
      </w:pPr>
      <w:r>
        <w:t>Použité</w:t>
      </w:r>
      <w:r w:rsidR="00563B3E" w:rsidRPr="00563B3E">
        <w:t xml:space="preserve"> zkratky</w:t>
      </w:r>
    </w:p>
    <w:p w:rsidR="00563B3E" w:rsidRPr="00563B3E" w:rsidRDefault="00563B3E" w:rsidP="00EA3680">
      <w:pPr>
        <w:pStyle w:val="Odstavecseseznamem"/>
        <w:numPr>
          <w:ilvl w:val="0"/>
          <w:numId w:val="16"/>
        </w:numPr>
      </w:pPr>
      <w:r w:rsidRPr="00563B3E">
        <w:t>Právní a metodický rámec</w:t>
      </w:r>
    </w:p>
    <w:p w:rsidR="00105704" w:rsidRPr="001C5E32" w:rsidRDefault="00825D3A" w:rsidP="006B7F53">
      <w:pPr>
        <w:rPr>
          <w:b/>
          <w:bCs/>
        </w:rPr>
      </w:pPr>
      <w:r w:rsidRPr="001C5E32">
        <w:t xml:space="preserve">Specifická pravidla konkretizují informace o pravidlech výzvy a jsou vždy vydána nejpozději s vyhlášením výzvy. Žadatel má povinnost se před podáním žádosti seznámit </w:t>
      </w:r>
      <w:r w:rsidRPr="001C5E32">
        <w:lastRenderedPageBreak/>
        <w:t>s Obecnými i Specifickými pravidly pro žadatele a příjemce a postupovat v souladu s nimi.</w:t>
      </w:r>
      <w:r w:rsidR="005031E9" w:rsidRPr="001C5E32">
        <w:t xml:space="preserve"> </w:t>
      </w:r>
    </w:p>
    <w:p w:rsidR="005D35E5" w:rsidRPr="005D35E5" w:rsidRDefault="004C0B12" w:rsidP="00EA3680">
      <w:pPr>
        <w:pStyle w:val="Pravidla1"/>
      </w:pPr>
      <w:bookmarkStart w:id="3" w:name="_Toc455143124"/>
      <w:r>
        <w:t>2.</w:t>
      </w:r>
      <w:r w:rsidR="00017CEF">
        <w:tab/>
      </w:r>
      <w:r w:rsidR="005D35E5" w:rsidRPr="005D35E5">
        <w:t>Údaje o výzvě</w:t>
      </w:r>
      <w:bookmarkEnd w:id="3"/>
    </w:p>
    <w:p w:rsidR="00D3758D" w:rsidRDefault="00D3758D" w:rsidP="0076468A">
      <w:pPr>
        <w:pStyle w:val="Pravidla11"/>
        <w:spacing w:after="0"/>
      </w:pPr>
      <w:bookmarkStart w:id="4" w:name="_Toc455143125"/>
      <w:r>
        <w:t>Vyhlášení výzvy</w:t>
      </w:r>
      <w:r w:rsidR="004A5734">
        <w:t xml:space="preserve"> a podání žádosti o podporu</w:t>
      </w:r>
      <w:bookmarkEnd w:id="4"/>
    </w:p>
    <w:p w:rsidR="00E728C8" w:rsidRPr="00E728C8" w:rsidRDefault="00E728C8" w:rsidP="00E728C8">
      <w:pPr>
        <w:rPr>
          <w:rFonts w:cs="Arial"/>
        </w:rPr>
      </w:pPr>
      <w:r w:rsidRPr="00E728C8">
        <w:rPr>
          <w:rFonts w:cs="Arial"/>
        </w:rPr>
        <w:t>Výzvu vyhlašuje Řídicí orgán IROP.</w:t>
      </w:r>
    </w:p>
    <w:p w:rsidR="00E728C8" w:rsidRPr="00E728C8" w:rsidRDefault="00DE04C4" w:rsidP="00E728C8">
      <w:pPr>
        <w:rPr>
          <w:rFonts w:cs="Arial"/>
        </w:rPr>
      </w:pPr>
      <w:r>
        <w:rPr>
          <w:rFonts w:cs="Arial"/>
        </w:rPr>
        <w:t>Kolová v</w:t>
      </w:r>
      <w:r w:rsidR="00E728C8">
        <w:rPr>
          <w:rFonts w:cs="Arial"/>
        </w:rPr>
        <w:t xml:space="preserve">ýzva č. </w:t>
      </w:r>
      <w:r w:rsidR="00A74985">
        <w:rPr>
          <w:rFonts w:cs="Arial"/>
        </w:rPr>
        <w:t>29</w:t>
      </w:r>
      <w:r w:rsidR="00E728C8" w:rsidRPr="00E728C8">
        <w:rPr>
          <w:rFonts w:cs="Arial"/>
        </w:rPr>
        <w:t xml:space="preserve"> IROP „</w:t>
      </w:r>
      <w:r w:rsidR="00CC64C1">
        <w:rPr>
          <w:rFonts w:cs="Arial"/>
        </w:rPr>
        <w:t>Rozvoj sociálních služeb“ je vyhlášena 29.</w:t>
      </w:r>
      <w:r w:rsidR="00A24B4C">
        <w:rPr>
          <w:rFonts w:cs="Arial"/>
        </w:rPr>
        <w:t xml:space="preserve"> </w:t>
      </w:r>
      <w:r w:rsidR="00CC64C1">
        <w:rPr>
          <w:rFonts w:cs="Arial"/>
        </w:rPr>
        <w:t>4</w:t>
      </w:r>
      <w:r w:rsidR="00E728C8" w:rsidRPr="00E728C8">
        <w:rPr>
          <w:rFonts w:cs="Arial"/>
        </w:rPr>
        <w:t>. 201</w:t>
      </w:r>
      <w:r w:rsidR="00CC64C1">
        <w:rPr>
          <w:rFonts w:cs="Arial"/>
        </w:rPr>
        <w:t>6</w:t>
      </w:r>
      <w:r w:rsidR="00E728C8" w:rsidRPr="00E728C8">
        <w:rPr>
          <w:rFonts w:cs="Arial"/>
        </w:rPr>
        <w:t>. Výzva je zaměřená na projekty realizované na území správního obvodu obcí s rozšířenou působností</w:t>
      </w:r>
      <w:r w:rsidR="00DC2385">
        <w:rPr>
          <w:rFonts w:cs="Arial"/>
        </w:rPr>
        <w:t>,</w:t>
      </w:r>
      <w:r w:rsidR="00E728C8" w:rsidRPr="00E728C8">
        <w:rPr>
          <w:rFonts w:cs="Arial"/>
        </w:rPr>
        <w:t xml:space="preserve"> </w:t>
      </w:r>
      <w:r w:rsidR="00A74985" w:rsidRPr="00A74985">
        <w:rPr>
          <w:rFonts w:cs="Arial"/>
        </w:rPr>
        <w:t>na jejichž území se nenachází sociálně vyloučené lokality (dále jen „SVL“).</w:t>
      </w:r>
    </w:p>
    <w:p w:rsidR="00E728C8" w:rsidRPr="00E728C8" w:rsidRDefault="00E728C8" w:rsidP="00E728C8">
      <w:pPr>
        <w:rPr>
          <w:rFonts w:cs="Arial"/>
        </w:rPr>
      </w:pPr>
      <w:r w:rsidRPr="00E728C8">
        <w:rPr>
          <w:rFonts w:cs="Arial"/>
        </w:rPr>
        <w:t>Souča</w:t>
      </w:r>
      <w:r w:rsidR="006A15F8">
        <w:rPr>
          <w:rFonts w:cs="Arial"/>
        </w:rPr>
        <w:t>sně ŘO IROP vyhlašuje</w:t>
      </w:r>
      <w:r w:rsidR="00DE04C4">
        <w:rPr>
          <w:rFonts w:cs="Arial"/>
        </w:rPr>
        <w:t xml:space="preserve"> kolovou</w:t>
      </w:r>
      <w:r w:rsidR="006A15F8">
        <w:rPr>
          <w:rFonts w:cs="Arial"/>
        </w:rPr>
        <w:t xml:space="preserve"> výzvu č. </w:t>
      </w:r>
      <w:r w:rsidR="00A74985">
        <w:rPr>
          <w:rFonts w:cs="Arial"/>
        </w:rPr>
        <w:t>30</w:t>
      </w:r>
      <w:r w:rsidRPr="00E728C8">
        <w:rPr>
          <w:rFonts w:cs="Arial"/>
        </w:rPr>
        <w:t xml:space="preserve"> „</w:t>
      </w:r>
      <w:r w:rsidR="006A15F8">
        <w:rPr>
          <w:rFonts w:cs="Arial"/>
        </w:rPr>
        <w:t>Rozvoj sociálních služeb</w:t>
      </w:r>
      <w:r w:rsidR="00A74985">
        <w:rPr>
          <w:rFonts w:cs="Arial"/>
        </w:rPr>
        <w:t xml:space="preserve"> pro sociálně vyloučené lokality</w:t>
      </w:r>
      <w:r w:rsidRPr="00E728C8">
        <w:rPr>
          <w:rFonts w:cs="Arial"/>
        </w:rPr>
        <w:t xml:space="preserve">“, zaměřenou na projekty realizované na území správního obvodu obcí s rozšířenou působností, na jejichž území se nachází </w:t>
      </w:r>
      <w:r w:rsidR="00DC2385">
        <w:rPr>
          <w:rFonts w:cs="Arial"/>
        </w:rPr>
        <w:t>SVL.</w:t>
      </w:r>
    </w:p>
    <w:p w:rsidR="00563B3E" w:rsidRDefault="00563B3E" w:rsidP="00EA3680">
      <w:pPr>
        <w:rPr>
          <w:rFonts w:cs="Arial"/>
          <w:color w:val="0000FF"/>
          <w:u w:val="single"/>
        </w:rPr>
      </w:pPr>
      <w:r w:rsidRPr="00373882">
        <w:rPr>
          <w:rFonts w:cs="Arial"/>
        </w:rPr>
        <w:t xml:space="preserve">Vyhlášení výzvy je zveřejněno na webových stránkách  </w:t>
      </w:r>
      <w:hyperlink r:id="rId11" w:history="1">
        <w:hyperlink r:id="rId12" w:history="1">
          <w:r w:rsidRPr="00373882">
            <w:rPr>
              <w:color w:val="0000FF"/>
              <w:u w:val="single"/>
            </w:rPr>
            <w:t>www.dotaceeu.cz/cs/Microsites/IROP/Vyzvy-v-IROP</w:t>
          </w:r>
        </w:hyperlink>
        <w:r w:rsidRPr="00373882">
          <w:rPr>
            <w:rFonts w:cs="Arial"/>
            <w:color w:val="0000FF"/>
            <w:u w:val="single"/>
          </w:rPr>
          <w:t>.</w:t>
        </w:r>
      </w:hyperlink>
    </w:p>
    <w:p w:rsidR="001629DE" w:rsidRDefault="001629DE" w:rsidP="00EA3680">
      <w:r w:rsidRPr="00373882">
        <w:t xml:space="preserve">Žádost </w:t>
      </w:r>
      <w:r w:rsidR="00AF624D" w:rsidRPr="00373882">
        <w:t xml:space="preserve">o podporu </w:t>
      </w:r>
      <w:r w:rsidRPr="00373882">
        <w:t xml:space="preserve">se </w:t>
      </w:r>
      <w:r w:rsidR="005B5B46">
        <w:t>podává elektronicky</w:t>
      </w:r>
      <w:r w:rsidR="005B5B46" w:rsidRPr="00373882">
        <w:t xml:space="preserve"> </w:t>
      </w:r>
      <w:r w:rsidR="00913130">
        <w:t xml:space="preserve">v MS2014+ </w:t>
      </w:r>
      <w:r w:rsidR="00AF624D" w:rsidRPr="00373882">
        <w:t>prostřednictvím formuláře</w:t>
      </w:r>
      <w:r w:rsidR="005B5B46">
        <w:t xml:space="preserve">, který naleznete na webových stránkách </w:t>
      </w:r>
      <w:hyperlink r:id="rId13" w:history="1">
        <w:r w:rsidR="00913130" w:rsidRPr="00913130">
          <w:rPr>
            <w:rStyle w:val="Hypertextovodkaz"/>
          </w:rPr>
          <w:t>https://mseu.mssf.cz</w:t>
        </w:r>
      </w:hyperlink>
      <w:r w:rsidR="00913130">
        <w:t xml:space="preserve">. Postup pro podání žádosti a příloh v MS2014+ je uveden v příloze </w:t>
      </w:r>
      <w:proofErr w:type="gramStart"/>
      <w:r w:rsidR="00913130">
        <w:t>č. 1 těchto</w:t>
      </w:r>
      <w:proofErr w:type="gramEnd"/>
      <w:r w:rsidR="00913130">
        <w:t xml:space="preserve"> Pravidel.</w:t>
      </w:r>
      <w:r w:rsidR="00AF624D" w:rsidRPr="00373882">
        <w:t xml:space="preserve"> </w:t>
      </w:r>
    </w:p>
    <w:tbl>
      <w:tblPr>
        <w:tblStyle w:val="Mkatabulky"/>
        <w:tblW w:w="0" w:type="auto"/>
        <w:tblLook w:val="04A0" w:firstRow="1" w:lastRow="0" w:firstColumn="1" w:lastColumn="0" w:noHBand="0" w:noVBand="1"/>
      </w:tblPr>
      <w:tblGrid>
        <w:gridCol w:w="9218"/>
      </w:tblGrid>
      <w:tr w:rsidR="00472A0B" w:rsidRPr="00B646EF" w:rsidTr="0021440F">
        <w:tc>
          <w:tcPr>
            <w:tcW w:w="9218" w:type="dxa"/>
          </w:tcPr>
          <w:p w:rsidR="00472A0B" w:rsidRPr="00E14764" w:rsidRDefault="00472A0B" w:rsidP="00EA3680">
            <w:pPr>
              <w:spacing w:after="200"/>
              <w:rPr>
                <w:b/>
                <w:lang w:val="cs-CZ"/>
              </w:rPr>
            </w:pPr>
            <w:r w:rsidRPr="00E14764">
              <w:rPr>
                <w:b/>
                <w:lang w:val="cs-CZ"/>
              </w:rPr>
              <w:t>UPOZORNĚNÍ</w:t>
            </w:r>
          </w:p>
          <w:p w:rsidR="00646FDA" w:rsidRPr="005A6F9F" w:rsidRDefault="00646FDA" w:rsidP="005A6F9F">
            <w:pPr>
              <w:spacing w:after="200"/>
            </w:pPr>
            <w:r w:rsidRPr="005A6F9F">
              <w:t xml:space="preserve">Datum </w:t>
            </w:r>
            <w:r w:rsidRPr="005A6F9F">
              <w:rPr>
                <w:lang w:val="cs-CZ"/>
              </w:rPr>
              <w:t xml:space="preserve">zahájení </w:t>
            </w:r>
            <w:proofErr w:type="gramStart"/>
            <w:r w:rsidRPr="005A6F9F">
              <w:rPr>
                <w:lang w:val="cs-CZ"/>
              </w:rPr>
              <w:t>a</w:t>
            </w:r>
            <w:proofErr w:type="gramEnd"/>
            <w:r w:rsidRPr="005A6F9F">
              <w:rPr>
                <w:lang w:val="cs-CZ"/>
              </w:rPr>
              <w:t xml:space="preserve"> ukončení příjmu žádostí o podporu je uveden</w:t>
            </w:r>
            <w:r w:rsidR="00DE04C4">
              <w:rPr>
                <w:lang w:val="cs-CZ"/>
              </w:rPr>
              <w:t>o</w:t>
            </w:r>
            <w:r w:rsidRPr="005A6F9F">
              <w:rPr>
                <w:lang w:val="cs-CZ"/>
              </w:rPr>
              <w:t xml:space="preserve"> v textu výzvy</w:t>
            </w:r>
            <w:r w:rsidRPr="005A6F9F">
              <w:t>.</w:t>
            </w:r>
          </w:p>
          <w:p w:rsidR="00472A0B" w:rsidRDefault="00472A0B" w:rsidP="005A6F9F">
            <w:pPr>
              <w:spacing w:after="200"/>
              <w:rPr>
                <w:lang w:val="cs-CZ"/>
              </w:rPr>
            </w:pPr>
            <w:r w:rsidRPr="00E14764">
              <w:rPr>
                <w:lang w:val="cs-CZ"/>
              </w:rPr>
              <w:t>K žádosti o podporu je potřeba mít zřízený elektronický podpis.</w:t>
            </w:r>
          </w:p>
          <w:p w:rsidR="000E2780" w:rsidRPr="00C52A79" w:rsidRDefault="000E2780" w:rsidP="000E2780">
            <w:pPr>
              <w:spacing w:after="200"/>
              <w:rPr>
                <w:bCs/>
                <w:color w:val="1F497D"/>
                <w:lang w:val="cs-CZ"/>
              </w:rPr>
            </w:pPr>
          </w:p>
        </w:tc>
      </w:tr>
    </w:tbl>
    <w:p w:rsidR="00472A0B" w:rsidRDefault="0010467C" w:rsidP="003F42DC">
      <w:pPr>
        <w:tabs>
          <w:tab w:val="left" w:pos="2505"/>
        </w:tabs>
      </w:pPr>
      <w:r>
        <w:tab/>
      </w:r>
    </w:p>
    <w:p w:rsidR="005A6F9F" w:rsidRDefault="005A6F9F" w:rsidP="005A6F9F">
      <w:pPr>
        <w:rPr>
          <w:rFonts w:cs="Arial"/>
          <w:b/>
        </w:rPr>
      </w:pPr>
      <w:r w:rsidRPr="00CB13B8">
        <w:rPr>
          <w:rFonts w:cs="Arial"/>
          <w:b/>
        </w:rPr>
        <w:t>Oprávněnými žadatel</w:t>
      </w:r>
      <w:r>
        <w:rPr>
          <w:rFonts w:cs="Arial"/>
          <w:b/>
        </w:rPr>
        <w:t>i v této výzvě jsou:</w:t>
      </w:r>
    </w:p>
    <w:p w:rsidR="009A516E" w:rsidRPr="00373882" w:rsidRDefault="009A516E" w:rsidP="009A516E">
      <w:pPr>
        <w:pStyle w:val="Odstavecseseznamem"/>
        <w:numPr>
          <w:ilvl w:val="0"/>
          <w:numId w:val="3"/>
        </w:numPr>
      </w:pPr>
      <w:r w:rsidRPr="00373882">
        <w:t>kraje (zákon č. 129/2000 Sb., o krajích, ve znění pozdějších předpisů, zákon č. 250/2000 Sb., o rozpočtových pravidlech územních rozpočtů, ve znění pozdějších předpisů),</w:t>
      </w:r>
    </w:p>
    <w:p w:rsidR="009A516E" w:rsidRPr="00373882" w:rsidRDefault="009A516E" w:rsidP="009A516E">
      <w:pPr>
        <w:pStyle w:val="Odstavecseseznamem"/>
        <w:numPr>
          <w:ilvl w:val="0"/>
          <w:numId w:val="3"/>
        </w:numPr>
      </w:pPr>
      <w:r w:rsidRPr="00373882">
        <w:t>obce (zákon č. 128/2000 Sb., o obcích, ve znění pozdějších předpisů, zákon č. 250/2000 Sb., o rozpočtových pravidlech územních rozpočtů, ve znění pozdějších předpisů),</w:t>
      </w:r>
    </w:p>
    <w:p w:rsidR="009A516E" w:rsidRPr="00373882" w:rsidRDefault="009A516E" w:rsidP="009A516E">
      <w:pPr>
        <w:pStyle w:val="Odstavecseseznamem"/>
        <w:numPr>
          <w:ilvl w:val="0"/>
          <w:numId w:val="3"/>
        </w:numPr>
      </w:pPr>
      <w:r w:rsidRPr="00373882">
        <w:t xml:space="preserve">organizace zřizované kraji, </w:t>
      </w:r>
    </w:p>
    <w:p w:rsidR="009A516E" w:rsidRPr="00373882" w:rsidRDefault="009A516E" w:rsidP="009A516E">
      <w:pPr>
        <w:pStyle w:val="Odstavecseseznamem"/>
        <w:numPr>
          <w:ilvl w:val="0"/>
          <w:numId w:val="3"/>
        </w:numPr>
      </w:pPr>
      <w:r w:rsidRPr="00373882">
        <w:t>organizace zakládané kraji,</w:t>
      </w:r>
    </w:p>
    <w:p w:rsidR="009A516E" w:rsidRPr="00373882" w:rsidRDefault="009A516E" w:rsidP="009A516E">
      <w:pPr>
        <w:pStyle w:val="Odstavecseseznamem"/>
        <w:numPr>
          <w:ilvl w:val="0"/>
          <w:numId w:val="3"/>
        </w:numPr>
      </w:pPr>
      <w:r w:rsidRPr="00373882">
        <w:t>organizace zřizované obcemi,</w:t>
      </w:r>
    </w:p>
    <w:p w:rsidR="009A516E" w:rsidRDefault="009A516E" w:rsidP="009A516E">
      <w:pPr>
        <w:pStyle w:val="Odstavecseseznamem"/>
        <w:numPr>
          <w:ilvl w:val="0"/>
          <w:numId w:val="3"/>
        </w:numPr>
      </w:pPr>
      <w:r w:rsidRPr="00373882">
        <w:t>organizace zakládané obcemi,</w:t>
      </w:r>
    </w:p>
    <w:p w:rsidR="009A516E" w:rsidRDefault="009A516E" w:rsidP="009A516E">
      <w:pPr>
        <w:pStyle w:val="Odstavecseseznamem"/>
        <w:numPr>
          <w:ilvl w:val="0"/>
          <w:numId w:val="3"/>
        </w:numPr>
      </w:pPr>
      <w:r>
        <w:t>dobrovolné svazky obcí,</w:t>
      </w:r>
    </w:p>
    <w:p w:rsidR="009A516E" w:rsidRDefault="009A516E" w:rsidP="009A516E">
      <w:pPr>
        <w:pStyle w:val="Odstavecseseznamem"/>
        <w:numPr>
          <w:ilvl w:val="0"/>
          <w:numId w:val="3"/>
        </w:numPr>
      </w:pPr>
      <w:r>
        <w:t>organizace zřizované dobrovolnými svazky obcí,</w:t>
      </w:r>
    </w:p>
    <w:p w:rsidR="009A516E" w:rsidRPr="00373882" w:rsidRDefault="009A516E" w:rsidP="009A516E">
      <w:pPr>
        <w:pStyle w:val="Odstavecseseznamem"/>
        <w:numPr>
          <w:ilvl w:val="0"/>
          <w:numId w:val="3"/>
        </w:numPr>
      </w:pPr>
      <w:r>
        <w:t>organizace zakládané dobrovolnými svazky obcí,</w:t>
      </w:r>
    </w:p>
    <w:p w:rsidR="009A516E" w:rsidRDefault="009A516E" w:rsidP="009A516E">
      <w:pPr>
        <w:pStyle w:val="Odstavecseseznamem"/>
        <w:numPr>
          <w:ilvl w:val="0"/>
          <w:numId w:val="3"/>
        </w:numPr>
      </w:pPr>
      <w:r w:rsidRPr="00373882">
        <w:t>organizační složky státu</w:t>
      </w:r>
      <w:r>
        <w:t xml:space="preserve"> (dále jen „OSS“),</w:t>
      </w:r>
    </w:p>
    <w:p w:rsidR="009A516E" w:rsidRPr="00373882" w:rsidRDefault="009A516E" w:rsidP="009A516E">
      <w:pPr>
        <w:pStyle w:val="Odstavecseseznamem"/>
        <w:numPr>
          <w:ilvl w:val="0"/>
          <w:numId w:val="3"/>
        </w:numPr>
      </w:pPr>
      <w:r w:rsidRPr="00373882">
        <w:t>příspěvkové organizace organizačních složek státu</w:t>
      </w:r>
      <w:r>
        <w:t xml:space="preserve"> (dále jen „PO OSS“)</w:t>
      </w:r>
      <w:r w:rsidRPr="00373882">
        <w:t>,</w:t>
      </w:r>
    </w:p>
    <w:p w:rsidR="009A516E" w:rsidRPr="00373882" w:rsidRDefault="009A516E" w:rsidP="009A516E">
      <w:pPr>
        <w:pStyle w:val="Odstavecseseznamem"/>
        <w:numPr>
          <w:ilvl w:val="0"/>
          <w:numId w:val="3"/>
        </w:numPr>
      </w:pPr>
      <w:r w:rsidRPr="00373882">
        <w:lastRenderedPageBreak/>
        <w:t>nestátní neziskové organizace,</w:t>
      </w:r>
    </w:p>
    <w:p w:rsidR="009A516E" w:rsidRDefault="009A516E" w:rsidP="009A516E">
      <w:pPr>
        <w:pStyle w:val="Odstavecseseznamem"/>
        <w:numPr>
          <w:ilvl w:val="0"/>
          <w:numId w:val="3"/>
        </w:numPr>
      </w:pPr>
      <w:r w:rsidRPr="00373882">
        <w:t>církve,</w:t>
      </w:r>
    </w:p>
    <w:p w:rsidR="009A516E" w:rsidRDefault="009A516E" w:rsidP="009A516E">
      <w:pPr>
        <w:pStyle w:val="Odstavecseseznamem"/>
        <w:numPr>
          <w:ilvl w:val="0"/>
          <w:numId w:val="3"/>
        </w:numPr>
      </w:pPr>
      <w:r w:rsidRPr="00373882">
        <w:t>církevní organizace</w:t>
      </w:r>
      <w:r w:rsidR="00DC2385">
        <w:t>.</w:t>
      </w:r>
    </w:p>
    <w:tbl>
      <w:tblPr>
        <w:tblStyle w:val="Mkatabulky"/>
        <w:tblW w:w="0" w:type="auto"/>
        <w:tblLook w:val="04A0" w:firstRow="1" w:lastRow="0" w:firstColumn="1" w:lastColumn="0" w:noHBand="0" w:noVBand="1"/>
      </w:tblPr>
      <w:tblGrid>
        <w:gridCol w:w="9218"/>
      </w:tblGrid>
      <w:tr w:rsidR="0028013A" w:rsidRPr="00B646EF" w:rsidTr="0002396B">
        <w:tc>
          <w:tcPr>
            <w:tcW w:w="9218" w:type="dxa"/>
          </w:tcPr>
          <w:p w:rsidR="0028013A" w:rsidRPr="009A21F7" w:rsidRDefault="0028013A" w:rsidP="0002396B">
            <w:pPr>
              <w:rPr>
                <w:b/>
                <w:lang w:val="cs-CZ"/>
              </w:rPr>
            </w:pPr>
            <w:r w:rsidRPr="009A21F7">
              <w:rPr>
                <w:b/>
                <w:lang w:val="cs-CZ"/>
              </w:rPr>
              <w:t>UPOZORNĚNÍ</w:t>
            </w:r>
          </w:p>
          <w:p w:rsidR="0028013A" w:rsidRPr="009A21F7" w:rsidRDefault="0028013A" w:rsidP="0002396B">
            <w:pPr>
              <w:rPr>
                <w:lang w:val="cs-CZ"/>
              </w:rPr>
            </w:pPr>
          </w:p>
          <w:p w:rsidR="0028013A" w:rsidRPr="009A21F7" w:rsidRDefault="0028013A" w:rsidP="0002396B">
            <w:pPr>
              <w:spacing w:after="200"/>
              <w:rPr>
                <w:b/>
                <w:lang w:val="cs-CZ"/>
              </w:rPr>
            </w:pPr>
            <w:r w:rsidRPr="009A21F7">
              <w:rPr>
                <w:b/>
                <w:lang w:val="cs-CZ"/>
              </w:rPr>
              <w:t xml:space="preserve">Nestátní neziskové organizace, církve a církevní organizace </w:t>
            </w:r>
            <w:r w:rsidR="00F76554">
              <w:rPr>
                <w:b/>
                <w:lang w:val="cs-CZ"/>
              </w:rPr>
              <w:t xml:space="preserve">musí </w:t>
            </w:r>
            <w:r w:rsidR="00F76554" w:rsidRPr="009A21F7">
              <w:rPr>
                <w:b/>
                <w:lang w:val="cs-CZ"/>
              </w:rPr>
              <w:t>vykoná</w:t>
            </w:r>
            <w:r w:rsidR="00F76554">
              <w:rPr>
                <w:b/>
                <w:lang w:val="cs-CZ"/>
              </w:rPr>
              <w:t>vat</w:t>
            </w:r>
            <w:r w:rsidR="00F76554" w:rsidRPr="009A21F7">
              <w:rPr>
                <w:b/>
                <w:lang w:val="cs-CZ"/>
              </w:rPr>
              <w:t xml:space="preserve"> </w:t>
            </w:r>
            <w:r w:rsidRPr="009A21F7">
              <w:rPr>
                <w:b/>
                <w:lang w:val="cs-CZ"/>
              </w:rPr>
              <w:t>činnost v jedné z oblastí:</w:t>
            </w:r>
          </w:p>
          <w:p w:rsidR="0028013A" w:rsidRPr="009A21F7" w:rsidRDefault="0028013A" w:rsidP="0002396B">
            <w:pPr>
              <w:pStyle w:val="Odstavecseseznamem"/>
              <w:numPr>
                <w:ilvl w:val="0"/>
                <w:numId w:val="41"/>
              </w:numPr>
              <w:rPr>
                <w:b/>
                <w:lang w:val="cs-CZ"/>
              </w:rPr>
            </w:pPr>
            <w:r w:rsidRPr="009A21F7">
              <w:rPr>
                <w:b/>
                <w:lang w:val="cs-CZ"/>
              </w:rPr>
              <w:t xml:space="preserve">podpora nebo ochrana osob se zdravotním postižením a znevýhodněných osob, </w:t>
            </w:r>
          </w:p>
          <w:p w:rsidR="0028013A" w:rsidRPr="009A21F7" w:rsidRDefault="0028013A" w:rsidP="0002396B">
            <w:pPr>
              <w:pStyle w:val="Odstavecseseznamem"/>
              <w:numPr>
                <w:ilvl w:val="0"/>
                <w:numId w:val="41"/>
              </w:numPr>
              <w:rPr>
                <w:b/>
                <w:lang w:val="cs-CZ"/>
              </w:rPr>
            </w:pPr>
            <w:r w:rsidRPr="009A21F7">
              <w:rPr>
                <w:b/>
                <w:lang w:val="cs-CZ"/>
              </w:rPr>
              <w:t>sociální služby</w:t>
            </w:r>
            <w:r w:rsidR="00670890">
              <w:rPr>
                <w:b/>
                <w:lang w:val="cs-CZ"/>
              </w:rPr>
              <w:t>,</w:t>
            </w:r>
            <w:r w:rsidRPr="009A21F7">
              <w:rPr>
                <w:b/>
                <w:lang w:val="cs-CZ"/>
              </w:rPr>
              <w:t xml:space="preserve"> </w:t>
            </w:r>
          </w:p>
          <w:p w:rsidR="0028013A" w:rsidRDefault="0028013A" w:rsidP="0002396B">
            <w:pPr>
              <w:pStyle w:val="Odstavecseseznamem"/>
              <w:numPr>
                <w:ilvl w:val="0"/>
                <w:numId w:val="41"/>
              </w:numPr>
              <w:rPr>
                <w:b/>
                <w:lang w:val="cs-CZ"/>
              </w:rPr>
            </w:pPr>
            <w:r w:rsidRPr="009A21F7">
              <w:rPr>
                <w:b/>
                <w:lang w:val="cs-CZ"/>
              </w:rPr>
              <w:t>aktivity sociálního začleňování</w:t>
            </w:r>
            <w:r>
              <w:rPr>
                <w:b/>
                <w:lang w:val="cs-CZ"/>
              </w:rPr>
              <w:t>.</w:t>
            </w:r>
          </w:p>
          <w:p w:rsidR="0028013A" w:rsidRPr="009A21F7" w:rsidRDefault="0028013A" w:rsidP="0002396B">
            <w:pPr>
              <w:pStyle w:val="Odstavecseseznamem"/>
              <w:rPr>
                <w:b/>
                <w:lang w:val="cs-CZ"/>
              </w:rPr>
            </w:pPr>
          </w:p>
          <w:p w:rsidR="0028013A" w:rsidRPr="004B2F6E" w:rsidRDefault="0028013A" w:rsidP="0002396B">
            <w:pPr>
              <w:spacing w:after="200"/>
              <w:rPr>
                <w:lang w:val="cs-CZ"/>
              </w:rPr>
            </w:pPr>
            <w:r>
              <w:rPr>
                <w:lang w:val="cs-CZ"/>
              </w:rPr>
              <w:t>Účelem hlavní činnosti není vytváření zisku.</w:t>
            </w:r>
          </w:p>
        </w:tc>
      </w:tr>
    </w:tbl>
    <w:p w:rsidR="0028013A" w:rsidRDefault="0028013A" w:rsidP="0028013A"/>
    <w:p w:rsidR="0028013A" w:rsidRDefault="00795BF4" w:rsidP="0028013A">
      <w:r>
        <w:t>Výše uvedené o</w:t>
      </w:r>
      <w:r w:rsidR="0028013A">
        <w:t xml:space="preserve">bchodní korporace a obecně prospěšné společnosti uvedou v MS2014+ </w:t>
      </w:r>
      <w:r w:rsidR="0028013A" w:rsidRPr="00392941">
        <w:t xml:space="preserve">(viz </w:t>
      </w:r>
      <w:r w:rsidR="0028013A" w:rsidRPr="00964A3D">
        <w:t xml:space="preserve">příloha </w:t>
      </w:r>
      <w:proofErr w:type="gramStart"/>
      <w:r w:rsidR="0028013A" w:rsidRPr="001C5E32">
        <w:t>č.</w:t>
      </w:r>
      <w:r w:rsidR="007A06E0">
        <w:t xml:space="preserve"> </w:t>
      </w:r>
      <w:r w:rsidR="0028013A" w:rsidRPr="001C5E32">
        <w:t>1 Pravidel</w:t>
      </w:r>
      <w:proofErr w:type="gramEnd"/>
      <w:r w:rsidR="0028013A" w:rsidRPr="00964A3D">
        <w:t>) v souladu se zákonem č. 218/2000 Sb., o rozpočtových pravidlech, a o změně souvisejících zákonů (rozpočtová pravidla) ve znění pozdějších předpisů, informace</w:t>
      </w:r>
      <w:r w:rsidR="0028013A">
        <w:t xml:space="preserve"> o své vlastnické a ovládací struktuře v rozsahu </w:t>
      </w:r>
      <w:r w:rsidR="0028013A">
        <w:rPr>
          <w:lang w:val="en-US"/>
        </w:rPr>
        <w:t xml:space="preserve">§ </w:t>
      </w:r>
      <w:r w:rsidR="0028013A">
        <w:t>14 odst. 3 písm. e) rozpočtových pravidel. V žádosti uvedou:</w:t>
      </w:r>
    </w:p>
    <w:p w:rsidR="0028013A" w:rsidRDefault="0028013A" w:rsidP="0076468A">
      <w:pPr>
        <w:pStyle w:val="Odstavecseseznamem"/>
        <w:numPr>
          <w:ilvl w:val="0"/>
          <w:numId w:val="82"/>
        </w:numPr>
      </w:pPr>
      <w:r>
        <w:t>osoby s podílem v právnické osobě žadatele; ž</w:t>
      </w:r>
      <w:r w:rsidRPr="00392941">
        <w:t>adatel mající právní formu obchodní společnosti uvede seznam osob mající ke dni podá</w:t>
      </w:r>
      <w:r>
        <w:t>ní žádosti podíl vyšší než 10 %,</w:t>
      </w:r>
    </w:p>
    <w:p w:rsidR="0028013A" w:rsidRDefault="00A00738" w:rsidP="0028013A">
      <w:pPr>
        <w:pStyle w:val="Odstavecseseznamem"/>
        <w:ind w:left="567" w:hanging="207"/>
      </w:pPr>
      <w:r>
        <w:t>2</w:t>
      </w:r>
      <w:r w:rsidR="0028013A">
        <w:t>)</w:t>
      </w:r>
      <w:r w:rsidR="0028013A">
        <w:rPr>
          <w:rFonts w:ascii="Times New Roman" w:hAnsi="Times New Roman"/>
          <w:sz w:val="14"/>
          <w:szCs w:val="14"/>
        </w:rPr>
        <w:t xml:space="preserve">      </w:t>
      </w:r>
      <w:r w:rsidR="0028013A">
        <w:t>osoby, v nichž má žadatel podíl.</w:t>
      </w:r>
    </w:p>
    <w:p w:rsidR="005A6F9F" w:rsidRDefault="005A6F9F" w:rsidP="00EA3680">
      <w:r w:rsidRPr="00373882">
        <w:t>Minimální výše celkových způsobilých výdajů</w:t>
      </w:r>
      <w:r>
        <w:t xml:space="preserve"> na jeden projekt</w:t>
      </w:r>
      <w:r w:rsidRPr="00373882">
        <w:t xml:space="preserve">: </w:t>
      </w:r>
    </w:p>
    <w:p w:rsidR="005A6F9F" w:rsidRPr="00373882" w:rsidRDefault="005A6F9F" w:rsidP="005A6F9F">
      <w:pPr>
        <w:pStyle w:val="Odstavecseseznamem"/>
        <w:numPr>
          <w:ilvl w:val="0"/>
          <w:numId w:val="76"/>
        </w:numPr>
      </w:pPr>
      <w:r w:rsidRPr="005A6F9F">
        <w:rPr>
          <w:b/>
        </w:rPr>
        <w:t>500 000 Kč</w:t>
      </w:r>
    </w:p>
    <w:p w:rsidR="005A6F9F" w:rsidRDefault="00EF4DEA" w:rsidP="00EA3680">
      <w:r w:rsidRPr="00373882">
        <w:t xml:space="preserve">Maximální výše celkových způsobilých </w:t>
      </w:r>
      <w:r w:rsidRPr="00964A3D">
        <w:t>výdajů</w:t>
      </w:r>
      <w:r w:rsidR="005A6F9F">
        <w:t xml:space="preserve"> na jeden projekt</w:t>
      </w:r>
      <w:r w:rsidR="001629DE" w:rsidRPr="00964A3D">
        <w:t xml:space="preserve">: </w:t>
      </w:r>
    </w:p>
    <w:p w:rsidR="00EF4DEA" w:rsidRPr="00373882" w:rsidRDefault="005031E9" w:rsidP="005A6F9F">
      <w:pPr>
        <w:pStyle w:val="Odstavecseseznamem"/>
        <w:numPr>
          <w:ilvl w:val="0"/>
          <w:numId w:val="76"/>
        </w:numPr>
      </w:pPr>
      <w:r w:rsidRPr="005A6F9F">
        <w:rPr>
          <w:b/>
        </w:rPr>
        <w:t>6</w:t>
      </w:r>
      <w:r w:rsidR="00AD73A2" w:rsidRPr="005A6F9F">
        <w:rPr>
          <w:b/>
        </w:rPr>
        <w:t>0 000 000 Kč</w:t>
      </w:r>
    </w:p>
    <w:tbl>
      <w:tblPr>
        <w:tblStyle w:val="Mkatabulky"/>
        <w:tblW w:w="0" w:type="auto"/>
        <w:tblLook w:val="04A0" w:firstRow="1" w:lastRow="0" w:firstColumn="1" w:lastColumn="0" w:noHBand="0" w:noVBand="1"/>
      </w:tblPr>
      <w:tblGrid>
        <w:gridCol w:w="9218"/>
      </w:tblGrid>
      <w:tr w:rsidR="005E3DAA" w:rsidRPr="00B646EF" w:rsidTr="005E3DAA">
        <w:tc>
          <w:tcPr>
            <w:tcW w:w="9218" w:type="dxa"/>
          </w:tcPr>
          <w:p w:rsidR="005E3DAA" w:rsidRPr="00E14764" w:rsidRDefault="005E3DAA" w:rsidP="005E3DAA">
            <w:pPr>
              <w:spacing w:after="200"/>
              <w:rPr>
                <w:b/>
                <w:lang w:val="cs-CZ"/>
              </w:rPr>
            </w:pPr>
            <w:r w:rsidRPr="00E14764">
              <w:rPr>
                <w:b/>
                <w:lang w:val="cs-CZ"/>
              </w:rPr>
              <w:t>UPOZORNĚNÍ</w:t>
            </w:r>
          </w:p>
          <w:p w:rsidR="001032B5" w:rsidRPr="0024700C" w:rsidRDefault="001032B5" w:rsidP="001032B5">
            <w:pPr>
              <w:autoSpaceDE w:val="0"/>
              <w:autoSpaceDN w:val="0"/>
              <w:adjustRightInd w:val="0"/>
              <w:rPr>
                <w:rFonts w:eastAsiaTheme="minorHAnsi" w:cs="Cambria"/>
                <w:lang w:val="cs-CZ" w:eastAsia="en-US"/>
              </w:rPr>
            </w:pPr>
            <w:r w:rsidRPr="0024700C">
              <w:rPr>
                <w:rFonts w:eastAsiaTheme="minorHAnsi" w:cs="Cambria"/>
                <w:lang w:val="cs-CZ" w:eastAsia="en-US"/>
              </w:rPr>
              <w:t xml:space="preserve">Pokud v průběhu realizace projektu dojde při výběrovém nebo zadávacím řízení na dodavatele ke snížení celkových způsobilých výdajů projektu pod 1 000 000 Kč, nepovažuje se to za porušení kritéria přijatelnosti a podmínek výzvy. Jedná se o změnu v projektu, v případě které žadatel/příjemce postupuje v souladu s kap. 16 Obecných pravidel. </w:t>
            </w:r>
          </w:p>
          <w:p w:rsidR="005E3DAA" w:rsidRPr="005E3DAA" w:rsidRDefault="005E3DAA" w:rsidP="00782443">
            <w:pPr>
              <w:rPr>
                <w:lang w:val="cs-CZ"/>
              </w:rPr>
            </w:pPr>
          </w:p>
        </w:tc>
      </w:tr>
    </w:tbl>
    <w:p w:rsidR="005E3DAA" w:rsidRDefault="005E3DAA" w:rsidP="00EA3680">
      <w:pPr>
        <w:rPr>
          <w:b/>
        </w:rPr>
      </w:pPr>
    </w:p>
    <w:p w:rsidR="008A19F9" w:rsidRPr="009F1474" w:rsidRDefault="008A19F9" w:rsidP="00EA3680">
      <w:pPr>
        <w:rPr>
          <w:b/>
        </w:rPr>
      </w:pPr>
      <w:r w:rsidRPr="009F1474">
        <w:rPr>
          <w:b/>
        </w:rPr>
        <w:t>Datum zahájení realizace projektu</w:t>
      </w:r>
    </w:p>
    <w:p w:rsidR="001542BE" w:rsidRPr="00115777" w:rsidRDefault="001542BE" w:rsidP="00B0146F">
      <w:pPr>
        <w:spacing w:after="0"/>
        <w:jc w:val="left"/>
        <w:rPr>
          <w:rFonts w:ascii="Arial" w:eastAsia="Calibri" w:hAnsi="Arial" w:cs="Arial"/>
          <w:noProof/>
          <w:sz w:val="20"/>
          <w:szCs w:val="20"/>
          <w:lang w:eastAsia="cs-CZ"/>
        </w:rPr>
      </w:pPr>
      <w:r w:rsidRPr="00B0146F">
        <w:t>Nejdříve 1. 1. 2014, podrobnosti stanoví výzva</w:t>
      </w:r>
      <w:r w:rsidRPr="00115777">
        <w:rPr>
          <w:rFonts w:ascii="Arial" w:eastAsia="Calibri" w:hAnsi="Arial" w:cs="Arial"/>
          <w:noProof/>
          <w:sz w:val="20"/>
          <w:szCs w:val="20"/>
          <w:lang w:eastAsia="cs-CZ"/>
        </w:rPr>
        <w:t>.</w:t>
      </w:r>
    </w:p>
    <w:p w:rsidR="00616525" w:rsidRDefault="00616525" w:rsidP="00EA3680"/>
    <w:p w:rsidR="0024700C" w:rsidRDefault="0024700C" w:rsidP="00EA3680">
      <w:pPr>
        <w:rPr>
          <w:b/>
        </w:rPr>
      </w:pPr>
    </w:p>
    <w:p w:rsidR="008A19F9" w:rsidRPr="009F1474" w:rsidRDefault="008A19F9" w:rsidP="00EA3680">
      <w:pPr>
        <w:rPr>
          <w:b/>
        </w:rPr>
      </w:pPr>
      <w:r w:rsidRPr="009F1474">
        <w:rPr>
          <w:b/>
        </w:rPr>
        <w:lastRenderedPageBreak/>
        <w:t>Datum ukončení realizace projektu</w:t>
      </w:r>
    </w:p>
    <w:p w:rsidR="008A19F9" w:rsidRPr="00373882" w:rsidRDefault="008A19F9" w:rsidP="00EA3680">
      <w:r w:rsidRPr="00373882">
        <w:t>Ukončení realizace projektu znamená prokazatelné uzavření všech aktivit projektu. Tuto skutečnost je třeba doložit kromě vlastních výstupů projektu fotodokumentací a protokolem o předání a převzetí díla. Datum podepsání protokolu o předání a převzetí díla (včetně odstranění vad a nedodělků bránících užívání díla) nesmí překročit termín ukončení realizace projektu uvedený v právním aktu, tj. Rozhodnutí  o poskytnutí dotace (dále jen „Rozhodnutí“) a Stanovení výdajů na financování akce OSS (dále jen „Stanovení výdajů“).</w:t>
      </w:r>
      <w:r w:rsidR="00120291">
        <w:t xml:space="preserve"> </w:t>
      </w:r>
      <w:r w:rsidR="00120291" w:rsidRPr="00120291">
        <w:t>Pokud není k datu ukončení realizace projektu vydán kolaudační souhlas, musí být doložen s první zprávou o udržitelnosti projektu, případně se zprávou o udržitelnosti projektu následující po ukončení zkušebního provozu stavby.</w:t>
      </w:r>
    </w:p>
    <w:p w:rsidR="00373882" w:rsidRDefault="008A19F9" w:rsidP="00EA3680">
      <w:r w:rsidRPr="00373882">
        <w:t xml:space="preserve">Realizace projektu musí být ukončena nejpozději </w:t>
      </w:r>
      <w:r w:rsidR="009A516E">
        <w:t xml:space="preserve">do </w:t>
      </w:r>
      <w:r w:rsidRPr="00373882">
        <w:rPr>
          <w:b/>
        </w:rPr>
        <w:t xml:space="preserve">31. 12. 2021. </w:t>
      </w:r>
      <w:r w:rsidRPr="00373882">
        <w:t xml:space="preserve">Realizace projektu může být rozdělena na etapy. Etapa nesmí být kratší než tři měsíce. </w:t>
      </w:r>
      <w:r w:rsidR="001559FA" w:rsidRPr="001559FA">
        <w:t xml:space="preserve">K problematice etap více v kapitole 3.9 v příloze </w:t>
      </w:r>
      <w:proofErr w:type="gramStart"/>
      <w:r w:rsidR="001559FA" w:rsidRPr="001559FA">
        <w:t>č. 1 těchto</w:t>
      </w:r>
      <w:proofErr w:type="gramEnd"/>
      <w:r w:rsidR="001559FA" w:rsidRPr="001559FA">
        <w:t xml:space="preserve"> Pravidel.</w:t>
      </w:r>
    </w:p>
    <w:p w:rsidR="00D3758D" w:rsidRDefault="00D3758D" w:rsidP="0076468A">
      <w:pPr>
        <w:pStyle w:val="Pravidla11"/>
        <w:spacing w:after="0"/>
      </w:pPr>
      <w:bookmarkStart w:id="5" w:name="_Toc455143126"/>
      <w:r>
        <w:t>Podporované aktivity</w:t>
      </w:r>
      <w:bookmarkEnd w:id="5"/>
    </w:p>
    <w:p w:rsidR="007A06E0" w:rsidRDefault="007A06E0" w:rsidP="00EA3680">
      <w:pPr>
        <w:rPr>
          <w:b/>
          <w:lang w:eastAsia="cs-CZ"/>
        </w:rPr>
      </w:pPr>
    </w:p>
    <w:p w:rsidR="003C4DCB" w:rsidRPr="001C5E32" w:rsidRDefault="00933DBB" w:rsidP="00EA3680">
      <w:pPr>
        <w:rPr>
          <w:b/>
          <w:lang w:eastAsia="cs-CZ"/>
        </w:rPr>
      </w:pPr>
      <w:r w:rsidRPr="001C5E32">
        <w:rPr>
          <w:b/>
          <w:lang w:eastAsia="cs-CZ"/>
        </w:rPr>
        <w:t>Infrastruktura pro dostupnost a rozvoj sociální služby</w:t>
      </w:r>
    </w:p>
    <w:p w:rsidR="00964A3D" w:rsidRDefault="00401A72" w:rsidP="00401A72">
      <w:pPr>
        <w:spacing w:after="0"/>
        <w:rPr>
          <w:rFonts w:ascii="Cambria" w:hAnsi="Cambria"/>
        </w:rPr>
      </w:pPr>
      <w:r w:rsidRPr="00401481">
        <w:rPr>
          <w:rFonts w:ascii="Cambria" w:eastAsia="Times New Roman" w:hAnsi="Cambria"/>
          <w:lang w:eastAsia="cs-CZ"/>
        </w:rPr>
        <w:t>Podporován bude nákup</w:t>
      </w:r>
      <w:r w:rsidR="003E107F">
        <w:rPr>
          <w:rFonts w:ascii="Cambria" w:eastAsia="Times New Roman" w:hAnsi="Cambria"/>
          <w:lang w:eastAsia="cs-CZ"/>
        </w:rPr>
        <w:t>, rekonstrukce, či výstavba</w:t>
      </w:r>
      <w:r w:rsidRPr="00401481">
        <w:rPr>
          <w:rFonts w:ascii="Cambria" w:eastAsia="Times New Roman" w:hAnsi="Cambria"/>
          <w:lang w:eastAsia="cs-CZ"/>
        </w:rPr>
        <w:t xml:space="preserve"> objektů, zařízení a vybavení a stavební úpravy, které vytvoří podmínky pro kvalitní poskytování sociálních služeb, obnovu a zkvalitnění materiálně technické základny stávajících služeb sociální práce s cílovými skupinami. Sociální služby jsou definovány zákonem č. 108/2006 Sb., o sociálních službách ve znění pozdějších předpisů.</w:t>
      </w:r>
      <w:r w:rsidR="00964C2C" w:rsidRPr="00401481">
        <w:rPr>
          <w:rFonts w:ascii="Cambria" w:hAnsi="Cambria"/>
        </w:rPr>
        <w:t xml:space="preserve"> </w:t>
      </w:r>
    </w:p>
    <w:p w:rsidR="001559FA" w:rsidRDefault="001559FA" w:rsidP="00401A72">
      <w:pPr>
        <w:spacing w:after="0"/>
        <w:rPr>
          <w:rFonts w:ascii="Cambria" w:eastAsia="Times New Roman" w:hAnsi="Cambria"/>
          <w:lang w:eastAsia="cs-CZ"/>
        </w:rPr>
      </w:pPr>
    </w:p>
    <w:p w:rsidR="00C963A0" w:rsidRDefault="00C963A0" w:rsidP="00401A72">
      <w:pPr>
        <w:spacing w:after="0"/>
        <w:rPr>
          <w:rFonts w:ascii="Cambria" w:eastAsia="Times New Roman" w:hAnsi="Cambria"/>
          <w:lang w:eastAsia="cs-CZ"/>
        </w:rPr>
      </w:pPr>
      <w:r w:rsidRPr="00C963A0">
        <w:rPr>
          <w:rFonts w:ascii="Cambria" w:eastAsia="Times New Roman" w:hAnsi="Cambria"/>
          <w:lang w:eastAsia="cs-CZ"/>
        </w:rPr>
        <w:t>Podporované aktivity musí vést k inkluzi sociálně vyloučených osob, či sociálním vyloučením ohrožených osob, nebo zdravotně postižených osob.</w:t>
      </w:r>
    </w:p>
    <w:p w:rsidR="00C963A0" w:rsidRDefault="00C963A0" w:rsidP="00401A72">
      <w:pPr>
        <w:spacing w:after="0"/>
        <w:rPr>
          <w:rFonts w:ascii="Cambria" w:eastAsia="Times New Roman" w:hAnsi="Cambria"/>
          <w:lang w:eastAsia="cs-CZ"/>
        </w:rPr>
      </w:pPr>
    </w:p>
    <w:p w:rsidR="00401A72" w:rsidRDefault="00964C2C" w:rsidP="00401A72">
      <w:pPr>
        <w:spacing w:after="0"/>
        <w:rPr>
          <w:rFonts w:ascii="Cambria" w:eastAsia="Times New Roman" w:hAnsi="Cambria"/>
          <w:lang w:eastAsia="cs-CZ"/>
        </w:rPr>
      </w:pPr>
      <w:r w:rsidRPr="00401481">
        <w:rPr>
          <w:rFonts w:ascii="Cambria" w:eastAsia="Times New Roman" w:hAnsi="Cambria"/>
          <w:lang w:eastAsia="cs-CZ"/>
        </w:rPr>
        <w:t>Podporované aktivity je nutné provázat s připravovanou vyhláškou, která upravuje materiálně technické zabezpečení služby, která naplňuje § 79 zákona č. 108/2006 Sb. o sociálních službách. Tento prováděcí předpis má plánovanou účinnost 1.</w:t>
      </w:r>
      <w:r w:rsidR="00964A3D">
        <w:rPr>
          <w:rFonts w:ascii="Cambria" w:eastAsia="Times New Roman" w:hAnsi="Cambria"/>
          <w:lang w:eastAsia="cs-CZ"/>
        </w:rPr>
        <w:t xml:space="preserve"> </w:t>
      </w:r>
      <w:r w:rsidRPr="00401481">
        <w:rPr>
          <w:rFonts w:ascii="Cambria" w:eastAsia="Times New Roman" w:hAnsi="Cambria"/>
          <w:lang w:eastAsia="cs-CZ"/>
        </w:rPr>
        <w:t>1.</w:t>
      </w:r>
      <w:r w:rsidR="00964A3D">
        <w:rPr>
          <w:rFonts w:ascii="Cambria" w:eastAsia="Times New Roman" w:hAnsi="Cambria"/>
          <w:lang w:eastAsia="cs-CZ"/>
        </w:rPr>
        <w:t xml:space="preserve"> </w:t>
      </w:r>
      <w:r w:rsidRPr="00401481">
        <w:rPr>
          <w:rFonts w:ascii="Cambria" w:eastAsia="Times New Roman" w:hAnsi="Cambria"/>
          <w:lang w:eastAsia="cs-CZ"/>
        </w:rPr>
        <w:t>2017.</w:t>
      </w:r>
    </w:p>
    <w:p w:rsidR="0024700C" w:rsidRDefault="0024700C" w:rsidP="00401A72">
      <w:pPr>
        <w:spacing w:after="0"/>
        <w:rPr>
          <w:rFonts w:ascii="Cambria" w:eastAsia="Times New Roman" w:hAnsi="Cambria"/>
          <w:lang w:eastAsia="cs-CZ"/>
        </w:rPr>
      </w:pPr>
    </w:p>
    <w:p w:rsidR="0024700C" w:rsidRPr="0024700C" w:rsidRDefault="0024700C" w:rsidP="0024700C">
      <w:pPr>
        <w:spacing w:after="0"/>
        <w:rPr>
          <w:rFonts w:ascii="Cambria" w:eastAsia="Times New Roman" w:hAnsi="Cambria"/>
          <w:lang w:eastAsia="cs-CZ"/>
        </w:rPr>
      </w:pPr>
      <w:r w:rsidRPr="0024700C">
        <w:rPr>
          <w:rFonts w:ascii="Cambria" w:eastAsia="Times New Roman" w:hAnsi="Cambria"/>
          <w:lang w:eastAsia="cs-CZ"/>
        </w:rPr>
        <w:t xml:space="preserve">Projekty se zaměřují na podporu infrastruktury služeb: </w:t>
      </w:r>
    </w:p>
    <w:p w:rsidR="0024700C" w:rsidRPr="0024700C" w:rsidRDefault="0024700C" w:rsidP="0024700C">
      <w:pPr>
        <w:spacing w:after="0"/>
        <w:rPr>
          <w:rFonts w:ascii="Cambria" w:eastAsia="Times New Roman" w:hAnsi="Cambria"/>
          <w:lang w:eastAsia="cs-CZ"/>
        </w:rPr>
      </w:pP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centra denních služeb,</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denní stacionáře,</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týdenní stacionáře,</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domovy pro osoby se zdravotním postižením,</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chráněné bydlení,</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azylové domy,</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domy na půl cesty,</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zařízení pro krizovou pomoc,</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nízkoprahová denní centra,</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nízkoprahová zařízení pro děti a mládež,</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noclehárny,</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terapeutické komunity,</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sociální poradny,</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lastRenderedPageBreak/>
        <w:t>sociálně terapeutické dílny,</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centra sociálně rehabilitačních služeb,</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pracoviště rané péče,</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intervenční centra,</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zařízení následné péče,</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podpora samostatného bydlení,</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pečovatelská služba,</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osobní asistence,</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odlehčovací služby,</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sociálně aktivizační služby pro seniory a osoby se zdravotním postižením,</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sociálně aktivizační služby pro rodiny s dětmi,</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kontaktní centra,</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terénní programy,</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tísňová péče,</w:t>
      </w:r>
    </w:p>
    <w:p w:rsidR="0024700C" w:rsidRPr="0024700C" w:rsidRDefault="0024700C" w:rsidP="0024700C">
      <w:pPr>
        <w:numPr>
          <w:ilvl w:val="0"/>
          <w:numId w:val="22"/>
        </w:numPr>
        <w:spacing w:after="0"/>
        <w:rPr>
          <w:rFonts w:ascii="Cambria" w:eastAsia="Times New Roman" w:hAnsi="Cambria"/>
          <w:lang w:eastAsia="cs-CZ"/>
        </w:rPr>
      </w:pPr>
      <w:r w:rsidRPr="0024700C">
        <w:rPr>
          <w:rFonts w:ascii="Cambria" w:eastAsia="Times New Roman" w:hAnsi="Cambria"/>
          <w:lang w:eastAsia="cs-CZ"/>
        </w:rPr>
        <w:t>průvodcovské a předčitatelské služby.</w:t>
      </w:r>
    </w:p>
    <w:p w:rsidR="0024700C" w:rsidRPr="00401481" w:rsidRDefault="0024700C" w:rsidP="00401A72">
      <w:pPr>
        <w:spacing w:after="0"/>
        <w:rPr>
          <w:rFonts w:ascii="Cambria" w:eastAsia="Times New Roman" w:hAnsi="Cambria"/>
          <w:lang w:eastAsia="cs-CZ"/>
        </w:rPr>
      </w:pPr>
    </w:p>
    <w:p w:rsidR="00401A72" w:rsidRPr="00401481" w:rsidRDefault="00401A72" w:rsidP="006228F8">
      <w:pPr>
        <w:keepNext/>
        <w:spacing w:after="0"/>
        <w:rPr>
          <w:rFonts w:ascii="Cambria" w:eastAsia="Times New Roman" w:hAnsi="Cambria"/>
          <w:lang w:eastAsia="cs-CZ"/>
        </w:rPr>
      </w:pPr>
    </w:p>
    <w:tbl>
      <w:tblPr>
        <w:tblStyle w:val="Mkatabulky"/>
        <w:tblW w:w="9464" w:type="dxa"/>
        <w:tblLook w:val="04A0" w:firstRow="1" w:lastRow="0" w:firstColumn="1" w:lastColumn="0" w:noHBand="0" w:noVBand="1"/>
      </w:tblPr>
      <w:tblGrid>
        <w:gridCol w:w="9464"/>
      </w:tblGrid>
      <w:tr w:rsidR="00B55DA3" w:rsidRPr="00B646EF" w:rsidTr="0024700C">
        <w:tc>
          <w:tcPr>
            <w:tcW w:w="9464" w:type="dxa"/>
          </w:tcPr>
          <w:p w:rsidR="00EF4ABA" w:rsidRPr="00EF4ABA" w:rsidRDefault="00EF4ABA" w:rsidP="00EF4ABA">
            <w:pPr>
              <w:rPr>
                <w:b/>
              </w:rPr>
            </w:pPr>
            <w:r w:rsidRPr="00EF4ABA">
              <w:rPr>
                <w:b/>
              </w:rPr>
              <w:t>UPOZORNĚNÍ</w:t>
            </w:r>
          </w:p>
          <w:p w:rsidR="00EF4ABA" w:rsidRDefault="00EF4ABA" w:rsidP="00EF4ABA">
            <w:pPr>
              <w:rPr>
                <w:b/>
                <w:lang w:val="cs-CZ"/>
              </w:rPr>
            </w:pPr>
          </w:p>
          <w:p w:rsidR="00A00738" w:rsidRPr="00A00738" w:rsidRDefault="00A00738" w:rsidP="00A00738">
            <w:pPr>
              <w:rPr>
                <w:b/>
                <w:lang w:val="cs-CZ"/>
              </w:rPr>
            </w:pPr>
            <w:r w:rsidRPr="00A00738">
              <w:rPr>
                <w:b/>
                <w:lang w:val="cs-CZ"/>
              </w:rPr>
              <w:t>Podpořené aktivity z IROP nesmí vést k diskriminaci a segregaci žádné ze sociálně znevýhodněných skupin.</w:t>
            </w:r>
          </w:p>
          <w:p w:rsidR="00A00738" w:rsidRPr="00A00738" w:rsidRDefault="00A00738" w:rsidP="00A00738">
            <w:pPr>
              <w:rPr>
                <w:b/>
                <w:lang w:val="cs-CZ"/>
              </w:rPr>
            </w:pPr>
          </w:p>
          <w:p w:rsidR="00A00738" w:rsidRPr="00A00738" w:rsidRDefault="00A00738" w:rsidP="00A00738">
            <w:pPr>
              <w:rPr>
                <w:b/>
                <w:lang w:val="cs-CZ"/>
              </w:rPr>
            </w:pPr>
            <w:r w:rsidRPr="00A00738">
              <w:rPr>
                <w:b/>
                <w:lang w:val="cs-CZ"/>
              </w:rPr>
              <w:t>Z této výzvy nelze podpořit sociální služ</w:t>
            </w:r>
            <w:r w:rsidR="0024700C">
              <w:rPr>
                <w:b/>
                <w:lang w:val="cs-CZ"/>
              </w:rPr>
              <w:t xml:space="preserve">bu domovy pro seniory dle § 49 </w:t>
            </w:r>
            <w:r w:rsidRPr="00A00738">
              <w:rPr>
                <w:b/>
                <w:lang w:val="cs-CZ"/>
              </w:rPr>
              <w:t xml:space="preserve">zákona č. 108/2006 Sb., o sociálních službách, ve znění pozdějších </w:t>
            </w:r>
            <w:proofErr w:type="gramStart"/>
            <w:r w:rsidRPr="00A00738">
              <w:rPr>
                <w:b/>
                <w:lang w:val="cs-CZ"/>
              </w:rPr>
              <w:t>předpisů a  sociální</w:t>
            </w:r>
            <w:proofErr w:type="gramEnd"/>
            <w:r w:rsidRPr="00A00738">
              <w:rPr>
                <w:b/>
                <w:lang w:val="cs-CZ"/>
              </w:rPr>
              <w:t xml:space="preserve"> služby určené pouze pro cílovou skupinu senioři - osoby starší 65 let bez přiznaného některého ze stupňů míry závislosti podle zákona o sociálních službách.</w:t>
            </w:r>
            <w:r w:rsidR="00131FEC">
              <w:rPr>
                <w:b/>
                <w:lang w:val="cs-CZ"/>
              </w:rPr>
              <w:t xml:space="preserve"> Dále nelze podpořit domovy se zvláštním režimem dle § 50 </w:t>
            </w:r>
            <w:r w:rsidR="003E6392">
              <w:rPr>
                <w:b/>
                <w:lang w:val="cs-CZ"/>
              </w:rPr>
              <w:t>zákona</w:t>
            </w:r>
            <w:r w:rsidR="00131FEC">
              <w:rPr>
                <w:b/>
                <w:lang w:val="cs-CZ"/>
              </w:rPr>
              <w:t xml:space="preserve"> č. 108/2006Sb.,</w:t>
            </w:r>
            <w:r w:rsidR="00131FEC">
              <w:t xml:space="preserve"> </w:t>
            </w:r>
            <w:r w:rsidR="00131FEC" w:rsidRPr="00131FEC">
              <w:rPr>
                <w:b/>
                <w:lang w:val="cs-CZ"/>
              </w:rPr>
              <w:t>o sociálních službách, ve znění pozdějších předpisů</w:t>
            </w:r>
            <w:r w:rsidR="00131FEC">
              <w:rPr>
                <w:b/>
                <w:lang w:val="cs-CZ"/>
              </w:rPr>
              <w:t>.</w:t>
            </w:r>
          </w:p>
          <w:p w:rsidR="00A00738" w:rsidRPr="00A00738" w:rsidRDefault="00A00738" w:rsidP="00A00738">
            <w:pPr>
              <w:rPr>
                <w:b/>
                <w:lang w:val="cs-CZ"/>
              </w:rPr>
            </w:pPr>
          </w:p>
          <w:p w:rsidR="00A30909" w:rsidRDefault="00A00738" w:rsidP="00EF4ABA">
            <w:pPr>
              <w:rPr>
                <w:b/>
                <w:lang w:val="cs-CZ"/>
              </w:rPr>
            </w:pPr>
            <w:r w:rsidRPr="00A00738">
              <w:rPr>
                <w:b/>
                <w:lang w:val="cs-CZ"/>
              </w:rPr>
              <w:t xml:space="preserve">V případě pobytových služeb doporučujeme postupovat podle Materiálně-technického standardu pro služby sociální péče poskytované pobytovou formou </w:t>
            </w:r>
            <w:r w:rsidRPr="00C1552E">
              <w:rPr>
                <w:b/>
                <w:lang w:val="cs-CZ"/>
              </w:rPr>
              <w:t>(</w:t>
            </w:r>
            <w:hyperlink r:id="rId14" w:history="1">
              <w:r w:rsidRPr="00C1552E">
                <w:rPr>
                  <w:rStyle w:val="Hypertextovodkaz"/>
                  <w:b/>
                  <w:color w:val="auto"/>
                  <w:u w:val="none"/>
                  <w:lang w:val="cs-CZ"/>
                </w:rPr>
                <w:t>http://www.mpsv.cz/cs/13916</w:t>
              </w:r>
            </w:hyperlink>
            <w:r w:rsidRPr="00C1552E">
              <w:rPr>
                <w:b/>
                <w:lang w:val="cs-CZ"/>
              </w:rPr>
              <w:t xml:space="preserve">). </w:t>
            </w:r>
          </w:p>
          <w:p w:rsidR="00A30909" w:rsidRDefault="00A30909" w:rsidP="00EF4ABA">
            <w:pPr>
              <w:rPr>
                <w:b/>
                <w:lang w:val="cs-CZ"/>
              </w:rPr>
            </w:pPr>
          </w:p>
          <w:p w:rsidR="005F6DF7" w:rsidRDefault="00A00738" w:rsidP="00EF4ABA">
            <w:pPr>
              <w:rPr>
                <w:b/>
              </w:rPr>
            </w:pPr>
            <w:r w:rsidRPr="00A00738">
              <w:rPr>
                <w:b/>
                <w:lang w:val="cs-CZ"/>
              </w:rPr>
              <w:t>Standardem pro pobytové služby jsou jednolůžkové a dvoulůžkové pokoje, které nesmí být průchozí.</w:t>
            </w:r>
          </w:p>
          <w:p w:rsidR="001233AD" w:rsidRPr="004B2F6E" w:rsidRDefault="001233AD" w:rsidP="0028678D">
            <w:pPr>
              <w:rPr>
                <w:lang w:val="cs-CZ" w:eastAsia="cs-CZ"/>
              </w:rPr>
            </w:pPr>
          </w:p>
        </w:tc>
      </w:tr>
    </w:tbl>
    <w:p w:rsidR="0028013A" w:rsidRPr="007478D8" w:rsidRDefault="0028013A" w:rsidP="0028013A">
      <w:r w:rsidRPr="00A51A6C">
        <w:t xml:space="preserve">Na hlavní aktivitu projektu musí být vynaloženo </w:t>
      </w:r>
      <w:r w:rsidRPr="000315F5">
        <w:rPr>
          <w:b/>
        </w:rPr>
        <w:t>minimálně 85 % celkových způsobilých výdajů p</w:t>
      </w:r>
      <w:r w:rsidRPr="00A96F2E">
        <w:rPr>
          <w:b/>
        </w:rPr>
        <w:t>rojektu</w:t>
      </w:r>
      <w:r w:rsidRPr="00A51A6C">
        <w:t xml:space="preserve">.  </w:t>
      </w:r>
    </w:p>
    <w:p w:rsidR="00CB2A7F" w:rsidRPr="0021480E" w:rsidRDefault="00A96F2E" w:rsidP="0021480E">
      <w:pPr>
        <w:spacing w:before="240" w:after="0"/>
        <w:rPr>
          <w:b/>
          <w:lang w:eastAsia="cs-CZ"/>
        </w:rPr>
      </w:pPr>
      <w:r w:rsidRPr="0021480E">
        <w:rPr>
          <w:b/>
          <w:lang w:eastAsia="cs-CZ"/>
        </w:rPr>
        <w:t>H</w:t>
      </w:r>
      <w:r w:rsidR="00A51A6C" w:rsidRPr="0021480E">
        <w:rPr>
          <w:b/>
          <w:lang w:eastAsia="cs-CZ"/>
        </w:rPr>
        <w:t>lavní</w:t>
      </w:r>
      <w:r w:rsidR="00CB2A7F" w:rsidRPr="0021480E">
        <w:rPr>
          <w:b/>
          <w:lang w:eastAsia="cs-CZ"/>
        </w:rPr>
        <w:t xml:space="preserve"> aktivity</w:t>
      </w:r>
      <w:r w:rsidR="00A51A6C" w:rsidRPr="0021480E">
        <w:rPr>
          <w:b/>
          <w:lang w:eastAsia="cs-CZ"/>
        </w:rPr>
        <w:t xml:space="preserve"> projektu</w:t>
      </w:r>
    </w:p>
    <w:p w:rsidR="00C04A59" w:rsidRPr="00C04A59" w:rsidRDefault="00C04A59" w:rsidP="00C04A59">
      <w:pPr>
        <w:numPr>
          <w:ilvl w:val="0"/>
          <w:numId w:val="71"/>
        </w:numPr>
        <w:contextualSpacing/>
        <w:rPr>
          <w:rFonts w:ascii="Cambria" w:hAnsi="Cambria"/>
          <w:lang w:eastAsia="cs-CZ"/>
        </w:rPr>
      </w:pPr>
      <w:r>
        <w:rPr>
          <w:rFonts w:ascii="Cambria" w:hAnsi="Cambria"/>
          <w:lang w:eastAsia="cs-CZ"/>
        </w:rPr>
        <w:t>nákup nemovitostí</w:t>
      </w:r>
      <w:r w:rsidRPr="00C04A59">
        <w:rPr>
          <w:rFonts w:ascii="Cambria" w:hAnsi="Cambria"/>
          <w:lang w:eastAsia="cs-CZ"/>
        </w:rPr>
        <w:t>,</w:t>
      </w:r>
    </w:p>
    <w:p w:rsidR="00C04A59" w:rsidRDefault="00C04A59" w:rsidP="00C04A59">
      <w:pPr>
        <w:numPr>
          <w:ilvl w:val="0"/>
          <w:numId w:val="71"/>
        </w:numPr>
        <w:contextualSpacing/>
        <w:rPr>
          <w:rFonts w:ascii="Cambria" w:hAnsi="Cambria"/>
          <w:lang w:eastAsia="cs-CZ"/>
        </w:rPr>
      </w:pPr>
      <w:r w:rsidRPr="00C04A59">
        <w:rPr>
          <w:rFonts w:ascii="Cambria" w:hAnsi="Cambria"/>
          <w:lang w:eastAsia="cs-CZ"/>
        </w:rPr>
        <w:t xml:space="preserve">výstavba, rekonstrukce a úpravy objektu, </w:t>
      </w:r>
      <w:r>
        <w:rPr>
          <w:rFonts w:ascii="Cambria" w:hAnsi="Cambria"/>
          <w:lang w:eastAsia="cs-CZ"/>
        </w:rPr>
        <w:t>či zázemí pro poskytování sociální služby,</w:t>
      </w:r>
    </w:p>
    <w:p w:rsidR="00C04A59" w:rsidRDefault="00C04A59" w:rsidP="00C04A59">
      <w:pPr>
        <w:numPr>
          <w:ilvl w:val="0"/>
          <w:numId w:val="71"/>
        </w:numPr>
        <w:contextualSpacing/>
        <w:rPr>
          <w:rFonts w:ascii="Cambria" w:hAnsi="Cambria"/>
          <w:lang w:eastAsia="cs-CZ"/>
        </w:rPr>
      </w:pPr>
      <w:r>
        <w:rPr>
          <w:rFonts w:ascii="Cambria" w:hAnsi="Cambria"/>
          <w:lang w:eastAsia="cs-CZ"/>
        </w:rPr>
        <w:t>pořízení vybavení</w:t>
      </w:r>
      <w:r w:rsidR="00AB62DA">
        <w:rPr>
          <w:rFonts w:ascii="Cambria" w:hAnsi="Cambria"/>
          <w:lang w:eastAsia="cs-CZ"/>
        </w:rPr>
        <w:t>,</w:t>
      </w:r>
    </w:p>
    <w:p w:rsidR="00C04A59" w:rsidRDefault="00C04A59" w:rsidP="00C04A59">
      <w:pPr>
        <w:numPr>
          <w:ilvl w:val="0"/>
          <w:numId w:val="71"/>
        </w:numPr>
        <w:contextualSpacing/>
        <w:rPr>
          <w:rFonts w:ascii="Cambria" w:hAnsi="Cambria"/>
          <w:lang w:eastAsia="cs-CZ"/>
        </w:rPr>
      </w:pPr>
      <w:r>
        <w:rPr>
          <w:rFonts w:ascii="Cambria" w:hAnsi="Cambria"/>
          <w:lang w:eastAsia="cs-CZ"/>
        </w:rPr>
        <w:t>pořízení automobilu pro účely poskytování terénní sociální služby</w:t>
      </w:r>
      <w:r w:rsidR="00287C0E">
        <w:rPr>
          <w:rFonts w:ascii="Cambria" w:hAnsi="Cambria"/>
          <w:lang w:eastAsia="cs-CZ"/>
        </w:rPr>
        <w:t>.</w:t>
      </w:r>
    </w:p>
    <w:p w:rsidR="0024700C" w:rsidRDefault="0024700C" w:rsidP="0024700C">
      <w:pPr>
        <w:contextualSpacing/>
        <w:rPr>
          <w:rFonts w:ascii="Cambria" w:hAnsi="Cambria"/>
          <w:lang w:eastAsia="cs-CZ"/>
        </w:rPr>
      </w:pPr>
    </w:p>
    <w:p w:rsidR="0024700C" w:rsidRDefault="0024700C" w:rsidP="0024700C">
      <w:pPr>
        <w:contextualSpacing/>
        <w:rPr>
          <w:rFonts w:ascii="Cambria" w:hAnsi="Cambria"/>
          <w:lang w:eastAsia="cs-CZ"/>
        </w:rPr>
      </w:pPr>
    </w:p>
    <w:p w:rsidR="0024700C" w:rsidRDefault="0024700C" w:rsidP="0024700C">
      <w:pPr>
        <w:contextualSpacing/>
        <w:rPr>
          <w:rFonts w:ascii="Cambria" w:hAnsi="Cambria"/>
          <w:lang w:eastAsia="cs-CZ"/>
        </w:rPr>
      </w:pPr>
    </w:p>
    <w:p w:rsidR="00F952FB" w:rsidRDefault="00F952FB" w:rsidP="003F04BB">
      <w:pPr>
        <w:ind w:left="720"/>
        <w:contextualSpacing/>
        <w:rPr>
          <w:rFonts w:ascii="Cambria" w:hAnsi="Cambria"/>
          <w:lang w:eastAsia="cs-CZ"/>
        </w:rPr>
      </w:pPr>
    </w:p>
    <w:tbl>
      <w:tblPr>
        <w:tblStyle w:val="Mkatabulky"/>
        <w:tblW w:w="0" w:type="auto"/>
        <w:tblLook w:val="04A0" w:firstRow="1" w:lastRow="0" w:firstColumn="1" w:lastColumn="0" w:noHBand="0" w:noVBand="1"/>
      </w:tblPr>
      <w:tblGrid>
        <w:gridCol w:w="9218"/>
      </w:tblGrid>
      <w:tr w:rsidR="00F952FB" w:rsidRPr="00B646EF" w:rsidTr="003F604A">
        <w:tc>
          <w:tcPr>
            <w:tcW w:w="9218" w:type="dxa"/>
          </w:tcPr>
          <w:p w:rsidR="00F952FB" w:rsidRPr="00F50D43" w:rsidRDefault="00F952FB" w:rsidP="003F604A">
            <w:pPr>
              <w:rPr>
                <w:b/>
                <w:lang w:val="cs-CZ"/>
              </w:rPr>
            </w:pPr>
            <w:r w:rsidRPr="00F50D43">
              <w:rPr>
                <w:b/>
              </w:rPr>
              <w:lastRenderedPageBreak/>
              <w:t>UPOZORNĚNÍ</w:t>
            </w:r>
          </w:p>
          <w:p w:rsidR="00F952FB" w:rsidRPr="00F50D43" w:rsidRDefault="00F952FB" w:rsidP="003F604A">
            <w:pPr>
              <w:rPr>
                <w:lang w:val="cs-CZ"/>
              </w:rPr>
            </w:pPr>
          </w:p>
          <w:p w:rsidR="00F952FB" w:rsidRPr="0024700C" w:rsidRDefault="00F952FB" w:rsidP="00A30909">
            <w:pPr>
              <w:spacing w:after="200"/>
              <w:rPr>
                <w:lang w:val="cs-CZ" w:eastAsia="cs-CZ"/>
              </w:rPr>
            </w:pPr>
            <w:r w:rsidRPr="0024700C">
              <w:rPr>
                <w:lang w:val="cs-CZ" w:eastAsia="cs-CZ"/>
              </w:rPr>
              <w:t xml:space="preserve">Zázemím je myšleno zázemí pro uživatele a pracovníky, kteří zajišťují tyto služby. </w:t>
            </w:r>
          </w:p>
          <w:p w:rsidR="00E55698" w:rsidRPr="0024700C" w:rsidRDefault="00E55698" w:rsidP="00A30909">
            <w:pPr>
              <w:spacing w:after="200"/>
              <w:rPr>
                <w:lang w:val="cs-CZ" w:eastAsia="cs-CZ"/>
              </w:rPr>
            </w:pPr>
            <w:r w:rsidRPr="0024700C">
              <w:rPr>
                <w:lang w:val="cs-CZ" w:eastAsia="cs-CZ"/>
              </w:rPr>
              <w:t>Pořízen</w:t>
            </w:r>
            <w:r w:rsidR="004A0353" w:rsidRPr="0024700C">
              <w:rPr>
                <w:lang w:val="cs-CZ" w:eastAsia="cs-CZ"/>
              </w:rPr>
              <w:t>é</w:t>
            </w:r>
            <w:r w:rsidRPr="0024700C">
              <w:rPr>
                <w:lang w:val="cs-CZ" w:eastAsia="cs-CZ"/>
              </w:rPr>
              <w:t xml:space="preserve"> vybavení musí bezprostředně sloužit </w:t>
            </w:r>
            <w:r w:rsidR="004A0353" w:rsidRPr="0024700C">
              <w:rPr>
                <w:lang w:val="cs-CZ" w:eastAsia="cs-CZ"/>
              </w:rPr>
              <w:t>k</w:t>
            </w:r>
            <w:r w:rsidRPr="0024700C">
              <w:rPr>
                <w:lang w:val="cs-CZ" w:eastAsia="cs-CZ"/>
              </w:rPr>
              <w:t xml:space="preserve"> re</w:t>
            </w:r>
            <w:r w:rsidR="0024700C">
              <w:rPr>
                <w:lang w:val="cs-CZ" w:eastAsia="cs-CZ"/>
              </w:rPr>
              <w:t>a</w:t>
            </w:r>
            <w:r w:rsidRPr="0024700C">
              <w:rPr>
                <w:lang w:val="cs-CZ" w:eastAsia="cs-CZ"/>
              </w:rPr>
              <w:t>lizac</w:t>
            </w:r>
            <w:r w:rsidR="004A0353" w:rsidRPr="0024700C">
              <w:rPr>
                <w:lang w:val="cs-CZ" w:eastAsia="cs-CZ"/>
              </w:rPr>
              <w:t>i</w:t>
            </w:r>
            <w:r w:rsidRPr="0024700C">
              <w:rPr>
                <w:lang w:val="cs-CZ" w:eastAsia="cs-CZ"/>
              </w:rPr>
              <w:t xml:space="preserve"> proje</w:t>
            </w:r>
            <w:r w:rsidR="0024700C">
              <w:rPr>
                <w:lang w:val="cs-CZ" w:eastAsia="cs-CZ"/>
              </w:rPr>
              <w:t>ktu s přímou vazbou na poskytová</w:t>
            </w:r>
            <w:r w:rsidRPr="0024700C">
              <w:rPr>
                <w:lang w:val="cs-CZ" w:eastAsia="cs-CZ"/>
              </w:rPr>
              <w:t xml:space="preserve">ní daných služeb. Jedná se o standardní, nezbytné a obvyklé výdaje </w:t>
            </w:r>
            <w:r w:rsidR="002A0009" w:rsidRPr="0024700C">
              <w:rPr>
                <w:lang w:val="cs-CZ" w:eastAsia="cs-CZ"/>
              </w:rPr>
              <w:t>po</w:t>
            </w:r>
            <w:r w:rsidRPr="0024700C">
              <w:rPr>
                <w:lang w:val="cs-CZ" w:eastAsia="cs-CZ"/>
              </w:rPr>
              <w:t>dle typu služby.</w:t>
            </w:r>
            <w:r w:rsidR="001E0921" w:rsidRPr="0024700C">
              <w:rPr>
                <w:lang w:val="cs-CZ"/>
              </w:rPr>
              <w:t xml:space="preserve"> </w:t>
            </w:r>
            <w:r w:rsidR="001E0921" w:rsidRPr="0024700C">
              <w:rPr>
                <w:lang w:val="cs-CZ" w:eastAsia="cs-CZ"/>
              </w:rPr>
              <w:t>Pořízený majetek podléhá kontrole a při nákupu vybavení včetně drobného vybavení důrazně upozorňujeme žadatele/příjemce, že je potřeba udržet výstupy z projektu po celou dobu udržitelnosti (tj. pět let od provedení poslední platby příjemci ze strany ŘO IROP) vč. evidence těchto výstupů. V případě neudržení výstupů z projektu po celou dobu udržitelnosti projektu se příjemce vystavuje riziku krácení dotace (dle přílohy č. 4/5 těchto Pravidel), pokud nesjedná nápravu z vlastních zdrojů a nenahradí odpovídajícím majetkem z vlastních zdrojů.</w:t>
            </w:r>
            <w:r w:rsidRPr="0024700C">
              <w:rPr>
                <w:lang w:val="cs-CZ" w:eastAsia="cs-CZ"/>
              </w:rPr>
              <w:t xml:space="preserve"> </w:t>
            </w:r>
          </w:p>
          <w:p w:rsidR="00E55698" w:rsidRPr="0024700C" w:rsidRDefault="00A02812" w:rsidP="003F42DC">
            <w:pPr>
              <w:rPr>
                <w:lang w:val="cs-CZ" w:eastAsia="cs-CZ"/>
              </w:rPr>
            </w:pPr>
            <w:r w:rsidRPr="0024700C">
              <w:rPr>
                <w:lang w:val="cs-CZ" w:eastAsia="cs-CZ"/>
              </w:rPr>
              <w:t>Terénními službami se rozumí sociální služby, které jsou cílové skupině poskytovány v jejím přirozeném sociálním prostředí.</w:t>
            </w:r>
          </w:p>
          <w:p w:rsidR="00DC6046" w:rsidRPr="0024700C" w:rsidRDefault="00DC6046" w:rsidP="003F42DC">
            <w:pPr>
              <w:rPr>
                <w:lang w:val="cs-CZ" w:eastAsia="cs-CZ"/>
              </w:rPr>
            </w:pPr>
          </w:p>
          <w:p w:rsidR="00E55698" w:rsidRPr="004B2F6E" w:rsidRDefault="00DC6046" w:rsidP="003F42DC">
            <w:pPr>
              <w:rPr>
                <w:lang w:val="cs-CZ" w:eastAsia="cs-CZ"/>
              </w:rPr>
            </w:pPr>
            <w:r w:rsidRPr="0024700C">
              <w:rPr>
                <w:lang w:val="cs-CZ" w:eastAsia="cs-CZ"/>
              </w:rPr>
              <w:t>V případě, že žadatel poskytuje terénní sociální službu, která svým působením zasahuje do území obcí s rozšířenou působností, na jejichž území se nenachází SVL, a zároveň do území obcí s rozšířenou působností, na jejichž území se nachází SVL podává žadatel projekt do výzvy, která územně přísluší jeho sídlu nebo místa zázemí pro poskytování dané terénní služby.</w:t>
            </w:r>
          </w:p>
        </w:tc>
      </w:tr>
    </w:tbl>
    <w:p w:rsidR="00287C0E" w:rsidRPr="00C04A59" w:rsidRDefault="00287C0E" w:rsidP="001C5E32">
      <w:pPr>
        <w:ind w:left="720"/>
        <w:contextualSpacing/>
        <w:rPr>
          <w:rFonts w:ascii="Cambria" w:hAnsi="Cambria"/>
          <w:lang w:eastAsia="cs-CZ"/>
        </w:rPr>
      </w:pPr>
    </w:p>
    <w:p w:rsidR="0028013A" w:rsidRDefault="0028013A" w:rsidP="0028013A">
      <w:r w:rsidRPr="00A51A6C">
        <w:t xml:space="preserve">Na vedlejší aktivity projektu může být vynaloženo </w:t>
      </w:r>
      <w:r w:rsidRPr="000315F5">
        <w:rPr>
          <w:b/>
        </w:rPr>
        <w:t>maximálně 15 % celkových způsobilých výdajů</w:t>
      </w:r>
      <w:r w:rsidRPr="00A51A6C">
        <w:t xml:space="preserve"> projektu. Část výdajů na vedlejší aktivity projektu nad 15 % celkových způsobilých výdajů projektu je nezpůsobilá.</w:t>
      </w:r>
    </w:p>
    <w:p w:rsidR="00A51A6C" w:rsidRPr="0021480E" w:rsidRDefault="00A96F2E" w:rsidP="0021480E">
      <w:pPr>
        <w:spacing w:before="240" w:after="0"/>
        <w:rPr>
          <w:b/>
          <w:lang w:eastAsia="cs-CZ"/>
        </w:rPr>
      </w:pPr>
      <w:r w:rsidRPr="0021480E">
        <w:rPr>
          <w:b/>
          <w:lang w:eastAsia="cs-CZ"/>
        </w:rPr>
        <w:t>V</w:t>
      </w:r>
      <w:r w:rsidR="00A51A6C" w:rsidRPr="0021480E">
        <w:rPr>
          <w:b/>
          <w:lang w:eastAsia="cs-CZ"/>
        </w:rPr>
        <w:t xml:space="preserve">edlejší aktivity projektu </w:t>
      </w:r>
    </w:p>
    <w:p w:rsidR="007478D8" w:rsidRDefault="007478D8" w:rsidP="004C739E">
      <w:pPr>
        <w:pStyle w:val="Odstavecseseznamem"/>
        <w:numPr>
          <w:ilvl w:val="0"/>
          <w:numId w:val="65"/>
        </w:numPr>
        <w:rPr>
          <w:lang w:eastAsia="cs-CZ"/>
        </w:rPr>
      </w:pPr>
      <w:r>
        <w:rPr>
          <w:lang w:eastAsia="cs-CZ"/>
        </w:rPr>
        <w:t>nákup pozemků</w:t>
      </w:r>
      <w:r w:rsidR="004C739E" w:rsidRPr="004C739E">
        <w:rPr>
          <w:lang w:eastAsia="cs-CZ"/>
        </w:rPr>
        <w:t xml:space="preserve"> do 10 % celkových způsobilých výdajů projektu</w:t>
      </w:r>
      <w:r>
        <w:rPr>
          <w:lang w:eastAsia="cs-CZ"/>
        </w:rPr>
        <w:t>,</w:t>
      </w:r>
    </w:p>
    <w:p w:rsidR="00F502E7" w:rsidRDefault="00F502E7" w:rsidP="004C739E">
      <w:pPr>
        <w:pStyle w:val="Odstavecseseznamem"/>
        <w:numPr>
          <w:ilvl w:val="0"/>
          <w:numId w:val="65"/>
        </w:numPr>
        <w:rPr>
          <w:lang w:eastAsia="cs-CZ"/>
        </w:rPr>
      </w:pPr>
      <w:r>
        <w:rPr>
          <w:lang w:eastAsia="cs-CZ"/>
        </w:rPr>
        <w:t>zeleň v okolí budov a na budovách (zelené zdi a střechy, aleje, hřiště a parky)</w:t>
      </w:r>
      <w:r w:rsidR="00721D10">
        <w:rPr>
          <w:lang w:eastAsia="cs-CZ"/>
        </w:rPr>
        <w:t>,</w:t>
      </w:r>
    </w:p>
    <w:p w:rsidR="007478D8" w:rsidRDefault="007478D8" w:rsidP="006816D2">
      <w:pPr>
        <w:pStyle w:val="Odstavecseseznamem"/>
        <w:numPr>
          <w:ilvl w:val="0"/>
          <w:numId w:val="65"/>
        </w:numPr>
        <w:rPr>
          <w:lang w:eastAsia="cs-CZ"/>
        </w:rPr>
      </w:pPr>
      <w:r>
        <w:rPr>
          <w:lang w:eastAsia="cs-CZ"/>
        </w:rPr>
        <w:t>zabezpečení výstavby (technický dozor investora, BOZP, autorský dozor),</w:t>
      </w:r>
    </w:p>
    <w:p w:rsidR="007478D8" w:rsidRDefault="007478D8" w:rsidP="006816D2">
      <w:pPr>
        <w:pStyle w:val="Odstavecseseznamem"/>
        <w:numPr>
          <w:ilvl w:val="0"/>
          <w:numId w:val="65"/>
        </w:numPr>
        <w:rPr>
          <w:lang w:eastAsia="cs-CZ"/>
        </w:rPr>
      </w:pPr>
      <w:r>
        <w:rPr>
          <w:lang w:eastAsia="cs-CZ"/>
        </w:rPr>
        <w:t xml:space="preserve">projektová dokumentace stavby, EIA, </w:t>
      </w:r>
    </w:p>
    <w:p w:rsidR="007478D8" w:rsidRDefault="007478D8" w:rsidP="006816D2">
      <w:pPr>
        <w:pStyle w:val="Odstavecseseznamem"/>
        <w:numPr>
          <w:ilvl w:val="0"/>
          <w:numId w:val="65"/>
        </w:numPr>
        <w:rPr>
          <w:lang w:eastAsia="cs-CZ"/>
        </w:rPr>
      </w:pPr>
      <w:r>
        <w:rPr>
          <w:lang w:eastAsia="cs-CZ"/>
        </w:rPr>
        <w:t>studie proveditelnosti,</w:t>
      </w:r>
    </w:p>
    <w:p w:rsidR="007478D8" w:rsidRDefault="007478D8" w:rsidP="006816D2">
      <w:pPr>
        <w:pStyle w:val="Odstavecseseznamem"/>
        <w:numPr>
          <w:ilvl w:val="0"/>
          <w:numId w:val="65"/>
        </w:numPr>
        <w:rPr>
          <w:lang w:eastAsia="cs-CZ"/>
        </w:rPr>
      </w:pPr>
      <w:r>
        <w:rPr>
          <w:lang w:eastAsia="cs-CZ"/>
        </w:rPr>
        <w:t xml:space="preserve">pořízení služeb bezprostředně souvisejících s realizací projektu (příprava a realizace zadávacích a výběrových řízení), </w:t>
      </w:r>
    </w:p>
    <w:p w:rsidR="003B5DFB" w:rsidRPr="006816D2" w:rsidRDefault="007478D8" w:rsidP="006816D2">
      <w:pPr>
        <w:pStyle w:val="Odstavecseseznamem"/>
        <w:numPr>
          <w:ilvl w:val="0"/>
          <w:numId w:val="65"/>
        </w:numPr>
        <w:rPr>
          <w:rFonts w:cs="Arial"/>
        </w:rPr>
      </w:pPr>
      <w:r>
        <w:rPr>
          <w:lang w:eastAsia="cs-CZ"/>
        </w:rPr>
        <w:t>povinná publicit</w:t>
      </w:r>
      <w:r w:rsidR="003B5DFB">
        <w:rPr>
          <w:lang w:eastAsia="cs-CZ"/>
        </w:rPr>
        <w:t>a (</w:t>
      </w:r>
      <w:r w:rsidR="003B5DFB" w:rsidRPr="006816D2">
        <w:rPr>
          <w:rFonts w:cs="Arial"/>
        </w:rPr>
        <w:t xml:space="preserve">dle kap. 13 Obecných pravidel), </w:t>
      </w:r>
    </w:p>
    <w:p w:rsidR="00C13906" w:rsidRPr="00C13906" w:rsidRDefault="007478D8" w:rsidP="006816D2">
      <w:pPr>
        <w:pStyle w:val="Odstavecseseznamem"/>
        <w:numPr>
          <w:ilvl w:val="0"/>
          <w:numId w:val="65"/>
        </w:numPr>
        <w:rPr>
          <w:lang w:eastAsia="cs-CZ"/>
        </w:rPr>
      </w:pPr>
      <w:r>
        <w:rPr>
          <w:lang w:eastAsia="cs-CZ"/>
        </w:rPr>
        <w:t>nákup služeb, které tvoří součást pořízení dlouhodobého hmotného a nehmotného majetku, nejsou-li tyto služby součástí pořizovací ceny vybavení</w:t>
      </w:r>
      <w:r w:rsidR="006816D2">
        <w:rPr>
          <w:lang w:eastAsia="cs-CZ"/>
        </w:rPr>
        <w:br/>
      </w:r>
      <w:r w:rsidR="00C13906" w:rsidRPr="00C13906">
        <w:rPr>
          <w:lang w:eastAsia="cs-CZ"/>
        </w:rPr>
        <w:t xml:space="preserve">(např. školení </w:t>
      </w:r>
      <w:r w:rsidR="006816D2">
        <w:rPr>
          <w:lang w:eastAsia="cs-CZ"/>
        </w:rPr>
        <w:t xml:space="preserve">na </w:t>
      </w:r>
      <w:r w:rsidR="00C13906" w:rsidRPr="00C13906">
        <w:rPr>
          <w:lang w:eastAsia="cs-CZ"/>
        </w:rPr>
        <w:t>ovlád</w:t>
      </w:r>
      <w:r w:rsidR="00C7435C">
        <w:rPr>
          <w:lang w:eastAsia="cs-CZ"/>
        </w:rPr>
        <w:t>á</w:t>
      </w:r>
      <w:r w:rsidR="00C13906" w:rsidRPr="00C13906">
        <w:rPr>
          <w:lang w:eastAsia="cs-CZ"/>
        </w:rPr>
        <w:t xml:space="preserve">ní pořízeného vybavení, není-li tato služba součástí pořizovací ceny vybavení). </w:t>
      </w:r>
    </w:p>
    <w:p w:rsidR="00C81109" w:rsidRDefault="00C81109" w:rsidP="0076468A">
      <w:pPr>
        <w:pStyle w:val="Pravidla11"/>
        <w:spacing w:after="0"/>
      </w:pPr>
      <w:bookmarkStart w:id="6" w:name="_Toc455143127"/>
      <w:r>
        <w:t>Komplementarita</w:t>
      </w:r>
      <w:bookmarkEnd w:id="6"/>
    </w:p>
    <w:p w:rsidR="002B27CB" w:rsidRPr="004B2F6E" w:rsidRDefault="002B27CB" w:rsidP="00DA1F1F">
      <w:pPr>
        <w:rPr>
          <w:b/>
        </w:rPr>
      </w:pPr>
      <w:r w:rsidRPr="004B2F6E">
        <w:t xml:space="preserve">Výzva je </w:t>
      </w:r>
      <w:r>
        <w:t xml:space="preserve">komplementární </w:t>
      </w:r>
      <w:r w:rsidRPr="002B27CB">
        <w:t>s prioritní osou 2 Sociální začleňování a boj s chudobou OP Zaměstnanost</w:t>
      </w:r>
      <w:r w:rsidR="00A96F2E">
        <w:t>.</w:t>
      </w:r>
    </w:p>
    <w:p w:rsidR="002C656A" w:rsidRPr="00EA3680" w:rsidRDefault="00583113" w:rsidP="0076468A">
      <w:pPr>
        <w:pStyle w:val="Pravidla11"/>
        <w:spacing w:after="0"/>
      </w:pPr>
      <w:bookmarkStart w:id="7" w:name="_Toc429054857"/>
      <w:bookmarkStart w:id="8" w:name="_Toc429056025"/>
      <w:bookmarkStart w:id="9" w:name="_Toc429056070"/>
      <w:bookmarkStart w:id="10" w:name="_Toc429056112"/>
      <w:bookmarkStart w:id="11" w:name="_Toc429056152"/>
      <w:bookmarkStart w:id="12" w:name="_Toc429056190"/>
      <w:bookmarkStart w:id="13" w:name="_Toc429056229"/>
      <w:bookmarkStart w:id="14" w:name="_Toc429056267"/>
      <w:bookmarkStart w:id="15" w:name="_Toc429056304"/>
      <w:bookmarkStart w:id="16" w:name="_Toc429056341"/>
      <w:bookmarkStart w:id="17" w:name="_Toc429056378"/>
      <w:bookmarkStart w:id="18" w:name="_Toc429056415"/>
      <w:bookmarkStart w:id="19" w:name="_Toc429056452"/>
      <w:bookmarkStart w:id="20" w:name="_Toc429056489"/>
      <w:bookmarkStart w:id="21" w:name="_Toc429056526"/>
      <w:bookmarkStart w:id="22" w:name="_Toc429056563"/>
      <w:bookmarkStart w:id="23" w:name="_Toc429056600"/>
      <w:bookmarkStart w:id="24" w:name="_Toc429056636"/>
      <w:bookmarkStart w:id="25" w:name="_Toc429057304"/>
      <w:bookmarkStart w:id="26" w:name="_Toc429054861"/>
      <w:bookmarkStart w:id="27" w:name="_Toc429056029"/>
      <w:bookmarkStart w:id="28" w:name="_Toc429056074"/>
      <w:bookmarkStart w:id="29" w:name="_Toc429056116"/>
      <w:bookmarkStart w:id="30" w:name="_Toc429056156"/>
      <w:bookmarkStart w:id="31" w:name="_Toc429056194"/>
      <w:bookmarkStart w:id="32" w:name="_Toc429056233"/>
      <w:bookmarkStart w:id="33" w:name="_Toc429056271"/>
      <w:bookmarkStart w:id="34" w:name="_Toc429056308"/>
      <w:bookmarkStart w:id="35" w:name="_Toc429056345"/>
      <w:bookmarkStart w:id="36" w:name="_Toc429056382"/>
      <w:bookmarkStart w:id="37" w:name="_Toc429056419"/>
      <w:bookmarkStart w:id="38" w:name="_Toc429056456"/>
      <w:bookmarkStart w:id="39" w:name="_Toc429056493"/>
      <w:bookmarkStart w:id="40" w:name="_Toc429056530"/>
      <w:bookmarkStart w:id="41" w:name="_Toc429056567"/>
      <w:bookmarkStart w:id="42" w:name="_Toc429056604"/>
      <w:bookmarkStart w:id="43" w:name="_Toc429056640"/>
      <w:bookmarkStart w:id="44" w:name="_Toc429057308"/>
      <w:bookmarkStart w:id="45" w:name="_Toc45514312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EA3680">
        <w:t>Povinné přílohy žádosti</w:t>
      </w:r>
      <w:r w:rsidR="00F75A15">
        <w:t xml:space="preserve"> o podporu</w:t>
      </w:r>
      <w:bookmarkEnd w:id="45"/>
    </w:p>
    <w:p w:rsidR="00BA3ACD" w:rsidRDefault="00092849" w:rsidP="00EA3680">
      <w:r w:rsidRPr="00EA3680">
        <w:t>P</w:t>
      </w:r>
      <w:r w:rsidR="00BA3ACD" w:rsidRPr="00EA3680">
        <w:t xml:space="preserve">ovinné přílohy žadatel nahrává na příslušné </w:t>
      </w:r>
      <w:r w:rsidR="00BE45E0">
        <w:t>z</w:t>
      </w:r>
      <w:r w:rsidR="00BA3ACD" w:rsidRPr="00EA3680">
        <w:t>áložky žádosti o podporu v MS2014+. Více in</w:t>
      </w:r>
      <w:r w:rsidR="003C5F09">
        <w:t xml:space="preserve">formací je uvedeno v příloze </w:t>
      </w:r>
      <w:proofErr w:type="gramStart"/>
      <w:r w:rsidR="003C5F09">
        <w:t xml:space="preserve">č. 1 </w:t>
      </w:r>
      <w:r w:rsidR="00BA3ACD" w:rsidRPr="00EA3680">
        <w:t>těchto</w:t>
      </w:r>
      <w:proofErr w:type="gramEnd"/>
      <w:r w:rsidR="00BA3ACD" w:rsidRPr="00EA3680">
        <w:t xml:space="preserve"> Pravidel.</w:t>
      </w:r>
    </w:p>
    <w:p w:rsidR="00A738FD" w:rsidRDefault="00A738FD" w:rsidP="00A738FD">
      <w:pPr>
        <w:rPr>
          <w:bCs/>
        </w:rPr>
      </w:pPr>
      <w:r w:rsidRPr="00F50D43">
        <w:rPr>
          <w:bCs/>
        </w:rPr>
        <w:lastRenderedPageBreak/>
        <w:t xml:space="preserve">Do MS2014+ je možné nahrát dokument do velikosti 100 MB. V případě, že dokument je větší než 100 MB, musíte přiloženou přílohu rozdělit do několika menších souborů. K rozdělení příloh je možné použít jakýkoliv kompresní program (například 7zip, </w:t>
      </w:r>
      <w:proofErr w:type="spellStart"/>
      <w:r w:rsidRPr="00F50D43">
        <w:rPr>
          <w:bCs/>
        </w:rPr>
        <w:t>winzip</w:t>
      </w:r>
      <w:proofErr w:type="spellEnd"/>
      <w:r w:rsidRPr="00F50D43">
        <w:rPr>
          <w:bCs/>
        </w:rPr>
        <w:t xml:space="preserve">. </w:t>
      </w:r>
      <w:proofErr w:type="spellStart"/>
      <w:r w:rsidRPr="00F50D43">
        <w:rPr>
          <w:bCs/>
        </w:rPr>
        <w:t>WinRAR</w:t>
      </w:r>
      <w:proofErr w:type="spellEnd"/>
      <w:r w:rsidRPr="00F50D43">
        <w:rPr>
          <w:bCs/>
        </w:rPr>
        <w:t xml:space="preserve">, </w:t>
      </w:r>
      <w:proofErr w:type="spellStart"/>
      <w:r w:rsidRPr="00F50D43">
        <w:rPr>
          <w:bCs/>
        </w:rPr>
        <w:t>PowerArchiver</w:t>
      </w:r>
      <w:proofErr w:type="spellEnd"/>
      <w:r w:rsidRPr="00F50D43">
        <w:rPr>
          <w:bCs/>
        </w:rPr>
        <w:t xml:space="preserve">  apod.). </w:t>
      </w:r>
    </w:p>
    <w:tbl>
      <w:tblPr>
        <w:tblStyle w:val="Mkatabulky"/>
        <w:tblW w:w="0" w:type="auto"/>
        <w:tblLook w:val="04A0" w:firstRow="1" w:lastRow="0" w:firstColumn="1" w:lastColumn="0" w:noHBand="0" w:noVBand="1"/>
      </w:tblPr>
      <w:tblGrid>
        <w:gridCol w:w="9218"/>
      </w:tblGrid>
      <w:tr w:rsidR="005A681A" w:rsidTr="00A24B4C">
        <w:tc>
          <w:tcPr>
            <w:tcW w:w="9218" w:type="dxa"/>
          </w:tcPr>
          <w:p w:rsidR="005A681A" w:rsidRPr="002F2ED4" w:rsidRDefault="005A681A" w:rsidP="00A24B4C">
            <w:pPr>
              <w:rPr>
                <w:rFonts w:cs="Arial"/>
                <w:b/>
                <w:lang w:val="cs-CZ"/>
              </w:rPr>
            </w:pPr>
            <w:r w:rsidRPr="002F2ED4">
              <w:rPr>
                <w:rFonts w:cs="Arial"/>
                <w:b/>
                <w:lang w:val="cs-CZ"/>
              </w:rPr>
              <w:t>UPOZORNĚNÍ</w:t>
            </w:r>
          </w:p>
          <w:p w:rsidR="005A681A" w:rsidRPr="002F2ED4" w:rsidRDefault="005A681A" w:rsidP="00A24B4C">
            <w:pPr>
              <w:pStyle w:val="Default"/>
              <w:jc w:val="both"/>
              <w:rPr>
                <w:lang w:val="cs-CZ"/>
              </w:rPr>
            </w:pPr>
            <w:r w:rsidRPr="002F2ED4">
              <w:rPr>
                <w:rFonts w:asciiTheme="majorHAnsi" w:hAnsiTheme="majorHAnsi"/>
                <w:lang w:val="cs-CZ"/>
              </w:rPr>
              <w:t>Pokud je některá povinná příloha pro žadatele nerelevantní (např. projektová dokumentace pro vydání stavebního povolení nebo pro ohlášení stavby v případě, že předmětem projektu je pouze pořízení vybavení a technologií), žadatel nahraje jako přílohu dokument, ve kterém uvede zdůvodnění nedoložení povinné přílohy.</w:t>
            </w:r>
            <w:r w:rsidRPr="002F2ED4">
              <w:rPr>
                <w:lang w:val="cs-CZ"/>
              </w:rPr>
              <w:t xml:space="preserve"> </w:t>
            </w:r>
          </w:p>
          <w:p w:rsidR="005A681A" w:rsidRPr="00437789" w:rsidRDefault="005A681A" w:rsidP="00A24B4C">
            <w:pPr>
              <w:pStyle w:val="Default"/>
              <w:jc w:val="both"/>
              <w:rPr>
                <w:lang w:val="cs-CZ"/>
              </w:rPr>
            </w:pPr>
          </w:p>
        </w:tc>
      </w:tr>
    </w:tbl>
    <w:p w:rsidR="005A681A" w:rsidRDefault="005A681A" w:rsidP="005A681A">
      <w:pPr>
        <w:rPr>
          <w:rFonts w:cs="Arial"/>
        </w:rPr>
      </w:pPr>
      <w:r w:rsidRPr="006B53D5">
        <w:rPr>
          <w:rFonts w:cs="Arial"/>
        </w:rPr>
        <w:t xml:space="preserve">Více informací je uvedeno v příloze </w:t>
      </w:r>
      <w:proofErr w:type="gramStart"/>
      <w:r w:rsidRPr="006B53D5">
        <w:rPr>
          <w:rFonts w:cs="Arial"/>
        </w:rPr>
        <w:t>č. 1 těchto</w:t>
      </w:r>
      <w:proofErr w:type="gramEnd"/>
      <w:r w:rsidRPr="006B53D5">
        <w:rPr>
          <w:rFonts w:cs="Arial"/>
        </w:rPr>
        <w:t xml:space="preserve"> Pravidel.</w:t>
      </w:r>
    </w:p>
    <w:p w:rsidR="00A30909" w:rsidRDefault="00A30909" w:rsidP="00B835C1">
      <w:pPr>
        <w:rPr>
          <w:rFonts w:cs="Arial"/>
          <w:b/>
          <w:i/>
        </w:rPr>
      </w:pPr>
    </w:p>
    <w:p w:rsidR="00B835C1" w:rsidRPr="00CB13B8" w:rsidRDefault="00B835C1" w:rsidP="00B835C1">
      <w:pPr>
        <w:rPr>
          <w:rFonts w:cs="Arial"/>
          <w:b/>
          <w:i/>
        </w:rPr>
      </w:pPr>
      <w:r w:rsidRPr="00CB13B8">
        <w:rPr>
          <w:rFonts w:cs="Arial"/>
          <w:b/>
          <w:i/>
        </w:rPr>
        <w:t>Záložka Identifikace projektu</w:t>
      </w:r>
    </w:p>
    <w:p w:rsidR="00CB45A5" w:rsidRPr="009769E5" w:rsidRDefault="00CB45A5" w:rsidP="00EA3680">
      <w:pPr>
        <w:pStyle w:val="Odstavecseseznamem"/>
        <w:numPr>
          <w:ilvl w:val="0"/>
          <w:numId w:val="7"/>
        </w:numPr>
        <w:rPr>
          <w:b/>
        </w:rPr>
      </w:pPr>
      <w:r w:rsidRPr="009769E5">
        <w:rPr>
          <w:b/>
        </w:rPr>
        <w:t>Plná moc</w:t>
      </w:r>
    </w:p>
    <w:p w:rsidR="00CB45A5" w:rsidRDefault="00CB45A5" w:rsidP="00EA3680">
      <w:r w:rsidRPr="003C5F09">
        <w:t>Dokládá se v případě přenesení pravomocí na jinou osobu, např. při podpisu žádosti elektronickým podpisem. Plné moci jsou uloženy v elektronické podobě v MS2014+.</w:t>
      </w:r>
      <w:r w:rsidR="00A30909">
        <w:t xml:space="preserve"> </w:t>
      </w:r>
      <w:r w:rsidRPr="003C5F09">
        <w:t xml:space="preserve"> </w:t>
      </w:r>
      <w:r w:rsidR="00233752" w:rsidRPr="00233752">
        <w:t>Doporučený vzor Plné moci je přílohou č. 11 Obecných pravidel. K náležitostem plné moci viz kapitola 2.5 Obecných pravidel.</w:t>
      </w:r>
    </w:p>
    <w:p w:rsidR="00D93144" w:rsidRPr="009769E5" w:rsidRDefault="00D93144" w:rsidP="00D93144">
      <w:pPr>
        <w:pStyle w:val="Odstavecseseznamem"/>
        <w:numPr>
          <w:ilvl w:val="0"/>
          <w:numId w:val="7"/>
        </w:numPr>
        <w:rPr>
          <w:b/>
        </w:rPr>
      </w:pPr>
      <w:r w:rsidRPr="009769E5">
        <w:rPr>
          <w:b/>
        </w:rPr>
        <w:t>Doklady o právní subjektivitě žadatele</w:t>
      </w:r>
    </w:p>
    <w:p w:rsidR="00D93144" w:rsidRDefault="00D93144" w:rsidP="00D93144">
      <w:r>
        <w:t xml:space="preserve">Právní subjektivitu nemusí dokládat: </w:t>
      </w:r>
    </w:p>
    <w:p w:rsidR="00D93144" w:rsidRDefault="00D93144" w:rsidP="00D93144">
      <w:pPr>
        <w:pStyle w:val="Odstavecseseznamem"/>
        <w:numPr>
          <w:ilvl w:val="0"/>
          <w:numId w:val="50"/>
        </w:numPr>
      </w:pPr>
      <w:r w:rsidRPr="00EA3680">
        <w:t xml:space="preserve">kraje a </w:t>
      </w:r>
      <w:r>
        <w:t xml:space="preserve">jimi </w:t>
      </w:r>
      <w:r w:rsidRPr="00EA3680">
        <w:t xml:space="preserve">zřizované </w:t>
      </w:r>
      <w:r w:rsidRPr="00FB7F76">
        <w:t>organizace</w:t>
      </w:r>
      <w:r>
        <w:t>,</w:t>
      </w:r>
      <w:r w:rsidRPr="00FB7F76">
        <w:t xml:space="preserve"> </w:t>
      </w:r>
    </w:p>
    <w:p w:rsidR="00D93144" w:rsidRDefault="00D93144" w:rsidP="00D93144">
      <w:pPr>
        <w:pStyle w:val="Odstavecseseznamem"/>
        <w:numPr>
          <w:ilvl w:val="0"/>
          <w:numId w:val="50"/>
        </w:numPr>
      </w:pPr>
      <w:r w:rsidRPr="00EA3680">
        <w:t xml:space="preserve">obce a </w:t>
      </w:r>
      <w:r>
        <w:t>jimi</w:t>
      </w:r>
      <w:r w:rsidRPr="00EA3680">
        <w:t xml:space="preserve"> zřizované organizace, </w:t>
      </w:r>
    </w:p>
    <w:p w:rsidR="00D93144" w:rsidRDefault="00D93144" w:rsidP="00D93144">
      <w:pPr>
        <w:pStyle w:val="Odstavecseseznamem"/>
        <w:numPr>
          <w:ilvl w:val="0"/>
          <w:numId w:val="50"/>
        </w:numPr>
      </w:pPr>
      <w:r w:rsidRPr="00FB7F76">
        <w:t>organizační složky státu</w:t>
      </w:r>
      <w:r>
        <w:t>,</w:t>
      </w:r>
    </w:p>
    <w:p w:rsidR="00D93144" w:rsidRPr="00FB7F76" w:rsidRDefault="00D93144" w:rsidP="00D93144">
      <w:pPr>
        <w:pStyle w:val="Odstavecseseznamem"/>
        <w:numPr>
          <w:ilvl w:val="0"/>
          <w:numId w:val="50"/>
        </w:numPr>
      </w:pPr>
      <w:r w:rsidRPr="00FB7F76">
        <w:t>příspěvkové organizace organizačních složek státu</w:t>
      </w:r>
      <w:r>
        <w:t>.</w:t>
      </w:r>
      <w:r w:rsidRPr="00FB7F76">
        <w:t xml:space="preserve"> </w:t>
      </w:r>
    </w:p>
    <w:p w:rsidR="00D93144" w:rsidRPr="009769E5" w:rsidRDefault="00D93144" w:rsidP="00D93144">
      <w:r w:rsidRPr="009769E5">
        <w:t>Nestátní neziskové organizace doloží:</w:t>
      </w:r>
    </w:p>
    <w:p w:rsidR="00D93144" w:rsidRPr="00FB7F76" w:rsidRDefault="00D93144" w:rsidP="00D93144">
      <w:pPr>
        <w:pStyle w:val="Odstavecseseznamem"/>
        <w:numPr>
          <w:ilvl w:val="0"/>
          <w:numId w:val="8"/>
        </w:numPr>
      </w:pPr>
      <w:r w:rsidRPr="00FB7F76">
        <w:t xml:space="preserve">zakladatelskou smlouvu, zakládací či zřizovací listinu nebo jiný dokument o založení, </w:t>
      </w:r>
      <w:r w:rsidRPr="000270AD">
        <w:t xml:space="preserve">který zároveň doloží veřejně prospěšnou činnost </w:t>
      </w:r>
      <w:r>
        <w:t>v jedné z oblastí: podpora nebo ochrana osob se zdravotním postižením a znevýhodněných osob, sociální služby, či aktivity sociálního začleňování</w:t>
      </w:r>
      <w:r w:rsidRPr="000270AD">
        <w:t>,</w:t>
      </w:r>
      <w:r w:rsidRPr="00A043A3">
        <w:t xml:space="preserve"> a prokáže, že účelem</w:t>
      </w:r>
      <w:r>
        <w:t xml:space="preserve"> hlavní</w:t>
      </w:r>
      <w:r w:rsidRPr="00A043A3">
        <w:t xml:space="preserve"> činnosti není vytváření zisku</w:t>
      </w:r>
      <w:r w:rsidRPr="00FB7F76">
        <w:t>;</w:t>
      </w:r>
    </w:p>
    <w:p w:rsidR="00D93144" w:rsidRPr="00FB7F76" w:rsidRDefault="00D93144" w:rsidP="00D93144">
      <w:pPr>
        <w:pStyle w:val="Odstavecseseznamem"/>
        <w:numPr>
          <w:ilvl w:val="0"/>
          <w:numId w:val="8"/>
        </w:numPr>
      </w:pPr>
      <w:r w:rsidRPr="00FB7F76">
        <w:t xml:space="preserve">stanovy, ve kterých musí být ustanovení o vypořádání majetku při zániku organizace, jestliže to nevyplývá ze zákona. </w:t>
      </w:r>
    </w:p>
    <w:p w:rsidR="00D93144" w:rsidRDefault="00D93144" w:rsidP="00D93144">
      <w:r w:rsidRPr="009769E5">
        <w:t xml:space="preserve">Církve </w:t>
      </w:r>
      <w:r>
        <w:t>doloží:</w:t>
      </w:r>
    </w:p>
    <w:p w:rsidR="00D93144" w:rsidRDefault="00D93144" w:rsidP="0002396B">
      <w:pPr>
        <w:pStyle w:val="Odstavecseseznamem"/>
        <w:numPr>
          <w:ilvl w:val="0"/>
          <w:numId w:val="62"/>
        </w:numPr>
      </w:pPr>
      <w:r w:rsidRPr="001011D2">
        <w:t>výpis z Rejstříku církví a náboženských společností a</w:t>
      </w:r>
      <w:r>
        <w:t xml:space="preserve"> č</w:t>
      </w:r>
      <w:r w:rsidRPr="00C95015">
        <w:t xml:space="preserve">estné prohlášení, že daný subjekt vykonává veřejně prospěšnou činnost </w:t>
      </w:r>
      <w:r w:rsidRPr="00011847">
        <w:t>v jedné z oblastí: podpora nebo ochrana osob se zdravotním postižením a znevýhodněných osob, sociální služby, či aktivity sociálního začleňování</w:t>
      </w:r>
      <w:r w:rsidR="0002396B">
        <w:t>. Výpis z rejstříku</w:t>
      </w:r>
      <w:r w:rsidR="0002396B" w:rsidRPr="0002396B">
        <w:t xml:space="preserve"> v době podání žádosti nesmí být starší 3 měsíců.</w:t>
      </w:r>
    </w:p>
    <w:p w:rsidR="00721D10" w:rsidRDefault="00721D10" w:rsidP="00D93144"/>
    <w:p w:rsidR="00D93144" w:rsidRPr="009769E5" w:rsidRDefault="00D93144" w:rsidP="00D93144">
      <w:r>
        <w:lastRenderedPageBreak/>
        <w:t>C</w:t>
      </w:r>
      <w:r w:rsidRPr="009769E5">
        <w:t>írkevní organizace doloží:</w:t>
      </w:r>
    </w:p>
    <w:p w:rsidR="00D93144" w:rsidRDefault="00D93144" w:rsidP="00D93144">
      <w:pPr>
        <w:pStyle w:val="Odstavecseseznamem"/>
        <w:numPr>
          <w:ilvl w:val="0"/>
          <w:numId w:val="8"/>
        </w:numPr>
      </w:pPr>
      <w:r w:rsidRPr="00EA3680">
        <w:t>zakladatelskou smlouvu, zakládací či zřizovací listinu nebo jiný dokument o založení</w:t>
      </w:r>
      <w:r>
        <w:t xml:space="preserve"> a dokument</w:t>
      </w:r>
      <w:r w:rsidRPr="00EA3680">
        <w:t>, který doloží veřejně prospěšnou činnost organizace</w:t>
      </w:r>
      <w:r w:rsidRPr="00011847">
        <w:t xml:space="preserve"> v jedné z oblastí: podpora nebo ochrana osob se zdravotním postižením a znevýhodněných osob, sociální služby, či aktivity sociálního začleňování</w:t>
      </w:r>
      <w:r w:rsidRPr="00EA3680">
        <w:t>, a prokáže, že účelem</w:t>
      </w:r>
      <w:r>
        <w:t xml:space="preserve"> hlavní</w:t>
      </w:r>
      <w:r w:rsidRPr="00EA3680">
        <w:t xml:space="preserve"> činnosti není vytváření zisku</w:t>
      </w:r>
      <w:r>
        <w:t>.</w:t>
      </w:r>
    </w:p>
    <w:p w:rsidR="00D93144" w:rsidRDefault="00D93144" w:rsidP="00D93144">
      <w:r>
        <w:t>Dobrovolné svazky obcí doloží:</w:t>
      </w:r>
    </w:p>
    <w:p w:rsidR="00D93144" w:rsidRDefault="00D93144" w:rsidP="00D93144">
      <w:pPr>
        <w:pStyle w:val="Odstavecseseznamem"/>
        <w:numPr>
          <w:ilvl w:val="0"/>
          <w:numId w:val="51"/>
        </w:numPr>
      </w:pPr>
      <w:r>
        <w:t>zakládací smlouvu dobrovolného svazku obcí, která</w:t>
      </w:r>
      <w:r w:rsidRPr="005E1BA1">
        <w:t xml:space="preserve"> doloží veřejně prospěšnou činnost organizace v jedné </w:t>
      </w:r>
      <w:r w:rsidRPr="00011847">
        <w:t>z oblastí: podpora nebo ochrana osob se zdravotním postižením a znevýhodněných osob, sociální služby, či aktivity sociálního začleňování</w:t>
      </w:r>
      <w:r w:rsidRPr="00011847" w:rsidDel="00011847">
        <w:t xml:space="preserve"> </w:t>
      </w:r>
    </w:p>
    <w:p w:rsidR="00D93144" w:rsidRDefault="00D93144" w:rsidP="00D93144">
      <w:r>
        <w:t>Organizace zřizované či zakládané dobrovolným svazkem obcí doloží:</w:t>
      </w:r>
    </w:p>
    <w:p w:rsidR="00D93144" w:rsidRDefault="00D93144" w:rsidP="00D93144">
      <w:pPr>
        <w:pStyle w:val="Odstavecseseznamem"/>
        <w:numPr>
          <w:ilvl w:val="0"/>
          <w:numId w:val="8"/>
        </w:numPr>
      </w:pPr>
      <w:r w:rsidRPr="00EA3680">
        <w:t xml:space="preserve">zřizovací </w:t>
      </w:r>
      <w:r>
        <w:t xml:space="preserve">či zakládací </w:t>
      </w:r>
      <w:r w:rsidRPr="00EA3680">
        <w:t>listinu nebo jiný dokument o založení</w:t>
      </w:r>
      <w:r>
        <w:t xml:space="preserve"> a dokument</w:t>
      </w:r>
      <w:r w:rsidRPr="00EA3680">
        <w:t>, který doloží veřejně prospěšnou činnost organizace v jedné ze sociálních služeb, uvedených v kapitole 2.</w:t>
      </w:r>
      <w:r>
        <w:t>2 těchto Pravidel</w:t>
      </w:r>
      <w:r w:rsidRPr="00EA3680">
        <w:t>, a prokáže, že účelem</w:t>
      </w:r>
      <w:r>
        <w:t xml:space="preserve"> hlavní</w:t>
      </w:r>
      <w:r w:rsidRPr="00EA3680">
        <w:t xml:space="preserve"> činnosti není vytváření zisku</w:t>
      </w:r>
      <w:r>
        <w:t>.</w:t>
      </w:r>
    </w:p>
    <w:p w:rsidR="00D93144" w:rsidRDefault="00D93144" w:rsidP="00D93144">
      <w:r>
        <w:t>Organizace zakládané obcemi nebo kraji doloží:</w:t>
      </w:r>
    </w:p>
    <w:p w:rsidR="00D93144" w:rsidRDefault="00D93144" w:rsidP="00D93144">
      <w:pPr>
        <w:pStyle w:val="Odstavecseseznamem"/>
        <w:numPr>
          <w:ilvl w:val="0"/>
          <w:numId w:val="8"/>
        </w:numPr>
      </w:pPr>
      <w:r w:rsidRPr="00EA3680">
        <w:t xml:space="preserve">zřizovací </w:t>
      </w:r>
      <w:r>
        <w:t xml:space="preserve">či zakládací </w:t>
      </w:r>
      <w:r w:rsidRPr="00EA3680">
        <w:t>listinu nebo jiný dokument o založení</w:t>
      </w:r>
      <w:r>
        <w:t xml:space="preserve"> a dokument</w:t>
      </w:r>
      <w:r w:rsidRPr="00EA3680">
        <w:t xml:space="preserve">, který doloží veřejně prospěšnou činnost organizace </w:t>
      </w:r>
      <w:r w:rsidRPr="00011847">
        <w:t>v jedné z oblastí: podpora nebo ochrana osob se zdravotním postižením a znevýhodněných osob, sociální služby, či aktivity sociálního začleňování</w:t>
      </w:r>
      <w:r w:rsidRPr="00EA3680">
        <w:t>, a prokáže, že účelem</w:t>
      </w:r>
      <w:r>
        <w:t xml:space="preserve"> hlavní</w:t>
      </w:r>
      <w:r w:rsidRPr="00EA3680">
        <w:t xml:space="preserve"> činnosti není vytváření zisku</w:t>
      </w:r>
      <w:r>
        <w:t>.</w:t>
      </w:r>
    </w:p>
    <w:p w:rsidR="00D93144" w:rsidRDefault="00D93144" w:rsidP="00D93144">
      <w:pPr>
        <w:pStyle w:val="Odstavecseseznamem"/>
      </w:pPr>
    </w:p>
    <w:p w:rsidR="00D93144" w:rsidRPr="009769E5" w:rsidRDefault="00D93144" w:rsidP="00D93144">
      <w:pPr>
        <w:pStyle w:val="Odstavecseseznamem"/>
        <w:numPr>
          <w:ilvl w:val="0"/>
          <w:numId w:val="7"/>
        </w:numPr>
        <w:rPr>
          <w:b/>
        </w:rPr>
      </w:pPr>
      <w:r w:rsidRPr="009769E5">
        <w:rPr>
          <w:b/>
        </w:rPr>
        <w:t>Výpis z rejstříku trestů</w:t>
      </w:r>
    </w:p>
    <w:p w:rsidR="00D93144" w:rsidRDefault="00D93144" w:rsidP="00D93144">
      <w:r w:rsidRPr="003C5F09">
        <w:t xml:space="preserve">Dokládají všichni statutární zástupci organizací zakládaných krajem, obcí nebo dobrovolným svazkem obcí, nestátních neziskových organizací, církví a církevních </w:t>
      </w:r>
      <w:r w:rsidRPr="001F36D1">
        <w:t xml:space="preserve">organizací. Výpis z rejstříku trestů v době podání žádosti nesmí být starší 3 měsíců. </w:t>
      </w:r>
    </w:p>
    <w:p w:rsidR="00B835C1" w:rsidRDefault="00B835C1" w:rsidP="00B835C1">
      <w:pPr>
        <w:rPr>
          <w:rFonts w:cs="Arial"/>
          <w:b/>
          <w:i/>
        </w:rPr>
      </w:pPr>
      <w:r w:rsidRPr="00CB13B8">
        <w:rPr>
          <w:rFonts w:cs="Arial"/>
          <w:b/>
          <w:i/>
        </w:rPr>
        <w:t>Záložka Veřejné zakázky</w:t>
      </w:r>
    </w:p>
    <w:p w:rsidR="00C644DF" w:rsidRPr="009769E5" w:rsidRDefault="00C644DF" w:rsidP="004B2F6E">
      <w:pPr>
        <w:pStyle w:val="Odstavecseseznamem"/>
        <w:numPr>
          <w:ilvl w:val="0"/>
          <w:numId w:val="7"/>
        </w:numPr>
        <w:rPr>
          <w:b/>
        </w:rPr>
      </w:pPr>
      <w:r w:rsidRPr="009769E5">
        <w:rPr>
          <w:b/>
        </w:rPr>
        <w:t xml:space="preserve">Dokumentace k zadávacím a výběrovým řízením </w:t>
      </w:r>
    </w:p>
    <w:p w:rsidR="00287C0E" w:rsidRDefault="005031E9">
      <w:pPr>
        <w:rPr>
          <w:rFonts w:cs="Arial"/>
        </w:rPr>
      </w:pPr>
      <w:r w:rsidRPr="005031E9">
        <w:rPr>
          <w:rFonts w:cs="Arial"/>
        </w:rPr>
        <w:t>Dokumentace k zadávacím a výběrovým řízením je předkládána v souladu s kapitolou 5 Obecných pravidel.</w:t>
      </w:r>
    </w:p>
    <w:p w:rsidR="00C644DF" w:rsidRPr="00CB13B8" w:rsidRDefault="00C644DF">
      <w:pPr>
        <w:rPr>
          <w:rFonts w:cs="Arial"/>
          <w:b/>
          <w:i/>
        </w:rPr>
      </w:pPr>
      <w:r w:rsidRPr="00CB13B8">
        <w:rPr>
          <w:rFonts w:cs="Arial"/>
          <w:b/>
          <w:i/>
        </w:rPr>
        <w:t>Záložka Přiložené dokumenty</w:t>
      </w:r>
    </w:p>
    <w:p w:rsidR="00613914" w:rsidRPr="009769E5" w:rsidRDefault="00613914" w:rsidP="00613914">
      <w:pPr>
        <w:pStyle w:val="Odstavecseseznamem"/>
        <w:numPr>
          <w:ilvl w:val="0"/>
          <w:numId w:val="7"/>
        </w:numPr>
        <w:rPr>
          <w:b/>
        </w:rPr>
      </w:pPr>
      <w:r w:rsidRPr="009769E5">
        <w:rPr>
          <w:b/>
        </w:rPr>
        <w:t xml:space="preserve">Studie proveditelnosti </w:t>
      </w:r>
    </w:p>
    <w:p w:rsidR="00613914" w:rsidRDefault="00613914" w:rsidP="00613914">
      <w:r w:rsidRPr="003C5F09">
        <w:t xml:space="preserve">Studie proveditelnosti slouží k posouzení realizovatelnosti a potřebnosti projektu. Osnova studie </w:t>
      </w:r>
      <w:r>
        <w:t xml:space="preserve">proveditelnosti je </w:t>
      </w:r>
      <w:r w:rsidRPr="001559FA">
        <w:t>přílohou č</w:t>
      </w:r>
      <w:r w:rsidRPr="00082092">
        <w:t>. 3 těchto</w:t>
      </w:r>
      <w:r w:rsidRPr="003C5F09">
        <w:t xml:space="preserve"> Pravidel.</w:t>
      </w:r>
    </w:p>
    <w:p w:rsidR="00721D10" w:rsidRPr="003431A1" w:rsidRDefault="00721D10" w:rsidP="00613914">
      <w:pPr>
        <w:rPr>
          <w:highlight w:val="yellow"/>
        </w:rPr>
      </w:pPr>
    </w:p>
    <w:p w:rsidR="0096538A" w:rsidRPr="009769E5" w:rsidRDefault="00092849" w:rsidP="00613914">
      <w:pPr>
        <w:pStyle w:val="Odstavecseseznamem"/>
        <w:numPr>
          <w:ilvl w:val="0"/>
          <w:numId w:val="7"/>
        </w:numPr>
        <w:rPr>
          <w:b/>
        </w:rPr>
      </w:pPr>
      <w:r w:rsidRPr="004B2F6E">
        <w:rPr>
          <w:b/>
        </w:rPr>
        <w:lastRenderedPageBreak/>
        <w:t xml:space="preserve"> </w:t>
      </w:r>
      <w:r w:rsidR="0096538A" w:rsidRPr="009769E5">
        <w:rPr>
          <w:b/>
        </w:rPr>
        <w:t>Doklad o prokázání právních vztahů k majetku, který je předmětem projektu</w:t>
      </w:r>
    </w:p>
    <w:p w:rsidR="0096538A" w:rsidRPr="003C5F09" w:rsidRDefault="002E014B" w:rsidP="00EA3680">
      <w:r w:rsidRPr="002E014B">
        <w:t>Žadatel dokládá výpisy z katastru nemovitostí, týkající se projektu. Výpis z katastru nemovitostí nesmí být k datu podání žádosti starší než 3 měsíce.  Pokud žadatel není zapsán v katastru nemovitostí jako vlastník nebo subjekt s právem hospodaření, dokládá listiny, které osvědčují jiné právo k uvedenému majetku, např. nájemní smlouvu, smlouvu o výpůjčce, nebo smlouvu o smlouvě budoucí či jiný právní úkon nebo právní akt opravňující žadatele k užívání nemovitosti, který bude předmětem projektu. V případě doložení smlouvy o smlouvě budoucí musí žadatel doložit nejpozději do vydání Rozhodnutí/Stanovení výdajů (formou Žádosti o změnu projektu - viz kap. 16 Obecných pravidel) výpis z katastru nemovitostí, kde je zapsán jako vlastník nebo jako subjekt s právem hospodaření.</w:t>
      </w:r>
    </w:p>
    <w:tbl>
      <w:tblPr>
        <w:tblStyle w:val="Mkatabulky"/>
        <w:tblW w:w="0" w:type="auto"/>
        <w:tblLook w:val="04A0" w:firstRow="1" w:lastRow="0" w:firstColumn="1" w:lastColumn="0" w:noHBand="0" w:noVBand="1"/>
      </w:tblPr>
      <w:tblGrid>
        <w:gridCol w:w="9218"/>
      </w:tblGrid>
      <w:tr w:rsidR="00C0507F" w:rsidRPr="00D56242" w:rsidTr="00C0507F">
        <w:tc>
          <w:tcPr>
            <w:tcW w:w="9218" w:type="dxa"/>
          </w:tcPr>
          <w:p w:rsidR="00C0507F" w:rsidRPr="00CB13B8" w:rsidRDefault="00C0507F" w:rsidP="00C0507F">
            <w:pPr>
              <w:rPr>
                <w:rFonts w:cs="Arial"/>
                <w:b/>
                <w:lang w:val="cs-CZ"/>
              </w:rPr>
            </w:pPr>
            <w:r w:rsidRPr="00C81109">
              <w:rPr>
                <w:rFonts w:cs="Arial"/>
                <w:b/>
                <w:lang w:val="cs-CZ"/>
              </w:rPr>
              <w:t>UPOZORNĚNÍ</w:t>
            </w:r>
          </w:p>
          <w:p w:rsidR="00C0507F" w:rsidRDefault="00C0507F" w:rsidP="00C0507F">
            <w:pPr>
              <w:spacing w:line="276" w:lineRule="auto"/>
              <w:rPr>
                <w:rFonts w:cs="Arial"/>
                <w:lang w:val="cs-CZ"/>
              </w:rPr>
            </w:pPr>
          </w:p>
          <w:p w:rsidR="00C0507F" w:rsidRDefault="00C0507F" w:rsidP="007775B6">
            <w:pPr>
              <w:rPr>
                <w:lang w:val="cs-CZ"/>
              </w:rPr>
            </w:pPr>
            <w:r w:rsidRPr="00C81109">
              <w:rPr>
                <w:lang w:val="cs-CZ"/>
              </w:rPr>
              <w:t>Povede-li projekt k technickému zhodnocení pronajatého majetku, je nutné, aby možnost provádět technické zhodnocení na cizím majetku byla uvedena v nájemní smlouvě či ve smlouvě o výpůjčce majetku</w:t>
            </w:r>
            <w:r w:rsidR="00DF5B59">
              <w:rPr>
                <w:lang w:val="cs-CZ"/>
              </w:rPr>
              <w:t>, a to s podmínkou zachování výstupů minimálně po dobu udržitelnosti projektu</w:t>
            </w:r>
            <w:r w:rsidR="00637B49">
              <w:rPr>
                <w:lang w:val="cs-CZ"/>
              </w:rPr>
              <w:t>.</w:t>
            </w:r>
            <w:r w:rsidRPr="00C81109">
              <w:rPr>
                <w:lang w:val="cs-CZ"/>
              </w:rPr>
              <w:t xml:space="preserve"> Kopie nájemní smlouvy, či smlouvy o výpůjčce bude doložena jako příloha žádosti o podporu.</w:t>
            </w:r>
            <w:r w:rsidR="007775B6">
              <w:rPr>
                <w:lang w:val="cs-CZ"/>
              </w:rPr>
              <w:t xml:space="preserve"> M</w:t>
            </w:r>
            <w:r w:rsidR="007775B6" w:rsidRPr="007775B6">
              <w:rPr>
                <w:lang w:val="cs-CZ"/>
              </w:rPr>
              <w:t>ajetek lze pronajmout pouze od subjektů, které splňují podmínky oprávněných žadatelů</w:t>
            </w:r>
            <w:r w:rsidR="00637B49">
              <w:rPr>
                <w:lang w:val="cs-CZ"/>
              </w:rPr>
              <w:t>.</w:t>
            </w:r>
          </w:p>
          <w:p w:rsidR="00DC4CBC" w:rsidRPr="00CB13B8" w:rsidRDefault="00DC4CBC" w:rsidP="007775B6">
            <w:pPr>
              <w:rPr>
                <w:rFonts w:cs="Arial"/>
                <w:bCs/>
                <w:color w:val="1F497D"/>
                <w:lang w:val="cs-CZ"/>
              </w:rPr>
            </w:pPr>
          </w:p>
        </w:tc>
      </w:tr>
    </w:tbl>
    <w:p w:rsidR="007478D8" w:rsidRDefault="007478D8" w:rsidP="004B2F6E"/>
    <w:p w:rsidR="00B52146" w:rsidRPr="00865620" w:rsidRDefault="00B52146" w:rsidP="00613914">
      <w:pPr>
        <w:pStyle w:val="Odstavecseseznamem"/>
        <w:numPr>
          <w:ilvl w:val="0"/>
          <w:numId w:val="7"/>
        </w:numPr>
        <w:rPr>
          <w:b/>
        </w:rPr>
      </w:pPr>
      <w:r w:rsidRPr="00865620">
        <w:rPr>
          <w:b/>
        </w:rPr>
        <w:t>Územní rozhodnutí nebo územní souhlas nebo veřejnoprávní smlouva nahrazující územní řízení</w:t>
      </w:r>
    </w:p>
    <w:p w:rsidR="00B52146" w:rsidRPr="003C5F09" w:rsidRDefault="00FB7F76" w:rsidP="009769E5">
      <w:r w:rsidRPr="00865620">
        <w:t>Pokud se projekt týká stavby, ž</w:t>
      </w:r>
      <w:r w:rsidR="00B52146" w:rsidRPr="00865620">
        <w:t>adatel dokládá územní rozhodnutí s nabytím právní moci. Pokud stavba nevyžaduje územní rozhodnutí, dokládá územní souhlas či účinnou veřejnoprávní smlouvu nahrazující územní řízení.</w:t>
      </w:r>
    </w:p>
    <w:p w:rsidR="00B52146" w:rsidRPr="009769E5" w:rsidRDefault="00E153CB" w:rsidP="00613914">
      <w:pPr>
        <w:pStyle w:val="Odstavecseseznamem"/>
        <w:numPr>
          <w:ilvl w:val="0"/>
          <w:numId w:val="7"/>
        </w:numPr>
        <w:rPr>
          <w:b/>
        </w:rPr>
      </w:pPr>
      <w:r>
        <w:rPr>
          <w:b/>
        </w:rPr>
        <w:t xml:space="preserve"> </w:t>
      </w:r>
      <w:r w:rsidR="00B52146" w:rsidRPr="009769E5">
        <w:rPr>
          <w:b/>
        </w:rPr>
        <w:t>Žádost o stavební povolení nebo ohlášení, případně stavební povolení nebo souhlas s provedením ohlášeného stavebního záměru nebo veřejnoprávní smlouva nahrazující stavební povolení</w:t>
      </w:r>
    </w:p>
    <w:p w:rsidR="00D93144" w:rsidRDefault="00B52146" w:rsidP="009769E5">
      <w:r w:rsidRPr="003C5F09">
        <w:t xml:space="preserve">Pokud žadatel nebude mít k dispozici stavební povolení </w:t>
      </w:r>
      <w:r w:rsidRPr="003C5F09">
        <w:rPr>
          <w:rFonts w:cs="Arial"/>
        </w:rPr>
        <w:t>nebo souhlas s provedením ohlášeného stavebního záměru či veřejnoprávní smlouvu nahrazující stavební povolení</w:t>
      </w:r>
      <w:r w:rsidRPr="003C5F09">
        <w:t>, dokládá žádost o stavební povolení nebo ohlášení, potvrzené stavebním úřadem, a přílohy, nejsou-li doloženy v jiné příloze žádosti o podporu.</w:t>
      </w:r>
      <w:r w:rsidR="00DF5B59">
        <w:t xml:space="preserve"> Samotné stavební povolení, pak musí být doloženo nejpozději do dne</w:t>
      </w:r>
      <w:r w:rsidR="00706315">
        <w:t>,</w:t>
      </w:r>
      <w:r w:rsidR="00DF5B59">
        <w:t xml:space="preserve"> kdy je vydáno Rozhodnutí </w:t>
      </w:r>
      <w:r w:rsidR="00C86489">
        <w:t>/Stanovení výdajů</w:t>
      </w:r>
      <w:r w:rsidR="00340A48">
        <w:t xml:space="preserve">, a to formou </w:t>
      </w:r>
      <w:r w:rsidR="00C231B9">
        <w:t>Žádosti</w:t>
      </w:r>
      <w:r w:rsidR="00340A48">
        <w:t xml:space="preserve"> o změn</w:t>
      </w:r>
      <w:r w:rsidR="00C231B9">
        <w:t>u</w:t>
      </w:r>
      <w:r w:rsidR="00340A48">
        <w:t xml:space="preserve"> projektu</w:t>
      </w:r>
      <w:r w:rsidR="001D5858">
        <w:t xml:space="preserve"> (viz kap. 16 Obecných pravidel)</w:t>
      </w:r>
      <w:r w:rsidR="00C231B9">
        <w:t>.</w:t>
      </w:r>
      <w:r w:rsidR="00340A48">
        <w:t xml:space="preserve"> </w:t>
      </w:r>
    </w:p>
    <w:p w:rsidR="00DC6046" w:rsidRDefault="00DC6046" w:rsidP="009769E5"/>
    <w:tbl>
      <w:tblPr>
        <w:tblStyle w:val="Mkatabulky"/>
        <w:tblW w:w="0" w:type="auto"/>
        <w:tblLook w:val="04A0" w:firstRow="1" w:lastRow="0" w:firstColumn="1" w:lastColumn="0" w:noHBand="0" w:noVBand="1"/>
      </w:tblPr>
      <w:tblGrid>
        <w:gridCol w:w="9218"/>
      </w:tblGrid>
      <w:tr w:rsidR="00DC6046" w:rsidRPr="00251032" w:rsidTr="003F42DC">
        <w:tc>
          <w:tcPr>
            <w:tcW w:w="9218" w:type="dxa"/>
          </w:tcPr>
          <w:p w:rsidR="00DC6046" w:rsidRDefault="00DC6046" w:rsidP="003F42DC">
            <w:pPr>
              <w:rPr>
                <w:rFonts w:cs="Arial"/>
                <w:b/>
              </w:rPr>
            </w:pPr>
            <w:r w:rsidRPr="001A5E05">
              <w:rPr>
                <w:rFonts w:cs="Arial"/>
                <w:b/>
              </w:rPr>
              <w:t>UPOZORNĚNÍ</w:t>
            </w:r>
          </w:p>
          <w:p w:rsidR="00DC6046" w:rsidRPr="00E44BAF" w:rsidRDefault="00DC6046" w:rsidP="003F42DC">
            <w:pPr>
              <w:rPr>
                <w:rFonts w:cs="Arial"/>
                <w:b/>
                <w:lang w:val="cs-CZ"/>
              </w:rPr>
            </w:pPr>
          </w:p>
          <w:p w:rsidR="00DC6046" w:rsidRPr="00A02D23" w:rsidRDefault="00DC6046" w:rsidP="003F42DC">
            <w:pPr>
              <w:spacing w:after="160"/>
              <w:rPr>
                <w:rFonts w:cs="Arial"/>
                <w:lang w:val="cs-CZ"/>
              </w:rPr>
            </w:pPr>
            <w:r w:rsidRPr="00A02D23">
              <w:rPr>
                <w:rFonts w:cs="Arial"/>
                <w:lang w:val="cs-CZ"/>
              </w:rPr>
              <w:t>Pokud žadatel k žádosti o podporu doložil žádost o stavební povolení, ohlášení nebo stavební povolení bez nabytí právní moci, musí nejpozději do vydání Rozhodnutí o</w:t>
            </w:r>
            <w:r>
              <w:rPr>
                <w:rFonts w:cs="Arial"/>
                <w:lang w:val="cs-CZ"/>
              </w:rPr>
              <w:t> </w:t>
            </w:r>
            <w:r w:rsidRPr="00A02D23">
              <w:rPr>
                <w:rFonts w:cs="Arial"/>
                <w:lang w:val="cs-CZ"/>
              </w:rPr>
              <w:t>poskytnutí dotace doložit stavební povolení s nab</w:t>
            </w:r>
            <w:r>
              <w:rPr>
                <w:rFonts w:cs="Arial"/>
                <w:lang w:val="cs-CZ"/>
              </w:rPr>
              <w:t xml:space="preserve">ytím právní moci nebo souhlas </w:t>
            </w:r>
            <w:r>
              <w:rPr>
                <w:rFonts w:cs="Arial"/>
                <w:lang w:val="cs-CZ"/>
              </w:rPr>
              <w:lastRenderedPageBreak/>
              <w:t>s </w:t>
            </w:r>
            <w:r w:rsidRPr="00A02D23">
              <w:rPr>
                <w:rFonts w:cs="Arial"/>
                <w:lang w:val="cs-CZ"/>
              </w:rPr>
              <w:t>provedením ohlášeného stavebního záměru.</w:t>
            </w:r>
          </w:p>
          <w:p w:rsidR="00DC6046" w:rsidRDefault="00DC6046" w:rsidP="003F42DC">
            <w:pPr>
              <w:rPr>
                <w:rFonts w:cs="Arial"/>
                <w:bCs/>
                <w:color w:val="1F497D"/>
                <w:lang w:val="cs-CZ"/>
              </w:rPr>
            </w:pPr>
            <w:r w:rsidRPr="00A02D23">
              <w:rPr>
                <w:rFonts w:cs="Arial"/>
                <w:lang w:val="cs-CZ"/>
              </w:rPr>
              <w:t>Dokument žadatel dokládá současně se Žádostí o změnu jako doplnění žádosti o</w:t>
            </w:r>
            <w:r>
              <w:rPr>
                <w:rFonts w:cs="Arial"/>
                <w:lang w:val="cs-CZ"/>
              </w:rPr>
              <w:t> </w:t>
            </w:r>
            <w:r w:rsidRPr="00A02D23">
              <w:rPr>
                <w:rFonts w:cs="Arial"/>
                <w:lang w:val="cs-CZ"/>
              </w:rPr>
              <w:t>podporu (viz kap. 16 Obecných pravidel).</w:t>
            </w:r>
          </w:p>
          <w:p w:rsidR="00DC6046" w:rsidRPr="00251032" w:rsidRDefault="00DC6046" w:rsidP="003F42DC">
            <w:pPr>
              <w:rPr>
                <w:rFonts w:cs="Arial"/>
                <w:bCs/>
                <w:color w:val="1F497D"/>
                <w:lang w:val="cs-CZ"/>
              </w:rPr>
            </w:pPr>
          </w:p>
        </w:tc>
      </w:tr>
    </w:tbl>
    <w:p w:rsidR="00DC6046" w:rsidRPr="003C5F09" w:rsidRDefault="00DC6046" w:rsidP="009769E5"/>
    <w:p w:rsidR="00B52146" w:rsidRPr="009769E5" w:rsidRDefault="009007D5" w:rsidP="00613914">
      <w:pPr>
        <w:pStyle w:val="Odstavecseseznamem"/>
        <w:numPr>
          <w:ilvl w:val="0"/>
          <w:numId w:val="7"/>
        </w:numPr>
        <w:rPr>
          <w:b/>
        </w:rPr>
      </w:pPr>
      <w:r>
        <w:rPr>
          <w:b/>
        </w:rPr>
        <w:t xml:space="preserve"> </w:t>
      </w:r>
      <w:r w:rsidR="00B52146" w:rsidRPr="009769E5">
        <w:rPr>
          <w:b/>
        </w:rPr>
        <w:t>Projektová dokumentace pro vydání stavebního povolení nebo pro ohlášení stavby</w:t>
      </w:r>
    </w:p>
    <w:p w:rsidR="00B52146" w:rsidRPr="003C5F09" w:rsidRDefault="00B52146" w:rsidP="009769E5">
      <w:r w:rsidRPr="003C5F09">
        <w:t>Žadatel dokládá projektovou dokumentaci v podrobnosti pro vydání stavebního povolení, jež je součástí žádosti o stavební povolení, nebo je ověřená stavebním úřadem ve stavebním řízení. Pokud stavba nevyžaduje stavební povolení, dokládá žadatel projektovou dokumentaci pro ohlášení stavby. V případě, že již byla zpracována projektová dokumentace pro provádění stavby, žadatel ji také přikládá k žádosti o podporu.</w:t>
      </w:r>
    </w:p>
    <w:p w:rsidR="00B52146" w:rsidRPr="003C5F09" w:rsidRDefault="00B52146" w:rsidP="009769E5">
      <w:r w:rsidRPr="003C5F09">
        <w:t>Projektové dokumentace jsou zpracovány podle zákona č. 183/2006 Sb., o územním plánování a stavebním řádu, ve znění pozdějších předpisů, bližší specifikace je ve vyhlášce č. 499/2006 Sb., o dokumentaci staveb, ve znění pozdějších předpisů</w:t>
      </w:r>
      <w:r w:rsidR="000270AD" w:rsidRPr="003C5F09">
        <w:t>.</w:t>
      </w:r>
      <w:r w:rsidRPr="003C5F09">
        <w:t xml:space="preserve"> </w:t>
      </w:r>
    </w:p>
    <w:p w:rsidR="00B52146" w:rsidRPr="009769E5" w:rsidRDefault="00C0507F" w:rsidP="00613914">
      <w:pPr>
        <w:pStyle w:val="Odstavecseseznamem"/>
        <w:numPr>
          <w:ilvl w:val="0"/>
          <w:numId w:val="7"/>
        </w:numPr>
        <w:rPr>
          <w:b/>
        </w:rPr>
      </w:pPr>
      <w:r>
        <w:rPr>
          <w:b/>
        </w:rPr>
        <w:t xml:space="preserve"> </w:t>
      </w:r>
      <w:r w:rsidR="006902B2">
        <w:rPr>
          <w:b/>
        </w:rPr>
        <w:t>Položkový rozpočet stavby</w:t>
      </w:r>
    </w:p>
    <w:p w:rsidR="00351C94" w:rsidRDefault="00351C94" w:rsidP="00351C94">
      <w:pPr>
        <w:rPr>
          <w:rFonts w:eastAsia="Times New Roman"/>
          <w:lang w:eastAsia="en-US"/>
        </w:rPr>
      </w:pPr>
      <w:r>
        <w:t>Žadatel dokládá položkový rozpočet stavby podepsaný autorizovaným projektantem členěný podle jednotného ceníku stavebních prací v cenové úrovni ne starší než k r. 2014 ve formě oceněného soupisu prací (r</w:t>
      </w:r>
      <w:r>
        <w:rPr>
          <w:rFonts w:eastAsia="Times New Roman"/>
          <w:i/>
          <w:lang w:eastAsia="en-US"/>
        </w:rPr>
        <w:t>ozpočet musí vždy obsahovat sloupec, ve kterém je uveden odkaz na typ použité cenové soustavy ve tvaru "</w:t>
      </w:r>
      <w:proofErr w:type="spellStart"/>
      <w:r>
        <w:rPr>
          <w:rFonts w:eastAsia="Times New Roman"/>
          <w:i/>
          <w:lang w:eastAsia="en-US"/>
        </w:rPr>
        <w:t>rok_typ</w:t>
      </w:r>
      <w:proofErr w:type="spellEnd"/>
      <w:r>
        <w:rPr>
          <w:rFonts w:eastAsia="Times New Roman"/>
          <w:i/>
          <w:lang w:eastAsia="en-US"/>
        </w:rPr>
        <w:t xml:space="preserve"> cenové soustavy" (např. "2015_OTSKP" nebo "CS ÚRS 2015 O1" nebo „</w:t>
      </w:r>
      <w:r>
        <w:rPr>
          <w:bCs/>
          <w:i/>
          <w:sz w:val="21"/>
          <w:szCs w:val="21"/>
        </w:rPr>
        <w:t>RTS DATA 2016/I</w:t>
      </w:r>
      <w:r>
        <w:rPr>
          <w:rFonts w:eastAsia="Times New Roman"/>
          <w:i/>
          <w:lang w:eastAsia="en-US"/>
        </w:rPr>
        <w:t xml:space="preserve">“). </w:t>
      </w:r>
      <w:r>
        <w:rPr>
          <w:rFonts w:eastAsia="Times New Roman"/>
          <w:lang w:eastAsia="en-US"/>
        </w:rPr>
        <w:t>D</w:t>
      </w:r>
      <w:r>
        <w:t xml:space="preserve">ále dokládá jeho elektronickou podobu ve formátu XML – jedná se o otevřený elektronický formát, který umožňuje transfery dat a jejich zpracování různými softwarovými programy a splňuje tak veškeré požadavky Vyhlášky č. 230/2012 Sb. a je volně dostupný. </w:t>
      </w:r>
      <w:r>
        <w:rPr>
          <w:rFonts w:eastAsia="Times New Roman"/>
          <w:lang w:eastAsia="en-US"/>
        </w:rPr>
        <w:t xml:space="preserve"> </w:t>
      </w:r>
    </w:p>
    <w:p w:rsidR="00351C94" w:rsidRDefault="00351C94" w:rsidP="00351C94">
      <w:pPr>
        <w:rPr>
          <w:lang w:eastAsia="en-US"/>
        </w:rPr>
      </w:pPr>
      <w:r>
        <w:rPr>
          <w:lang w:eastAsia="en-US"/>
        </w:rPr>
        <w:t>Pokud budou v položkovém rozpočtu uvedeny položky charakteru soubor nebo komplet, musí projektant k použitým jednotkám připojit jejich přesnou specifikaci a způsob jejich ocenění. Pokud projektant uvede vlastní položky, které nejsou definovány v použité cenové soustavě, uvede také jejich přesnou specifikaci a způsob jejich ocenění. CRR/ŘO IROP bude takové soubory/komplety a položky jednotlivě posuzovat z pohledu formálních náležitostí a přijatelnosti a rozhodne o jejich uznatelnosti. Součástí položkového rozpočtu stavby budou také jednotkové ceny stavebních prací, které jsou uvedeny v cenové soustavě. Pokud je jednotková cena uvedená projektantem vyšší než jednotková cena uvedená v cenové soustavě, je nutné rozdíl vysvětlit. Výstupem specifikace souborů/kompletů či vysvětlení vyšší jednotkové ceny položek je vždy naskenovaný dokument opatřený podpisem autorizovaného projektanta.</w:t>
      </w:r>
    </w:p>
    <w:p w:rsidR="00351C94" w:rsidRDefault="00351C94" w:rsidP="00351C94">
      <w:pPr>
        <w:rPr>
          <w:lang w:eastAsia="en-US"/>
        </w:rPr>
      </w:pPr>
      <w:r>
        <w:rPr>
          <w:lang w:eastAsia="en-US"/>
        </w:rPr>
        <w:t xml:space="preserve">V případě, že proběhlo zadávací řízení na zhotovitele stavby, předkládá žadatel také </w:t>
      </w:r>
      <w:proofErr w:type="spellStart"/>
      <w:r>
        <w:rPr>
          <w:lang w:eastAsia="en-US"/>
        </w:rPr>
        <w:t>vysoutěžený</w:t>
      </w:r>
      <w:proofErr w:type="spellEnd"/>
      <w:r>
        <w:rPr>
          <w:lang w:eastAsia="en-US"/>
        </w:rPr>
        <w:t xml:space="preserve"> a </w:t>
      </w:r>
      <w:proofErr w:type="spellStart"/>
      <w:r>
        <w:rPr>
          <w:lang w:eastAsia="en-US"/>
        </w:rPr>
        <w:t>naceněný</w:t>
      </w:r>
      <w:proofErr w:type="spellEnd"/>
      <w:r>
        <w:rPr>
          <w:lang w:eastAsia="en-US"/>
        </w:rPr>
        <w:t xml:space="preserve"> rozpočet vybraného uchazeče v elektronické podobě, tedy soubor s koncovkou *.</w:t>
      </w:r>
      <w:proofErr w:type="spellStart"/>
      <w:r>
        <w:rPr>
          <w:lang w:eastAsia="en-US"/>
        </w:rPr>
        <w:t>xls</w:t>
      </w:r>
      <w:proofErr w:type="spellEnd"/>
      <w:r>
        <w:rPr>
          <w:lang w:eastAsia="en-US"/>
        </w:rPr>
        <w:t xml:space="preserve"> </w:t>
      </w:r>
      <w:proofErr w:type="gramStart"/>
      <w:r>
        <w:rPr>
          <w:lang w:eastAsia="en-US"/>
        </w:rPr>
        <w:t>nebo *.</w:t>
      </w:r>
      <w:proofErr w:type="spellStart"/>
      <w:r>
        <w:rPr>
          <w:lang w:eastAsia="en-US"/>
        </w:rPr>
        <w:t>xml</w:t>
      </w:r>
      <w:proofErr w:type="spellEnd"/>
      <w:proofErr w:type="gramEnd"/>
      <w:r>
        <w:rPr>
          <w:lang w:eastAsia="en-US"/>
        </w:rPr>
        <w:t>.</w:t>
      </w:r>
    </w:p>
    <w:p w:rsidR="00233752" w:rsidRDefault="00233752" w:rsidP="00351C94">
      <w:pPr>
        <w:rPr>
          <w:lang w:eastAsia="en-US"/>
        </w:rPr>
      </w:pPr>
      <w:r w:rsidRPr="00233752">
        <w:rPr>
          <w:lang w:eastAsia="en-US"/>
        </w:rPr>
        <w:t>V případě, že předmětem projektu nejsou stavební úpravy, pro které je nutné stavební povolení nebo ohlášení stavby, není příloha relevantní k doložení.</w:t>
      </w:r>
    </w:p>
    <w:p w:rsidR="000C25D7" w:rsidRPr="001F36D1" w:rsidRDefault="000C25D7" w:rsidP="00613914">
      <w:pPr>
        <w:pStyle w:val="Odstavecseseznamem"/>
        <w:numPr>
          <w:ilvl w:val="0"/>
          <w:numId w:val="7"/>
        </w:numPr>
        <w:rPr>
          <w:b/>
        </w:rPr>
      </w:pPr>
      <w:r w:rsidRPr="001F36D1">
        <w:rPr>
          <w:b/>
        </w:rPr>
        <w:lastRenderedPageBreak/>
        <w:t xml:space="preserve">Souhlasné </w:t>
      </w:r>
      <w:r w:rsidR="00075039" w:rsidRPr="001F36D1">
        <w:rPr>
          <w:b/>
        </w:rPr>
        <w:t>stanovisko</w:t>
      </w:r>
      <w:r w:rsidRPr="001F36D1">
        <w:rPr>
          <w:b/>
        </w:rPr>
        <w:t xml:space="preserve"> subjektu, který vydal strategický plán</w:t>
      </w:r>
      <w:r w:rsidR="0067674A">
        <w:rPr>
          <w:b/>
        </w:rPr>
        <w:t xml:space="preserve"> sociálního začleňování</w:t>
      </w:r>
      <w:r w:rsidRPr="001F36D1">
        <w:rPr>
          <w:b/>
        </w:rPr>
        <w:t>, komunitní plán</w:t>
      </w:r>
      <w:r w:rsidR="0067674A">
        <w:rPr>
          <w:b/>
        </w:rPr>
        <w:t xml:space="preserve"> sociálních služeb</w:t>
      </w:r>
      <w:r w:rsidRPr="001F36D1">
        <w:rPr>
          <w:b/>
        </w:rPr>
        <w:t xml:space="preserve"> nebo střednědobý plán</w:t>
      </w:r>
      <w:r w:rsidR="0067674A">
        <w:rPr>
          <w:b/>
        </w:rPr>
        <w:t xml:space="preserve"> rozvoje sociálních služeb</w:t>
      </w:r>
      <w:r w:rsidR="004F4B19">
        <w:rPr>
          <w:b/>
        </w:rPr>
        <w:t xml:space="preserve"> kraje</w:t>
      </w:r>
    </w:p>
    <w:p w:rsidR="00C208CD" w:rsidRDefault="001E6DA5" w:rsidP="00346E3F">
      <w:pPr>
        <w:rPr>
          <w:lang w:eastAsia="en-US"/>
        </w:rPr>
      </w:pPr>
      <w:r>
        <w:rPr>
          <w:rFonts w:ascii="Cambria" w:hAnsi="Cambria" w:cs="Arial"/>
        </w:rPr>
        <w:t>V této příloze žadatel doloží stanovisko od kompetentního subjektu, který vydal strategický plán, komunitní plán nebo střednědobý plán</w:t>
      </w:r>
      <w:r w:rsidR="003424A7">
        <w:rPr>
          <w:rFonts w:ascii="Cambria" w:hAnsi="Cambria" w:cs="Arial"/>
        </w:rPr>
        <w:t xml:space="preserve"> rozvoje sociálních služeb </w:t>
      </w:r>
      <w:r w:rsidR="00A30909">
        <w:rPr>
          <w:rFonts w:ascii="Cambria" w:hAnsi="Cambria" w:cs="Arial"/>
        </w:rPr>
        <w:t>k</w:t>
      </w:r>
      <w:r w:rsidR="003424A7">
        <w:rPr>
          <w:rFonts w:ascii="Cambria" w:hAnsi="Cambria" w:cs="Arial"/>
        </w:rPr>
        <w:t>raje</w:t>
      </w:r>
      <w:r>
        <w:rPr>
          <w:rFonts w:ascii="Cambria" w:hAnsi="Cambria" w:cs="Arial"/>
        </w:rPr>
        <w:t>.</w:t>
      </w:r>
      <w:r w:rsidRPr="000428AB">
        <w:rPr>
          <w:lang w:eastAsia="en-US"/>
        </w:rPr>
        <w:t xml:space="preserve"> </w:t>
      </w:r>
      <w:r w:rsidR="009007D5" w:rsidRPr="000428AB">
        <w:rPr>
          <w:lang w:eastAsia="en-US"/>
        </w:rPr>
        <w:t>Vzor stanoviska je uveden v </w:t>
      </w:r>
      <w:r w:rsidR="009007D5" w:rsidRPr="00082092">
        <w:rPr>
          <w:lang w:eastAsia="en-US"/>
        </w:rPr>
        <w:t>příloze č</w:t>
      </w:r>
      <w:r w:rsidR="00C0507F" w:rsidRPr="00082092">
        <w:rPr>
          <w:lang w:eastAsia="en-US"/>
        </w:rPr>
        <w:t>.</w:t>
      </w:r>
      <w:r w:rsidR="009077C5" w:rsidRPr="00082092">
        <w:rPr>
          <w:lang w:eastAsia="en-US"/>
        </w:rPr>
        <w:t xml:space="preserve"> </w:t>
      </w:r>
      <w:r w:rsidR="00A01EAD">
        <w:rPr>
          <w:lang w:eastAsia="en-US"/>
        </w:rPr>
        <w:t>9</w:t>
      </w:r>
      <w:r w:rsidR="00A01EAD" w:rsidRPr="00082092">
        <w:rPr>
          <w:lang w:eastAsia="en-US"/>
        </w:rPr>
        <w:t xml:space="preserve"> </w:t>
      </w:r>
      <w:r w:rsidR="0088542D" w:rsidRPr="00082092">
        <w:rPr>
          <w:lang w:eastAsia="en-US"/>
        </w:rPr>
        <w:t>těchto</w:t>
      </w:r>
      <w:r w:rsidR="0088542D" w:rsidRPr="000428AB">
        <w:rPr>
          <w:lang w:eastAsia="en-US"/>
        </w:rPr>
        <w:t xml:space="preserve"> </w:t>
      </w:r>
      <w:r w:rsidR="009007D5" w:rsidRPr="000428AB">
        <w:rPr>
          <w:lang w:eastAsia="en-US"/>
        </w:rPr>
        <w:t>Pravidel.</w:t>
      </w:r>
    </w:p>
    <w:p w:rsidR="00E60AC7" w:rsidRPr="00E60AC7" w:rsidRDefault="00E60AC7" w:rsidP="00613914">
      <w:pPr>
        <w:pStyle w:val="Odstavecseseznamem"/>
        <w:numPr>
          <w:ilvl w:val="0"/>
          <w:numId w:val="7"/>
        </w:numPr>
        <w:rPr>
          <w:b/>
          <w:lang w:eastAsia="en-US"/>
        </w:rPr>
      </w:pPr>
      <w:r w:rsidRPr="00E60AC7">
        <w:rPr>
          <w:b/>
          <w:lang w:eastAsia="en-US"/>
        </w:rPr>
        <w:t>Průzkum trhu</w:t>
      </w:r>
    </w:p>
    <w:p w:rsidR="00E60AC7" w:rsidRDefault="00E60AC7" w:rsidP="00E60AC7">
      <w:pPr>
        <w:rPr>
          <w:lang w:eastAsia="en-US"/>
        </w:rPr>
      </w:pPr>
      <w:r>
        <w:rPr>
          <w:lang w:eastAsia="en-US"/>
        </w:rPr>
        <w:t xml:space="preserve">V této příloze žadatel doloží veškeré doklady, prokazující skutečné provedení tohoto průzkumu trhu, jako je zejména doložení veškeré písemné či elektronické komunikace s oslovenými dodavateli ohledně kalkulace cen, ceníky dodavatelů, výtisk internetových stránek dodavatele nebo srovnávače cen, smlouvy na obdobné zakázky apod. Spolu s těmito doklady poté musí žadatel v této příloze popsat mechanismus odvození jednotlivých cenových položek v rozpočtu projektu ve vztahu k provedenému průzkumu trhu.  Průzkum trhu se týká všech hlavních aktivit projektu, vyjma aktivity staveb, kdy je </w:t>
      </w:r>
      <w:r w:rsidR="001D5858">
        <w:rPr>
          <w:lang w:eastAsia="en-US"/>
        </w:rPr>
        <w:t xml:space="preserve">dokládán </w:t>
      </w:r>
      <w:r>
        <w:rPr>
          <w:lang w:eastAsia="en-US"/>
        </w:rPr>
        <w:t xml:space="preserve">samostatný položkový rozpočet. </w:t>
      </w:r>
      <w:r w:rsidR="005B07AE">
        <w:rPr>
          <w:lang w:eastAsia="en-US"/>
        </w:rPr>
        <w:t xml:space="preserve">Vzor průzkumu trhu je přílohou č. 8 těchto </w:t>
      </w:r>
      <w:r w:rsidR="00A30909">
        <w:rPr>
          <w:lang w:eastAsia="en-US"/>
        </w:rPr>
        <w:t>P</w:t>
      </w:r>
      <w:r w:rsidR="005B07AE">
        <w:rPr>
          <w:lang w:eastAsia="en-US"/>
        </w:rPr>
        <w:t>ravidel.</w:t>
      </w:r>
    </w:p>
    <w:p w:rsidR="0006251B" w:rsidRPr="00E60AC7" w:rsidRDefault="0006251B" w:rsidP="00613914">
      <w:pPr>
        <w:pStyle w:val="Odstavecseseznamem"/>
        <w:keepNext/>
        <w:numPr>
          <w:ilvl w:val="0"/>
          <w:numId w:val="7"/>
        </w:numPr>
        <w:spacing w:after="120" w:line="276" w:lineRule="auto"/>
        <w:rPr>
          <w:rFonts w:cs="Arial"/>
          <w:b/>
        </w:rPr>
      </w:pPr>
      <w:r w:rsidRPr="00E60AC7">
        <w:rPr>
          <w:rFonts w:cs="Arial"/>
          <w:b/>
        </w:rPr>
        <w:t>Pověřovací akt</w:t>
      </w:r>
    </w:p>
    <w:p w:rsidR="0006251B" w:rsidRDefault="0006251B" w:rsidP="0006251B">
      <w:pPr>
        <w:rPr>
          <w:rFonts w:cs="Arial"/>
        </w:rPr>
      </w:pPr>
      <w:r w:rsidRPr="00DC437C">
        <w:rPr>
          <w:rFonts w:cs="Arial"/>
        </w:rPr>
        <w:t xml:space="preserve">Žadatel doloží pověřovací akt vydaný v souladu s Rozhodnutím Komise ze dne </w:t>
      </w:r>
      <w:r w:rsidR="004B38AD">
        <w:rPr>
          <w:rFonts w:cs="Arial"/>
        </w:rPr>
        <w:br/>
      </w:r>
      <w:r w:rsidRPr="00DC437C">
        <w:rPr>
          <w:rFonts w:cs="Arial"/>
        </w:rPr>
        <w:t xml:space="preserve">20. prosince 2011 o použití čl. 106 odst. 2 Smlouvy o fungování Evropské unie na státní podporu ve formě vyrovnávací platby za závazek veřejné služby udělené určitým podnikům pověřeným poskytováním služeb obecného hospodářského zájmu. Žadatel musí být jasně pověřen k výkonu služby obecného hospodářského zájmu, k jejímuž kvalitnějšímu poskytování čerpá podporu v rámci výzvy. </w:t>
      </w:r>
    </w:p>
    <w:p w:rsidR="00DA5828" w:rsidRDefault="00EF3CC2" w:rsidP="0006251B">
      <w:pPr>
        <w:rPr>
          <w:rFonts w:cs="Arial"/>
        </w:rPr>
      </w:pPr>
      <w:r>
        <w:rPr>
          <w:rFonts w:cs="Arial"/>
        </w:rPr>
        <w:t xml:space="preserve">V případě, že žadatel není ke dni podání žádosti pověřen v souladu s Rozhodnutím 2012/21/EU, doloží vyjádření </w:t>
      </w:r>
      <w:r w:rsidR="00D837D4">
        <w:rPr>
          <w:rFonts w:cs="Arial"/>
        </w:rPr>
        <w:t>objednatele služeb</w:t>
      </w:r>
      <w:r>
        <w:rPr>
          <w:rFonts w:cs="Arial"/>
        </w:rPr>
        <w:t xml:space="preserve"> o </w:t>
      </w:r>
      <w:r w:rsidR="00881053">
        <w:rPr>
          <w:rFonts w:cs="Arial"/>
        </w:rPr>
        <w:t xml:space="preserve">úmyslu žadatele pověřit výkonem služby obecného hospodářského zájmu v souladu s Rozhodnutím </w:t>
      </w:r>
      <w:r w:rsidR="00E562CB">
        <w:rPr>
          <w:rFonts w:cs="Arial"/>
        </w:rPr>
        <w:t>2012/21/EU.</w:t>
      </w:r>
      <w:r w:rsidR="00091D10">
        <w:rPr>
          <w:rFonts w:cs="Arial"/>
        </w:rPr>
        <w:t xml:space="preserve"> </w:t>
      </w:r>
      <w:r w:rsidR="00D837D4" w:rsidRPr="00DC437C">
        <w:rPr>
          <w:rFonts w:cs="Arial"/>
        </w:rPr>
        <w:t>Více informací v</w:t>
      </w:r>
      <w:r w:rsidR="00D837D4">
        <w:rPr>
          <w:rFonts w:cs="Arial"/>
        </w:rPr>
        <w:t> kap.</w:t>
      </w:r>
      <w:r w:rsidR="00D837D4" w:rsidRPr="00DC437C">
        <w:rPr>
          <w:rFonts w:cs="Arial"/>
        </w:rPr>
        <w:t xml:space="preserve"> 2.1</w:t>
      </w:r>
      <w:r w:rsidR="00D837D4">
        <w:rPr>
          <w:rFonts w:cs="Arial"/>
        </w:rPr>
        <w:t>2</w:t>
      </w:r>
      <w:r w:rsidR="00D837D4" w:rsidRPr="00DC437C">
        <w:rPr>
          <w:rFonts w:cs="Arial"/>
        </w:rPr>
        <w:t xml:space="preserve"> </w:t>
      </w:r>
      <w:r w:rsidR="00D837D4">
        <w:rPr>
          <w:rFonts w:cs="Arial"/>
        </w:rPr>
        <w:t>těchto Pravidel</w:t>
      </w:r>
      <w:r w:rsidR="00D837D4" w:rsidRPr="00DC437C">
        <w:rPr>
          <w:rFonts w:cs="Arial"/>
        </w:rPr>
        <w:t>.</w:t>
      </w:r>
      <w:r w:rsidR="00D837D4">
        <w:rPr>
          <w:rFonts w:cs="Arial"/>
        </w:rPr>
        <w:t xml:space="preserve"> </w:t>
      </w:r>
    </w:p>
    <w:p w:rsidR="008E64EB" w:rsidRPr="00766B68" w:rsidRDefault="008E64EB" w:rsidP="00613914">
      <w:pPr>
        <w:pStyle w:val="Odstavecseseznamem"/>
        <w:numPr>
          <w:ilvl w:val="0"/>
          <w:numId w:val="7"/>
        </w:numPr>
        <w:rPr>
          <w:rFonts w:cs="Arial"/>
          <w:b/>
        </w:rPr>
      </w:pPr>
      <w:r w:rsidRPr="00766B68">
        <w:rPr>
          <w:rFonts w:cs="Arial"/>
          <w:b/>
        </w:rPr>
        <w:t>Seznam objednávek – přímých nákupů</w:t>
      </w:r>
    </w:p>
    <w:p w:rsidR="008E64EB" w:rsidRDefault="008E64EB" w:rsidP="008E64EB">
      <w:pPr>
        <w:rPr>
          <w:rFonts w:cs="Arial"/>
        </w:rPr>
      </w:pPr>
      <w:r w:rsidRPr="008E64EB">
        <w:rPr>
          <w:rFonts w:cs="Arial"/>
        </w:rPr>
        <w:t>Žadatel do formuláře (viz příloha č. 10 Obecných pravidel) vypíše všechny uskutečněné objednávky – přímé nákupy ve výši od 100 tis. Kč bez DPH, které se vztahují k projektu, a provedl je před podáním žádosti o podporu.</w:t>
      </w:r>
    </w:p>
    <w:p w:rsidR="006816D2" w:rsidRPr="00A30909" w:rsidRDefault="006816D2" w:rsidP="0076468A">
      <w:pPr>
        <w:pStyle w:val="Pravidla11"/>
        <w:spacing w:after="0"/>
      </w:pPr>
      <w:bookmarkStart w:id="46" w:name="_Toc455143129"/>
      <w:r w:rsidRPr="00A30909">
        <w:t>Struktura financování</w:t>
      </w:r>
      <w:bookmarkEnd w:id="46"/>
    </w:p>
    <w:p w:rsidR="006816D2" w:rsidRPr="00192DF4" w:rsidRDefault="006816D2" w:rsidP="006816D2">
      <w:pPr>
        <w:rPr>
          <w:rFonts w:cs="Arial"/>
          <w:b/>
        </w:rPr>
      </w:pPr>
      <w:r w:rsidRPr="00CB13B8">
        <w:rPr>
          <w:rFonts w:cs="Arial"/>
          <w:b/>
        </w:rPr>
        <w:t xml:space="preserve">1) </w:t>
      </w:r>
      <w:r>
        <w:rPr>
          <w:rFonts w:cs="Arial"/>
          <w:b/>
        </w:rPr>
        <w:t xml:space="preserve">Organizační složky státu a příspěvkové </w:t>
      </w:r>
      <w:r w:rsidR="002E6519">
        <w:rPr>
          <w:rFonts w:cs="Arial"/>
          <w:b/>
        </w:rPr>
        <w:t xml:space="preserve">organizace </w:t>
      </w:r>
      <w:r>
        <w:rPr>
          <w:rFonts w:cs="Arial"/>
          <w:b/>
        </w:rPr>
        <w:t>organizační</w:t>
      </w:r>
      <w:r w:rsidR="002E6519">
        <w:rPr>
          <w:rFonts w:cs="Arial"/>
          <w:b/>
        </w:rPr>
        <w:t>ch</w:t>
      </w:r>
      <w:r>
        <w:rPr>
          <w:rFonts w:cs="Arial"/>
          <w:b/>
        </w:rPr>
        <w:t xml:space="preserve"> slož</w:t>
      </w:r>
      <w:r w:rsidR="002E6519">
        <w:rPr>
          <w:rFonts w:cs="Arial"/>
          <w:b/>
        </w:rPr>
        <w:t>ek</w:t>
      </w:r>
      <w:r>
        <w:rPr>
          <w:rFonts w:cs="Arial"/>
          <w:b/>
        </w:rPr>
        <w:t xml:space="preserve"> státu</w:t>
      </w:r>
    </w:p>
    <w:p w:rsidR="006816D2" w:rsidRPr="00CB13B8" w:rsidRDefault="006816D2" w:rsidP="006816D2">
      <w:pPr>
        <w:pStyle w:val="Odstavecseseznamem"/>
        <w:numPr>
          <w:ilvl w:val="0"/>
          <w:numId w:val="52"/>
        </w:numPr>
        <w:suppressAutoHyphens/>
        <w:rPr>
          <w:rFonts w:cs="Arial"/>
        </w:rPr>
      </w:pPr>
      <w:r>
        <w:rPr>
          <w:rFonts w:cs="Arial"/>
        </w:rPr>
        <w:t xml:space="preserve">EFRR                              </w:t>
      </w:r>
      <w:r>
        <w:rPr>
          <w:rFonts w:cs="Arial"/>
        </w:rPr>
        <w:tab/>
      </w:r>
      <w:r w:rsidRPr="004F674B">
        <w:rPr>
          <w:rFonts w:cs="Arial"/>
        </w:rPr>
        <w:t xml:space="preserve"> </w:t>
      </w:r>
      <w:r w:rsidRPr="00CB13B8">
        <w:rPr>
          <w:rFonts w:cs="Arial"/>
        </w:rPr>
        <w:t>85 %</w:t>
      </w:r>
      <w:r>
        <w:rPr>
          <w:rFonts w:cs="Arial"/>
        </w:rPr>
        <w:t xml:space="preserve"> z celkových způsobilých výdajů</w:t>
      </w:r>
      <w:r w:rsidRPr="00CB13B8">
        <w:rPr>
          <w:rFonts w:cs="Arial"/>
        </w:rPr>
        <w:t xml:space="preserve">, </w:t>
      </w:r>
    </w:p>
    <w:p w:rsidR="006816D2" w:rsidRPr="00CB13B8" w:rsidRDefault="006816D2" w:rsidP="006816D2">
      <w:pPr>
        <w:pStyle w:val="Odstavecseseznamem"/>
        <w:numPr>
          <w:ilvl w:val="0"/>
          <w:numId w:val="52"/>
        </w:numPr>
        <w:suppressAutoHyphens/>
        <w:rPr>
          <w:rFonts w:cs="Arial"/>
        </w:rPr>
      </w:pPr>
      <w:r>
        <w:rPr>
          <w:rFonts w:cs="Arial"/>
        </w:rPr>
        <w:t xml:space="preserve">státní rozpočet          </w:t>
      </w:r>
      <w:r>
        <w:rPr>
          <w:rFonts w:cs="Arial"/>
        </w:rPr>
        <w:tab/>
      </w:r>
      <w:r>
        <w:rPr>
          <w:rFonts w:cs="Arial"/>
        </w:rPr>
        <w:tab/>
        <w:t xml:space="preserve"> </w:t>
      </w:r>
      <w:r w:rsidRPr="00CB13B8">
        <w:rPr>
          <w:rFonts w:cs="Arial"/>
        </w:rPr>
        <w:t>15 %</w:t>
      </w:r>
      <w:r>
        <w:rPr>
          <w:rFonts w:cs="Arial"/>
        </w:rPr>
        <w:t xml:space="preserve"> z celkových způsobilých výdajů.</w:t>
      </w:r>
    </w:p>
    <w:p w:rsidR="006816D2" w:rsidRPr="00192DF4" w:rsidRDefault="006816D2" w:rsidP="006816D2">
      <w:pPr>
        <w:rPr>
          <w:rFonts w:cs="Arial"/>
          <w:b/>
        </w:rPr>
      </w:pPr>
      <w:r w:rsidRPr="00CB13B8">
        <w:rPr>
          <w:rFonts w:cs="Arial"/>
          <w:b/>
        </w:rPr>
        <w:t xml:space="preserve">2) </w:t>
      </w:r>
      <w:r>
        <w:rPr>
          <w:rFonts w:cs="Arial"/>
          <w:b/>
        </w:rPr>
        <w:t>Kraje, obce, dobrovolné svazky obcí a jimi zřizované organizace</w:t>
      </w:r>
    </w:p>
    <w:p w:rsidR="006816D2" w:rsidRPr="00CB13B8" w:rsidRDefault="006816D2" w:rsidP="006816D2">
      <w:pPr>
        <w:pStyle w:val="Odstavecseseznamem"/>
        <w:numPr>
          <w:ilvl w:val="0"/>
          <w:numId w:val="52"/>
        </w:numPr>
        <w:suppressAutoHyphens/>
        <w:rPr>
          <w:rFonts w:cs="Arial"/>
        </w:rPr>
      </w:pPr>
      <w:r>
        <w:rPr>
          <w:rFonts w:cs="Arial"/>
        </w:rPr>
        <w:t>EFRR</w:t>
      </w:r>
      <w:r>
        <w:rPr>
          <w:rFonts w:cs="Arial"/>
        </w:rPr>
        <w:tab/>
      </w:r>
      <w:r>
        <w:rPr>
          <w:rFonts w:cs="Arial"/>
        </w:rPr>
        <w:tab/>
      </w:r>
      <w:r>
        <w:rPr>
          <w:rFonts w:cs="Arial"/>
        </w:rPr>
        <w:tab/>
      </w:r>
      <w:r>
        <w:rPr>
          <w:rFonts w:cs="Arial"/>
        </w:rPr>
        <w:tab/>
      </w:r>
      <w:r w:rsidRPr="00CB13B8">
        <w:rPr>
          <w:rFonts w:cs="Arial"/>
        </w:rPr>
        <w:t>85 %</w:t>
      </w:r>
      <w:r>
        <w:rPr>
          <w:rFonts w:cs="Arial"/>
        </w:rPr>
        <w:t xml:space="preserve"> z celkových způsobilých výdajů,</w:t>
      </w:r>
      <w:r w:rsidRPr="00CB13B8">
        <w:rPr>
          <w:rFonts w:cs="Arial"/>
        </w:rPr>
        <w:t xml:space="preserve"> </w:t>
      </w:r>
    </w:p>
    <w:p w:rsidR="006816D2" w:rsidRPr="00CB13B8" w:rsidRDefault="006816D2" w:rsidP="006816D2">
      <w:pPr>
        <w:pStyle w:val="Odstavecseseznamem"/>
        <w:numPr>
          <w:ilvl w:val="0"/>
          <w:numId w:val="52"/>
        </w:numPr>
        <w:suppressAutoHyphens/>
        <w:rPr>
          <w:rFonts w:cs="Arial"/>
        </w:rPr>
      </w:pPr>
      <w:r w:rsidRPr="00CB13B8">
        <w:rPr>
          <w:rFonts w:cs="Arial"/>
        </w:rPr>
        <w:t>státní rozpoče</w:t>
      </w:r>
      <w:r>
        <w:rPr>
          <w:rFonts w:cs="Arial"/>
        </w:rPr>
        <w:t>t</w:t>
      </w:r>
      <w:r>
        <w:rPr>
          <w:rFonts w:cs="Arial"/>
        </w:rPr>
        <w:tab/>
      </w:r>
      <w:r>
        <w:rPr>
          <w:rFonts w:cs="Arial"/>
        </w:rPr>
        <w:tab/>
        <w:t xml:space="preserve">  </w:t>
      </w:r>
      <w:r w:rsidRPr="00CB13B8">
        <w:rPr>
          <w:rFonts w:cs="Arial"/>
        </w:rPr>
        <w:t>5 %</w:t>
      </w:r>
      <w:r>
        <w:rPr>
          <w:rFonts w:cs="Arial"/>
        </w:rPr>
        <w:t xml:space="preserve"> z celkových způsobilých výdajů</w:t>
      </w:r>
      <w:r w:rsidRPr="00CB13B8">
        <w:rPr>
          <w:rFonts w:cs="Arial"/>
        </w:rPr>
        <w:t xml:space="preserve">, </w:t>
      </w:r>
    </w:p>
    <w:p w:rsidR="006816D2" w:rsidRPr="00CB13B8" w:rsidRDefault="006816D2" w:rsidP="006816D2">
      <w:pPr>
        <w:pStyle w:val="Odstavecseseznamem"/>
        <w:numPr>
          <w:ilvl w:val="0"/>
          <w:numId w:val="52"/>
        </w:numPr>
        <w:suppressAutoHyphens/>
        <w:rPr>
          <w:rFonts w:cs="Arial"/>
        </w:rPr>
      </w:pPr>
      <w:r>
        <w:rPr>
          <w:rFonts w:cs="Arial"/>
        </w:rPr>
        <w:t>příjemce</w:t>
      </w:r>
      <w:r>
        <w:rPr>
          <w:rFonts w:cs="Arial"/>
        </w:rPr>
        <w:tab/>
      </w:r>
      <w:r>
        <w:rPr>
          <w:rFonts w:cs="Arial"/>
        </w:rPr>
        <w:tab/>
      </w:r>
      <w:r>
        <w:rPr>
          <w:rFonts w:cs="Arial"/>
        </w:rPr>
        <w:tab/>
      </w:r>
      <w:r w:rsidRPr="00CB13B8">
        <w:rPr>
          <w:rFonts w:cs="Arial"/>
        </w:rPr>
        <w:t>10 %</w:t>
      </w:r>
      <w:r>
        <w:rPr>
          <w:rFonts w:cs="Arial"/>
        </w:rPr>
        <w:t xml:space="preserve"> z celkových způsobilých výdajů</w:t>
      </w:r>
      <w:r w:rsidRPr="00CB13B8">
        <w:rPr>
          <w:rFonts w:cs="Arial"/>
        </w:rPr>
        <w:t>.</w:t>
      </w:r>
    </w:p>
    <w:p w:rsidR="006816D2" w:rsidRPr="00CB13B8" w:rsidRDefault="006816D2" w:rsidP="006816D2">
      <w:pPr>
        <w:rPr>
          <w:rFonts w:cs="Arial"/>
        </w:rPr>
      </w:pPr>
      <w:r w:rsidRPr="00CB13B8">
        <w:rPr>
          <w:rFonts w:cs="Arial"/>
          <w:b/>
        </w:rPr>
        <w:lastRenderedPageBreak/>
        <w:t xml:space="preserve">3) </w:t>
      </w:r>
      <w:r w:rsidRPr="00192DF4">
        <w:rPr>
          <w:rFonts w:cs="Arial"/>
          <w:b/>
        </w:rPr>
        <w:t>Organizace zakládané kraji</w:t>
      </w:r>
      <w:r>
        <w:rPr>
          <w:rFonts w:cs="Arial"/>
          <w:b/>
        </w:rPr>
        <w:t>, obcemi, dobrovolnými svazky obcí, nestátní neziskové organizace, církve a církevní organizace, jejichž hlavním účelem není vytváření zisku a současně vykonávají veřejně prospěšnou činnost v oblasti sociálních služeb a aktivit sociálního začleňování</w:t>
      </w:r>
      <w:r w:rsidRPr="00192DF4">
        <w:rPr>
          <w:rFonts w:cs="Arial"/>
          <w:b/>
        </w:rPr>
        <w:t xml:space="preserve"> </w:t>
      </w:r>
    </w:p>
    <w:p w:rsidR="006816D2" w:rsidRPr="00CB13B8" w:rsidRDefault="006816D2" w:rsidP="006816D2">
      <w:pPr>
        <w:pStyle w:val="Odstavecseseznamem"/>
        <w:numPr>
          <w:ilvl w:val="0"/>
          <w:numId w:val="52"/>
        </w:numPr>
        <w:suppressAutoHyphens/>
        <w:rPr>
          <w:rFonts w:cs="Arial"/>
        </w:rPr>
      </w:pPr>
      <w:r>
        <w:rPr>
          <w:rFonts w:cs="Arial"/>
        </w:rPr>
        <w:t>EFRR</w:t>
      </w:r>
      <w:r>
        <w:rPr>
          <w:rFonts w:cs="Arial"/>
        </w:rPr>
        <w:tab/>
      </w:r>
      <w:r>
        <w:rPr>
          <w:rFonts w:cs="Arial"/>
        </w:rPr>
        <w:tab/>
      </w:r>
      <w:r>
        <w:rPr>
          <w:rFonts w:cs="Arial"/>
        </w:rPr>
        <w:tab/>
      </w:r>
      <w:r>
        <w:rPr>
          <w:rFonts w:cs="Arial"/>
        </w:rPr>
        <w:tab/>
      </w:r>
      <w:r w:rsidRPr="00CB13B8">
        <w:rPr>
          <w:rFonts w:cs="Arial"/>
        </w:rPr>
        <w:t>85 %</w:t>
      </w:r>
      <w:r>
        <w:rPr>
          <w:rFonts w:cs="Arial"/>
        </w:rPr>
        <w:t xml:space="preserve"> z celkových způsobilých výdajů</w:t>
      </w:r>
      <w:r w:rsidRPr="00CB13B8">
        <w:rPr>
          <w:rFonts w:cs="Arial"/>
        </w:rPr>
        <w:t xml:space="preserve">, </w:t>
      </w:r>
    </w:p>
    <w:p w:rsidR="006816D2" w:rsidRPr="00CB13B8" w:rsidRDefault="006816D2" w:rsidP="006816D2">
      <w:pPr>
        <w:pStyle w:val="Odstavecseseznamem"/>
        <w:numPr>
          <w:ilvl w:val="0"/>
          <w:numId w:val="52"/>
        </w:numPr>
        <w:suppressAutoHyphens/>
        <w:rPr>
          <w:rFonts w:cs="Arial"/>
        </w:rPr>
      </w:pPr>
      <w:r w:rsidRPr="00CB13B8">
        <w:rPr>
          <w:rFonts w:cs="Arial"/>
        </w:rPr>
        <w:t>státní rozpoče</w:t>
      </w:r>
      <w:r>
        <w:rPr>
          <w:rFonts w:cs="Arial"/>
        </w:rPr>
        <w:t>t</w:t>
      </w:r>
      <w:r>
        <w:rPr>
          <w:rFonts w:cs="Arial"/>
        </w:rPr>
        <w:tab/>
      </w:r>
      <w:r>
        <w:rPr>
          <w:rFonts w:cs="Arial"/>
        </w:rPr>
        <w:tab/>
        <w:t>1</w:t>
      </w:r>
      <w:r w:rsidRPr="00CB13B8">
        <w:rPr>
          <w:rFonts w:cs="Arial"/>
        </w:rPr>
        <w:t>0 %</w:t>
      </w:r>
      <w:r>
        <w:rPr>
          <w:rFonts w:cs="Arial"/>
        </w:rPr>
        <w:t xml:space="preserve"> z celkových způsobilých výdajů</w:t>
      </w:r>
      <w:r w:rsidRPr="00CB13B8">
        <w:rPr>
          <w:rFonts w:cs="Arial"/>
        </w:rPr>
        <w:t>,</w:t>
      </w:r>
    </w:p>
    <w:p w:rsidR="006816D2" w:rsidRDefault="006816D2" w:rsidP="006816D2">
      <w:pPr>
        <w:pStyle w:val="Odstavecseseznamem"/>
        <w:numPr>
          <w:ilvl w:val="0"/>
          <w:numId w:val="52"/>
        </w:numPr>
        <w:suppressAutoHyphens/>
        <w:rPr>
          <w:rFonts w:cs="Arial"/>
        </w:rPr>
      </w:pPr>
      <w:r>
        <w:rPr>
          <w:rFonts w:cs="Arial"/>
        </w:rPr>
        <w:t>příjemce</w:t>
      </w:r>
      <w:r>
        <w:rPr>
          <w:rFonts w:cs="Arial"/>
        </w:rPr>
        <w:tab/>
      </w:r>
      <w:r>
        <w:rPr>
          <w:rFonts w:cs="Arial"/>
        </w:rPr>
        <w:tab/>
      </w:r>
      <w:r>
        <w:rPr>
          <w:rFonts w:cs="Arial"/>
        </w:rPr>
        <w:tab/>
      </w:r>
      <w:r w:rsidRPr="00CB13B8">
        <w:rPr>
          <w:rFonts w:cs="Arial"/>
        </w:rPr>
        <w:t>5 %</w:t>
      </w:r>
      <w:r>
        <w:rPr>
          <w:rFonts w:cs="Arial"/>
        </w:rPr>
        <w:t xml:space="preserve"> z celkových způsobilých výdajů</w:t>
      </w:r>
      <w:r w:rsidRPr="00CB13B8">
        <w:rPr>
          <w:rFonts w:cs="Arial"/>
        </w:rPr>
        <w:t>.</w:t>
      </w:r>
    </w:p>
    <w:p w:rsidR="006816D2" w:rsidRPr="004B2F6E" w:rsidRDefault="006816D2" w:rsidP="006816D2">
      <w:pPr>
        <w:rPr>
          <w:b/>
        </w:rPr>
      </w:pPr>
      <w:r w:rsidRPr="004B2F6E">
        <w:rPr>
          <w:b/>
        </w:rPr>
        <w:t xml:space="preserve">Celková alokace výzvy: </w:t>
      </w:r>
    </w:p>
    <w:p w:rsidR="00721D10" w:rsidRPr="00AC18F5" w:rsidRDefault="00721D10" w:rsidP="00721D10">
      <w:pPr>
        <w:pStyle w:val="Odstavecseseznamem"/>
        <w:numPr>
          <w:ilvl w:val="0"/>
          <w:numId w:val="45"/>
        </w:numPr>
        <w:rPr>
          <w:b/>
        </w:rPr>
      </w:pPr>
      <w:r w:rsidRPr="00C41B2E">
        <w:rPr>
          <w:b/>
        </w:rPr>
        <w:t>741</w:t>
      </w:r>
      <w:r>
        <w:rPr>
          <w:b/>
        </w:rPr>
        <w:t> </w:t>
      </w:r>
      <w:r w:rsidRPr="00C41B2E">
        <w:rPr>
          <w:b/>
        </w:rPr>
        <w:t>176</w:t>
      </w:r>
      <w:r>
        <w:rPr>
          <w:b/>
        </w:rPr>
        <w:t xml:space="preserve"> </w:t>
      </w:r>
      <w:r w:rsidRPr="00C41B2E">
        <w:rPr>
          <w:b/>
        </w:rPr>
        <w:t>471</w:t>
      </w:r>
      <w:r w:rsidRPr="00AC18F5">
        <w:rPr>
          <w:b/>
        </w:rPr>
        <w:t>Kč</w:t>
      </w:r>
    </w:p>
    <w:p w:rsidR="006816D2" w:rsidRPr="00EA3680" w:rsidRDefault="006816D2" w:rsidP="006816D2">
      <w:r w:rsidRPr="00EA3680">
        <w:t>z toho činí podíl:</w:t>
      </w:r>
    </w:p>
    <w:p w:rsidR="006816D2" w:rsidRPr="00EA3680" w:rsidRDefault="006816D2" w:rsidP="006816D2">
      <w:pPr>
        <w:pStyle w:val="Odstavecseseznamem"/>
        <w:numPr>
          <w:ilvl w:val="0"/>
          <w:numId w:val="25"/>
        </w:numPr>
      </w:pPr>
      <w:r w:rsidRPr="00EA3680">
        <w:t>EFRR</w:t>
      </w:r>
      <w:r w:rsidR="00721D10">
        <w:tab/>
      </w:r>
      <w:r w:rsidR="00721D10">
        <w:tab/>
      </w:r>
      <w:r w:rsidR="00721D10">
        <w:tab/>
      </w:r>
      <w:r w:rsidR="00721D10">
        <w:tab/>
        <w:t xml:space="preserve">           </w:t>
      </w:r>
      <w:r w:rsidR="00721D10" w:rsidRPr="00721D10">
        <w:t>630 000</w:t>
      </w:r>
      <w:r w:rsidR="00721D10">
        <w:t> </w:t>
      </w:r>
      <w:r w:rsidR="00721D10" w:rsidRPr="00721D10">
        <w:t>000</w:t>
      </w:r>
      <w:r w:rsidR="00721D10">
        <w:t xml:space="preserve"> </w:t>
      </w:r>
      <w:r w:rsidRPr="00EA3680">
        <w:t>Kč,</w:t>
      </w:r>
    </w:p>
    <w:p w:rsidR="006816D2" w:rsidRDefault="00EC395C" w:rsidP="006816D2">
      <w:pPr>
        <w:pStyle w:val="Odstavecseseznamem"/>
        <w:numPr>
          <w:ilvl w:val="0"/>
          <w:numId w:val="25"/>
        </w:numPr>
      </w:pPr>
      <w:r>
        <w:t xml:space="preserve">národního </w:t>
      </w:r>
      <w:proofErr w:type="gramStart"/>
      <w:r>
        <w:t xml:space="preserve">spolufinancování         </w:t>
      </w:r>
      <w:r w:rsidRPr="00EC395C">
        <w:t>111 176 471</w:t>
      </w:r>
      <w:proofErr w:type="gramEnd"/>
      <w:r w:rsidRPr="00EC395C">
        <w:t xml:space="preserve"> Kč</w:t>
      </w:r>
      <w:r w:rsidR="006816D2" w:rsidRPr="00EA3680">
        <w:t>.</w:t>
      </w:r>
    </w:p>
    <w:p w:rsidR="00AB7639" w:rsidRPr="008807E3" w:rsidRDefault="00AB7639" w:rsidP="0076468A">
      <w:pPr>
        <w:pStyle w:val="Pravidla11"/>
        <w:spacing w:after="0"/>
      </w:pPr>
      <w:bookmarkStart w:id="47" w:name="_Toc455143130"/>
      <w:r w:rsidRPr="008807E3">
        <w:t>Způsobil</w:t>
      </w:r>
      <w:r w:rsidR="00D93144">
        <w:t>é</w:t>
      </w:r>
      <w:r w:rsidRPr="008807E3">
        <w:t xml:space="preserve"> výdaje</w:t>
      </w:r>
      <w:bookmarkEnd w:id="47"/>
    </w:p>
    <w:p w:rsidR="00AB7639" w:rsidRPr="00270B84" w:rsidRDefault="00AB7639" w:rsidP="00EA3680">
      <w:r w:rsidRPr="00270B84">
        <w:t>Základní hlediska způsobilosti výdaje jsou uvedena v kapitole 10.1 Obecných pravidel.</w:t>
      </w:r>
    </w:p>
    <w:p w:rsidR="00AB7639" w:rsidRPr="00270B84" w:rsidRDefault="00AB7639" w:rsidP="00EA3680">
      <w:r w:rsidRPr="00270B84">
        <w:t>Příjemce je povinen řádně doložit způsobilé výdaje příslušným účetním dokladem, popřípadě další požadovanou dokumentací. Výdaje, byť z věcného hlediska způsobilé, které nejsou řádně doložené, jsou vždy považovány za výdaje nezpůsobilé.</w:t>
      </w:r>
    </w:p>
    <w:p w:rsidR="00AB7639" w:rsidRPr="009F1474" w:rsidRDefault="00AB7639" w:rsidP="00EA3680">
      <w:pPr>
        <w:rPr>
          <w:b/>
        </w:rPr>
      </w:pPr>
      <w:bookmarkStart w:id="48" w:name="_Toc421693597"/>
      <w:bookmarkStart w:id="49" w:name="_Toc421707115"/>
      <w:bookmarkStart w:id="50" w:name="_Toc423535850"/>
      <w:bookmarkStart w:id="51" w:name="_Toc424550797"/>
      <w:bookmarkStart w:id="52" w:name="_Toc424642769"/>
      <w:bookmarkStart w:id="53" w:name="_Toc425226970"/>
      <w:r w:rsidRPr="009F1474">
        <w:rPr>
          <w:b/>
        </w:rPr>
        <w:t>Způsobilé výdaje:</w:t>
      </w:r>
      <w:bookmarkEnd w:id="48"/>
      <w:bookmarkEnd w:id="49"/>
      <w:bookmarkEnd w:id="50"/>
      <w:bookmarkEnd w:id="51"/>
      <w:bookmarkEnd w:id="52"/>
      <w:bookmarkEnd w:id="53"/>
    </w:p>
    <w:p w:rsidR="00AB7639" w:rsidRPr="00270B84" w:rsidRDefault="00AB7639" w:rsidP="00EA3680">
      <w:pPr>
        <w:pStyle w:val="Odstavecseseznamem"/>
        <w:numPr>
          <w:ilvl w:val="0"/>
          <w:numId w:val="17"/>
        </w:numPr>
      </w:pPr>
      <w:r w:rsidRPr="00270B84">
        <w:t xml:space="preserve">musí být vynaloženy v souladu s cíli programu a specifického cíle 2.1, </w:t>
      </w:r>
    </w:p>
    <w:p w:rsidR="00AB7639" w:rsidRPr="00270B84" w:rsidRDefault="00AB7639" w:rsidP="00EA3680">
      <w:pPr>
        <w:pStyle w:val="Odstavecseseznamem"/>
        <w:numPr>
          <w:ilvl w:val="0"/>
          <w:numId w:val="17"/>
        </w:numPr>
      </w:pPr>
      <w:r w:rsidRPr="00270B84">
        <w:t>musí přímo souviset s realizací projektu,</w:t>
      </w:r>
    </w:p>
    <w:p w:rsidR="00C208CD" w:rsidRDefault="00AB7639" w:rsidP="00C208CD">
      <w:pPr>
        <w:pStyle w:val="Odstavecseseznamem"/>
        <w:numPr>
          <w:ilvl w:val="0"/>
          <w:numId w:val="17"/>
        </w:numPr>
      </w:pPr>
      <w:r w:rsidRPr="00270B84">
        <w:t>musí vzniknout a být vynaloženy v období od 1. 1. 2014 do data ukončení</w:t>
      </w:r>
      <w:r w:rsidR="006B7A0A" w:rsidRPr="00270B84">
        <w:t xml:space="preserve"> realizace</w:t>
      </w:r>
      <w:r w:rsidRPr="00270B84">
        <w:t xml:space="preserve"> projektu </w:t>
      </w:r>
      <w:r w:rsidR="00C208CD">
        <w:t>uvedeného</w:t>
      </w:r>
      <w:r w:rsidR="00C208CD" w:rsidRPr="00270B84">
        <w:t xml:space="preserve"> </w:t>
      </w:r>
      <w:r w:rsidR="00FD4277">
        <w:t xml:space="preserve">na </w:t>
      </w:r>
      <w:r w:rsidRPr="00270B84">
        <w:t>Rozhodnutí</w:t>
      </w:r>
      <w:r w:rsidR="00C231B9">
        <w:t>/</w:t>
      </w:r>
      <w:r w:rsidR="00C208CD">
        <w:t>Stanovení výdajů</w:t>
      </w:r>
      <w:r w:rsidR="00C208CD" w:rsidRPr="00270B84">
        <w:t>,</w:t>
      </w:r>
    </w:p>
    <w:p w:rsidR="00FC7CAC" w:rsidRPr="00270B84" w:rsidRDefault="00FC7CAC" w:rsidP="00C208CD">
      <w:pPr>
        <w:pStyle w:val="Odstavecseseznamem"/>
        <w:numPr>
          <w:ilvl w:val="0"/>
          <w:numId w:val="17"/>
        </w:numPr>
      </w:pPr>
      <w:r>
        <w:t xml:space="preserve">musí být </w:t>
      </w:r>
      <w:r w:rsidR="001D5858">
        <w:t xml:space="preserve">doloženy </w:t>
      </w:r>
      <w:r>
        <w:t>průkaznými doklady,</w:t>
      </w:r>
    </w:p>
    <w:p w:rsidR="00AB7639" w:rsidRPr="00270B84" w:rsidRDefault="00AB7639" w:rsidP="00EA3680">
      <w:pPr>
        <w:pStyle w:val="Odstavecseseznamem"/>
        <w:numPr>
          <w:ilvl w:val="0"/>
          <w:numId w:val="17"/>
        </w:numPr>
      </w:pPr>
      <w:r w:rsidRPr="00270B84">
        <w:t>nesmí přesáhnout výši výdajů</w:t>
      </w:r>
      <w:r w:rsidRPr="00270B84" w:rsidDel="0022147C">
        <w:t xml:space="preserve"> </w:t>
      </w:r>
      <w:r w:rsidRPr="00270B84">
        <w:t>uvedenou v</w:t>
      </w:r>
      <w:r w:rsidR="00E21ECA">
        <w:t>e</w:t>
      </w:r>
      <w:r w:rsidRPr="00270B84">
        <w:t xml:space="preserve"> smlouvě s dodavatelem.</w:t>
      </w:r>
    </w:p>
    <w:p w:rsidR="002701B5" w:rsidRPr="00C4211B" w:rsidRDefault="002701B5" w:rsidP="00EA3680">
      <w:pPr>
        <w:pStyle w:val="Odstavecseseznamem"/>
      </w:pPr>
    </w:p>
    <w:p w:rsidR="00B516E9" w:rsidRPr="00401481" w:rsidRDefault="004B38AD" w:rsidP="00401481">
      <w:pPr>
        <w:spacing w:before="240" w:after="0"/>
        <w:rPr>
          <w:b/>
        </w:rPr>
      </w:pPr>
      <w:r w:rsidRPr="00401481">
        <w:rPr>
          <w:b/>
        </w:rPr>
        <w:t xml:space="preserve">Způsobilé výdaje </w:t>
      </w:r>
      <w:r w:rsidR="00090771" w:rsidRPr="00401481">
        <w:rPr>
          <w:b/>
        </w:rPr>
        <w:t>pro hlavní aktivit</w:t>
      </w:r>
      <w:r w:rsidR="00F44806" w:rsidRPr="00401481">
        <w:rPr>
          <w:b/>
        </w:rPr>
        <w:t>u</w:t>
      </w:r>
      <w:r w:rsidR="00090771" w:rsidRPr="00401481">
        <w:rPr>
          <w:b/>
        </w:rPr>
        <w:t xml:space="preserve"> projektu</w:t>
      </w:r>
      <w:r w:rsidR="000B3F30" w:rsidRPr="00401481">
        <w:rPr>
          <w:b/>
        </w:rPr>
        <w:t xml:space="preserve"> </w:t>
      </w:r>
    </w:p>
    <w:p w:rsidR="00B516E9" w:rsidRPr="00270B84" w:rsidRDefault="00B516E9" w:rsidP="00EA3680">
      <w:r w:rsidRPr="00270B84">
        <w:t xml:space="preserve">Hlavní aktivitou projektu jsou ty aktivity, které </w:t>
      </w:r>
      <w:r w:rsidR="00A33B63">
        <w:t>vedou</w:t>
      </w:r>
      <w:r w:rsidRPr="00270B84">
        <w:t xml:space="preserve"> k naplnění cílů a indikátorů projektu. </w:t>
      </w:r>
    </w:p>
    <w:p w:rsidR="001F14B1" w:rsidRDefault="001F14B1" w:rsidP="001F14B1">
      <w:pPr>
        <w:pStyle w:val="Odstavecseseznamem"/>
        <w:numPr>
          <w:ilvl w:val="0"/>
          <w:numId w:val="5"/>
        </w:numPr>
      </w:pPr>
      <w:r>
        <w:t xml:space="preserve">výstavba </w:t>
      </w:r>
      <w:r w:rsidRPr="001F14B1">
        <w:t xml:space="preserve">budov, </w:t>
      </w:r>
    </w:p>
    <w:p w:rsidR="000A0B9A" w:rsidRDefault="000A0B9A" w:rsidP="00EA3680">
      <w:pPr>
        <w:pStyle w:val="Odstavecseseznamem"/>
        <w:numPr>
          <w:ilvl w:val="0"/>
          <w:numId w:val="5"/>
        </w:numPr>
      </w:pPr>
      <w:r>
        <w:t xml:space="preserve">nákup budov, </w:t>
      </w:r>
    </w:p>
    <w:p w:rsidR="00D9720A" w:rsidRDefault="00A33B63" w:rsidP="00EA3680">
      <w:pPr>
        <w:pStyle w:val="Odstavecseseznamem"/>
        <w:numPr>
          <w:ilvl w:val="0"/>
          <w:numId w:val="5"/>
        </w:numPr>
      </w:pPr>
      <w:r>
        <w:t>zhodnocení</w:t>
      </w:r>
      <w:r w:rsidR="00712E8C" w:rsidRPr="00270B84">
        <w:t xml:space="preserve"> staveb</w:t>
      </w:r>
      <w:r w:rsidR="005828C6" w:rsidRPr="00270B84">
        <w:t>,</w:t>
      </w:r>
      <w:r w:rsidR="007775B6">
        <w:t xml:space="preserve"> </w:t>
      </w:r>
    </w:p>
    <w:p w:rsidR="00B31DE0" w:rsidRDefault="00B31DE0" w:rsidP="00EA3680">
      <w:pPr>
        <w:pStyle w:val="Odstavecseseznamem"/>
        <w:numPr>
          <w:ilvl w:val="0"/>
          <w:numId w:val="5"/>
        </w:numPr>
      </w:pPr>
      <w:r>
        <w:t>rekonstrukce stávajících objektů,</w:t>
      </w:r>
    </w:p>
    <w:p w:rsidR="00B31DE0" w:rsidRPr="00270B84" w:rsidRDefault="00B31DE0" w:rsidP="00EA3680">
      <w:pPr>
        <w:pStyle w:val="Odstavecseseznamem"/>
        <w:numPr>
          <w:ilvl w:val="0"/>
          <w:numId w:val="5"/>
        </w:numPr>
      </w:pPr>
      <w:r>
        <w:t xml:space="preserve">vytvoření zázemí </w:t>
      </w:r>
      <w:r w:rsidR="008724A4">
        <w:t xml:space="preserve">sociálních </w:t>
      </w:r>
      <w:r>
        <w:t>služeb,</w:t>
      </w:r>
    </w:p>
    <w:p w:rsidR="00700906" w:rsidRDefault="002F200C" w:rsidP="0076468A">
      <w:pPr>
        <w:pStyle w:val="Odstavecseseznamem"/>
        <w:numPr>
          <w:ilvl w:val="0"/>
          <w:numId w:val="5"/>
        </w:numPr>
      </w:pPr>
      <w:r w:rsidRPr="00A33B63">
        <w:t>p</w:t>
      </w:r>
      <w:r w:rsidR="00341EA6" w:rsidRPr="00A33B63">
        <w:t xml:space="preserve">ořízení </w:t>
      </w:r>
      <w:r w:rsidR="00A33B63">
        <w:t>vybavení</w:t>
      </w:r>
      <w:r w:rsidR="0074471F">
        <w:t xml:space="preserve"> s přímou vazbou na poskytovanou sociální službu</w:t>
      </w:r>
      <w:r w:rsidR="007120EE">
        <w:t xml:space="preserve"> </w:t>
      </w:r>
      <w:r w:rsidR="0074471F">
        <w:t xml:space="preserve">(v případě pobytových služeb </w:t>
      </w:r>
      <w:r w:rsidR="0074471F" w:rsidRPr="0074471F">
        <w:t xml:space="preserve">využije </w:t>
      </w:r>
      <w:r w:rsidR="00224D3F">
        <w:t>žadatel</w:t>
      </w:r>
      <w:r w:rsidR="0074471F" w:rsidRPr="0074471F">
        <w:t xml:space="preserve"> Materiálně</w:t>
      </w:r>
      <w:r w:rsidR="0076468A">
        <w:t>-</w:t>
      </w:r>
      <w:r w:rsidR="0074471F" w:rsidRPr="0074471F">
        <w:t>technický standard pro služby sociální péče poskytované pobytovou formou</w:t>
      </w:r>
      <w:r w:rsidR="0076468A">
        <w:t xml:space="preserve"> (</w:t>
      </w:r>
      <w:hyperlink r:id="rId15" w:history="1">
        <w:r w:rsidR="0076468A" w:rsidRPr="002E613E">
          <w:rPr>
            <w:rStyle w:val="Hypertextovodkaz"/>
          </w:rPr>
          <w:t>http://www.mpsv.cz/cs/13916</w:t>
        </w:r>
      </w:hyperlink>
      <w:r w:rsidR="00224D3F">
        <w:t>)</w:t>
      </w:r>
      <w:r w:rsidR="002E613E">
        <w:t>,</w:t>
      </w:r>
      <w:r w:rsidR="00B132F7">
        <w:t xml:space="preserve"> </w:t>
      </w:r>
    </w:p>
    <w:p w:rsidR="000428AB" w:rsidRPr="00270B84" w:rsidRDefault="00DE14EF" w:rsidP="00EA3680">
      <w:pPr>
        <w:pStyle w:val="Odstavecseseznamem"/>
        <w:numPr>
          <w:ilvl w:val="0"/>
          <w:numId w:val="5"/>
        </w:numPr>
      </w:pPr>
      <w:r>
        <w:t>n</w:t>
      </w:r>
      <w:r w:rsidR="000428AB">
        <w:t xml:space="preserve">ákup automobilu </w:t>
      </w:r>
      <w:r w:rsidR="00CE1557">
        <w:t>(</w:t>
      </w:r>
      <w:r>
        <w:t xml:space="preserve">pouze </w:t>
      </w:r>
      <w:r w:rsidR="000428AB">
        <w:t>v</w:t>
      </w:r>
      <w:r>
        <w:t> </w:t>
      </w:r>
      <w:r w:rsidR="000428AB">
        <w:t>případě</w:t>
      </w:r>
      <w:r>
        <w:t>,</w:t>
      </w:r>
      <w:r w:rsidR="000428AB">
        <w:t xml:space="preserve"> že se </w:t>
      </w:r>
      <w:r>
        <w:t>jedná</w:t>
      </w:r>
      <w:r w:rsidR="000428AB">
        <w:t xml:space="preserve"> o poskytovanou terénní sociální službu</w:t>
      </w:r>
      <w:r w:rsidR="00CE1557">
        <w:t>)</w:t>
      </w:r>
      <w:r>
        <w:t>.</w:t>
      </w:r>
    </w:p>
    <w:p w:rsidR="002F200C" w:rsidRPr="00401481" w:rsidRDefault="004B38AD" w:rsidP="00401481">
      <w:pPr>
        <w:spacing w:before="240" w:after="0"/>
        <w:rPr>
          <w:b/>
        </w:rPr>
      </w:pPr>
      <w:r w:rsidRPr="00401481">
        <w:rPr>
          <w:b/>
        </w:rPr>
        <w:lastRenderedPageBreak/>
        <w:t xml:space="preserve">Způsobilé výdaje </w:t>
      </w:r>
      <w:r w:rsidR="002F200C" w:rsidRPr="00401481">
        <w:rPr>
          <w:b/>
        </w:rPr>
        <w:t>pro vedlejší aktivit</w:t>
      </w:r>
      <w:r w:rsidR="00F44806" w:rsidRPr="00401481">
        <w:rPr>
          <w:b/>
        </w:rPr>
        <w:t>u</w:t>
      </w:r>
      <w:r w:rsidR="002F200C" w:rsidRPr="00401481">
        <w:rPr>
          <w:b/>
        </w:rPr>
        <w:t xml:space="preserve"> projektu</w:t>
      </w:r>
    </w:p>
    <w:p w:rsidR="00FD474C" w:rsidRDefault="002F200C" w:rsidP="00CD66F1">
      <w:pPr>
        <w:pStyle w:val="Odstavecseseznamem"/>
        <w:numPr>
          <w:ilvl w:val="0"/>
          <w:numId w:val="5"/>
        </w:numPr>
      </w:pPr>
      <w:r w:rsidRPr="00270B84">
        <w:t>nákup pozemků do 10 % celkových způsobilých výdajů projektu</w:t>
      </w:r>
      <w:r w:rsidR="005828C6" w:rsidRPr="00270B84">
        <w:t>,</w:t>
      </w:r>
    </w:p>
    <w:p w:rsidR="00650F48" w:rsidRDefault="00650F48" w:rsidP="00650F48">
      <w:pPr>
        <w:pStyle w:val="Odstavecseseznamem"/>
        <w:numPr>
          <w:ilvl w:val="0"/>
          <w:numId w:val="5"/>
        </w:numPr>
        <w:rPr>
          <w:lang w:eastAsia="cs-CZ"/>
        </w:rPr>
      </w:pPr>
      <w:r>
        <w:rPr>
          <w:lang w:eastAsia="cs-CZ"/>
        </w:rPr>
        <w:t>zeleň v okolí budov a na budovách (zelené zdi a střechy, aleje, hřiště a parky),</w:t>
      </w:r>
    </w:p>
    <w:p w:rsidR="00FB4FA4" w:rsidRDefault="00FB4FA4" w:rsidP="00CD66F1">
      <w:pPr>
        <w:pStyle w:val="Odstavecseseznamem"/>
        <w:numPr>
          <w:ilvl w:val="0"/>
          <w:numId w:val="5"/>
        </w:numPr>
      </w:pPr>
      <w:r>
        <w:t>demolice původního objektu</w:t>
      </w:r>
      <w:r w:rsidR="009541CD">
        <w:t xml:space="preserve"> na místě realizace projektu</w:t>
      </w:r>
      <w:r w:rsidR="002E6519">
        <w:t>,</w:t>
      </w:r>
    </w:p>
    <w:p w:rsidR="00AA26EB" w:rsidRPr="00270B84" w:rsidRDefault="00AA26EB" w:rsidP="00EA3680">
      <w:pPr>
        <w:pStyle w:val="Odstavecseseznamem"/>
        <w:numPr>
          <w:ilvl w:val="0"/>
          <w:numId w:val="5"/>
        </w:numPr>
      </w:pPr>
      <w:r w:rsidRPr="00270B84">
        <w:t>zabezpečení výstavby (technický dozor investora, BOZP, autorský dozor)</w:t>
      </w:r>
      <w:r w:rsidR="00040EF1" w:rsidRPr="00270B84">
        <w:t>,</w:t>
      </w:r>
    </w:p>
    <w:p w:rsidR="00AA26EB" w:rsidRPr="00270B84" w:rsidRDefault="00AA26EB" w:rsidP="00EA3680">
      <w:pPr>
        <w:pStyle w:val="Odstavecseseznamem"/>
        <w:numPr>
          <w:ilvl w:val="0"/>
          <w:numId w:val="5"/>
        </w:numPr>
      </w:pPr>
      <w:r w:rsidRPr="00270B84">
        <w:t xml:space="preserve">projektová dokumentace stavby, EIA, </w:t>
      </w:r>
    </w:p>
    <w:p w:rsidR="00AA26EB" w:rsidRPr="00270B84" w:rsidRDefault="00AA26EB" w:rsidP="00EA3680">
      <w:pPr>
        <w:pStyle w:val="Odstavecseseznamem"/>
        <w:numPr>
          <w:ilvl w:val="0"/>
          <w:numId w:val="5"/>
        </w:numPr>
      </w:pPr>
      <w:r w:rsidRPr="00270B84">
        <w:t>studie proveditelnosti</w:t>
      </w:r>
      <w:r w:rsidR="00123192" w:rsidRPr="00270B84">
        <w:t>,</w:t>
      </w:r>
    </w:p>
    <w:p w:rsidR="005828C6" w:rsidRPr="00270B84" w:rsidRDefault="00AA26EB" w:rsidP="00EA3680">
      <w:pPr>
        <w:pStyle w:val="Odstavecseseznamem"/>
        <w:numPr>
          <w:ilvl w:val="0"/>
          <w:numId w:val="5"/>
        </w:numPr>
      </w:pPr>
      <w:r w:rsidRPr="00270B84">
        <w:t>pořízení služeb bezprostředně souvisejících s realizací projektu (příprava a realizace zadávacích a výběrových řízení</w:t>
      </w:r>
      <w:r w:rsidR="005828C6" w:rsidRPr="00270B84">
        <w:t>)</w:t>
      </w:r>
      <w:r w:rsidRPr="00270B84">
        <w:t xml:space="preserve">, </w:t>
      </w:r>
    </w:p>
    <w:p w:rsidR="00AA26EB" w:rsidRPr="00270B84" w:rsidRDefault="00AA26EB" w:rsidP="00EA3680">
      <w:pPr>
        <w:pStyle w:val="Odstavecseseznamem"/>
        <w:numPr>
          <w:ilvl w:val="0"/>
          <w:numId w:val="5"/>
        </w:numPr>
      </w:pPr>
      <w:r w:rsidRPr="00270B84">
        <w:t>povinná publicita</w:t>
      </w:r>
      <w:r w:rsidR="00040EF1" w:rsidRPr="00270B84">
        <w:t>,</w:t>
      </w:r>
    </w:p>
    <w:p w:rsidR="00BE09C2" w:rsidRDefault="00040EF1" w:rsidP="00BE09C2">
      <w:pPr>
        <w:pStyle w:val="Odstavecseseznamem"/>
        <w:numPr>
          <w:ilvl w:val="0"/>
          <w:numId w:val="5"/>
        </w:numPr>
      </w:pPr>
      <w:r w:rsidRPr="00270B84">
        <w:t>n</w:t>
      </w:r>
      <w:r w:rsidR="002C1CF6" w:rsidRPr="00270B84">
        <w:t>ákup služeb</w:t>
      </w:r>
      <w:r w:rsidR="00D41C75">
        <w:t>, které</w:t>
      </w:r>
      <w:r w:rsidR="002C1CF6" w:rsidRPr="00270B84">
        <w:t xml:space="preserve"> tvoří součást </w:t>
      </w:r>
      <w:r w:rsidR="005828C6" w:rsidRPr="00270B84">
        <w:t>poříze</w:t>
      </w:r>
      <w:r w:rsidR="002C1CF6" w:rsidRPr="00270B84">
        <w:t>ní dlouhodobého hmotného a nehmotného majetku</w:t>
      </w:r>
      <w:r w:rsidR="00A33B63">
        <w:t>,</w:t>
      </w:r>
      <w:r w:rsidR="00AF75F8">
        <w:t xml:space="preserve"> nejsou</w:t>
      </w:r>
      <w:r w:rsidR="008C2B4B">
        <w:t>-</w:t>
      </w:r>
      <w:r w:rsidR="006902B2">
        <w:t>li</w:t>
      </w:r>
      <w:r w:rsidR="00C208CD">
        <w:t xml:space="preserve"> tyto služby</w:t>
      </w:r>
      <w:r w:rsidR="006902B2">
        <w:t xml:space="preserve"> součástí</w:t>
      </w:r>
      <w:r w:rsidR="00AF75F8">
        <w:t xml:space="preserve"> pořizovací </w:t>
      </w:r>
      <w:r w:rsidR="00900798">
        <w:t>ceny vybavení</w:t>
      </w:r>
      <w:r w:rsidR="00405966">
        <w:t>.</w:t>
      </w:r>
      <w:r w:rsidR="002C1CF6" w:rsidRPr="00270B84">
        <w:t xml:space="preserve"> </w:t>
      </w:r>
    </w:p>
    <w:p w:rsidR="008724A4" w:rsidRDefault="008724A4" w:rsidP="0076468A">
      <w:pPr>
        <w:pStyle w:val="Odstavecseseznamem"/>
      </w:pPr>
    </w:p>
    <w:tbl>
      <w:tblPr>
        <w:tblStyle w:val="Mkatabulky"/>
        <w:tblW w:w="0" w:type="auto"/>
        <w:tblLook w:val="04A0" w:firstRow="1" w:lastRow="0" w:firstColumn="1" w:lastColumn="0" w:noHBand="0" w:noVBand="1"/>
      </w:tblPr>
      <w:tblGrid>
        <w:gridCol w:w="9218"/>
      </w:tblGrid>
      <w:tr w:rsidR="00BE09C2" w:rsidRPr="00B646EF" w:rsidTr="00CD5582">
        <w:tc>
          <w:tcPr>
            <w:tcW w:w="9218" w:type="dxa"/>
          </w:tcPr>
          <w:p w:rsidR="00BE09C2" w:rsidRPr="00114D4C" w:rsidRDefault="00BE09C2" w:rsidP="00CD5582">
            <w:pPr>
              <w:rPr>
                <w:b/>
                <w:lang w:val="cs-CZ"/>
              </w:rPr>
            </w:pPr>
            <w:r w:rsidRPr="00114D4C">
              <w:rPr>
                <w:b/>
              </w:rPr>
              <w:t>UPOZORNĚNÍ</w:t>
            </w:r>
          </w:p>
          <w:p w:rsidR="00BE09C2" w:rsidRPr="00C90443" w:rsidRDefault="00BE09C2" w:rsidP="00CD5582">
            <w:pPr>
              <w:rPr>
                <w:lang w:val="cs-CZ"/>
              </w:rPr>
            </w:pPr>
          </w:p>
          <w:p w:rsidR="00BE09C2" w:rsidRPr="004B2F6E" w:rsidRDefault="00BE09C2" w:rsidP="00CD5582">
            <w:pPr>
              <w:spacing w:after="200"/>
              <w:rPr>
                <w:lang w:val="cs-CZ" w:eastAsia="cs-CZ"/>
              </w:rPr>
            </w:pPr>
            <w:r w:rsidRPr="00332ABF">
              <w:rPr>
                <w:lang w:val="cs-CZ" w:eastAsia="cs-CZ"/>
              </w:rPr>
              <w:t>Při nákupu pozemku včetně budovy musí být ze znaleckého posudku/kupní smlouvy/dokladu o zaplacení jasně patrná cena určená zvlášť p</w:t>
            </w:r>
            <w:r>
              <w:rPr>
                <w:lang w:val="cs-CZ" w:eastAsia="cs-CZ"/>
              </w:rPr>
              <w:t>ro pozemek a zvlášť pro budovu.</w:t>
            </w:r>
          </w:p>
        </w:tc>
      </w:tr>
    </w:tbl>
    <w:p w:rsidR="00BE09C2" w:rsidRDefault="00BE09C2" w:rsidP="001C5E32">
      <w:pPr>
        <w:pStyle w:val="Odstavecseseznamem"/>
      </w:pPr>
    </w:p>
    <w:p w:rsidR="00A1651D" w:rsidRPr="00401481" w:rsidRDefault="00A1651D" w:rsidP="00401481">
      <w:pPr>
        <w:spacing w:after="0"/>
        <w:rPr>
          <w:b/>
        </w:rPr>
      </w:pPr>
      <w:r w:rsidRPr="00401481">
        <w:rPr>
          <w:b/>
        </w:rPr>
        <w:t>Dokladování způsobilých výdajů</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5"/>
        <w:gridCol w:w="5611"/>
      </w:tblGrid>
      <w:tr w:rsidR="00B43244" w:rsidTr="00B43244">
        <w:tc>
          <w:tcPr>
            <w:tcW w:w="1979" w:type="pct"/>
            <w:tcBorders>
              <w:top w:val="single" w:sz="12" w:space="0" w:color="auto"/>
              <w:left w:val="single" w:sz="12" w:space="0" w:color="auto"/>
              <w:bottom w:val="single" w:sz="6" w:space="0" w:color="auto"/>
              <w:right w:val="single" w:sz="6" w:space="0" w:color="auto"/>
            </w:tcBorders>
            <w:shd w:val="clear" w:color="auto" w:fill="auto"/>
          </w:tcPr>
          <w:p w:rsidR="00B43244" w:rsidRPr="00B43244" w:rsidRDefault="00B43244" w:rsidP="00B43244">
            <w:pPr>
              <w:rPr>
                <w:b/>
                <w:sz w:val="22"/>
                <w:szCs w:val="22"/>
              </w:rPr>
            </w:pPr>
            <w:r w:rsidRPr="00B43244">
              <w:rPr>
                <w:b/>
                <w:sz w:val="22"/>
                <w:szCs w:val="22"/>
              </w:rPr>
              <w:t>Stavby, rekonstrukce</w:t>
            </w:r>
          </w:p>
          <w:p w:rsidR="00B43244" w:rsidRPr="00B43244" w:rsidRDefault="00B43244" w:rsidP="00B43244">
            <w:pPr>
              <w:rPr>
                <w:b/>
                <w:sz w:val="22"/>
                <w:szCs w:val="22"/>
              </w:rPr>
            </w:pPr>
          </w:p>
        </w:tc>
        <w:tc>
          <w:tcPr>
            <w:tcW w:w="3021" w:type="pct"/>
            <w:tcBorders>
              <w:top w:val="single" w:sz="12" w:space="0" w:color="auto"/>
              <w:left w:val="single" w:sz="6" w:space="0" w:color="auto"/>
              <w:bottom w:val="single" w:sz="6" w:space="0" w:color="auto"/>
              <w:right w:val="single" w:sz="12" w:space="0" w:color="auto"/>
            </w:tcBorders>
            <w:shd w:val="clear" w:color="auto" w:fill="auto"/>
          </w:tcPr>
          <w:p w:rsidR="00B43244" w:rsidRPr="00B43244" w:rsidRDefault="00B43244" w:rsidP="00B43244">
            <w:pPr>
              <w:pStyle w:val="Odstavecseseznamem"/>
              <w:numPr>
                <w:ilvl w:val="0"/>
                <w:numId w:val="77"/>
              </w:numPr>
              <w:tabs>
                <w:tab w:val="clear" w:pos="720"/>
                <w:tab w:val="num" w:pos="290"/>
                <w:tab w:val="num" w:pos="1068"/>
              </w:tabs>
              <w:spacing w:after="0" w:line="276" w:lineRule="auto"/>
              <w:ind w:left="290" w:hanging="283"/>
              <w:rPr>
                <w:sz w:val="22"/>
                <w:szCs w:val="22"/>
              </w:rPr>
            </w:pPr>
            <w:r w:rsidRPr="00B43244">
              <w:rPr>
                <w:sz w:val="22"/>
                <w:szCs w:val="22"/>
              </w:rPr>
              <w:t>účetní/daňové doklady se zřejmou identifikací předmětu plnění pro posouzení způsobilosti výdaje;</w:t>
            </w:r>
          </w:p>
          <w:p w:rsidR="00B43244" w:rsidRPr="00B43244" w:rsidRDefault="00B43244" w:rsidP="00B43244">
            <w:pPr>
              <w:pStyle w:val="Odstavecseseznamem"/>
              <w:numPr>
                <w:ilvl w:val="0"/>
                <w:numId w:val="77"/>
              </w:numPr>
              <w:tabs>
                <w:tab w:val="clear" w:pos="720"/>
                <w:tab w:val="num" w:pos="290"/>
                <w:tab w:val="num" w:pos="1068"/>
              </w:tabs>
              <w:spacing w:after="0" w:line="276" w:lineRule="auto"/>
              <w:ind w:left="290" w:hanging="283"/>
              <w:rPr>
                <w:sz w:val="22"/>
                <w:szCs w:val="22"/>
              </w:rPr>
            </w:pPr>
            <w:r w:rsidRPr="00B43244">
              <w:rPr>
                <w:sz w:val="22"/>
                <w:szCs w:val="22"/>
              </w:rPr>
              <w:t>pokud nelze posoudit způsobilost výdaje podle identifikace předmětu plnění, doložit objednávku, dodací list, předávací protokol;</w:t>
            </w:r>
          </w:p>
          <w:p w:rsidR="00B43244" w:rsidRPr="00B43244" w:rsidRDefault="00B43244" w:rsidP="00B43244">
            <w:pPr>
              <w:pStyle w:val="Odstavecseseznamem"/>
              <w:numPr>
                <w:ilvl w:val="0"/>
                <w:numId w:val="77"/>
              </w:numPr>
              <w:tabs>
                <w:tab w:val="clear" w:pos="720"/>
                <w:tab w:val="num" w:pos="290"/>
                <w:tab w:val="num" w:pos="1068"/>
              </w:tabs>
              <w:spacing w:after="0" w:line="276" w:lineRule="auto"/>
              <w:ind w:left="1068" w:hanging="1061"/>
              <w:rPr>
                <w:sz w:val="22"/>
                <w:szCs w:val="22"/>
              </w:rPr>
            </w:pPr>
            <w:r w:rsidRPr="00B43244">
              <w:rPr>
                <w:sz w:val="22"/>
                <w:szCs w:val="22"/>
              </w:rPr>
              <w:t>doklad o zaplacení;</w:t>
            </w:r>
          </w:p>
          <w:p w:rsidR="00B43244" w:rsidRPr="00B43244" w:rsidRDefault="00B43244" w:rsidP="00B43244">
            <w:pPr>
              <w:pStyle w:val="Odstavecseseznamem"/>
              <w:numPr>
                <w:ilvl w:val="0"/>
                <w:numId w:val="77"/>
              </w:numPr>
              <w:tabs>
                <w:tab w:val="clear" w:pos="720"/>
                <w:tab w:val="num" w:pos="1068"/>
              </w:tabs>
              <w:spacing w:after="0" w:line="276" w:lineRule="auto"/>
              <w:ind w:left="290" w:hanging="283"/>
              <w:rPr>
                <w:sz w:val="22"/>
                <w:szCs w:val="22"/>
              </w:rPr>
            </w:pPr>
            <w:r w:rsidRPr="00B43244">
              <w:rPr>
                <w:sz w:val="22"/>
                <w:szCs w:val="22"/>
              </w:rPr>
              <w:t>smlouva o dílo (včetně položkového rozpočtu stavby);</w:t>
            </w:r>
          </w:p>
          <w:p w:rsidR="00B43244" w:rsidRPr="00B43244" w:rsidRDefault="00B43244" w:rsidP="00B43244">
            <w:pPr>
              <w:pStyle w:val="Odstavecseseznamem"/>
              <w:numPr>
                <w:ilvl w:val="0"/>
                <w:numId w:val="77"/>
              </w:numPr>
              <w:tabs>
                <w:tab w:val="clear" w:pos="720"/>
                <w:tab w:val="num" w:pos="1068"/>
              </w:tabs>
              <w:spacing w:after="0" w:line="276" w:lineRule="auto"/>
              <w:ind w:left="290" w:hanging="283"/>
              <w:rPr>
                <w:sz w:val="22"/>
                <w:szCs w:val="22"/>
              </w:rPr>
            </w:pPr>
            <w:r w:rsidRPr="00B43244">
              <w:rPr>
                <w:sz w:val="22"/>
                <w:szCs w:val="22"/>
              </w:rPr>
              <w:t>protokol o předání a převzetí díla/stavby;</w:t>
            </w:r>
          </w:p>
          <w:p w:rsidR="00B43244" w:rsidRPr="00B43244" w:rsidRDefault="00B43244" w:rsidP="00B43244">
            <w:pPr>
              <w:pStyle w:val="Odstavecseseznamem"/>
              <w:numPr>
                <w:ilvl w:val="0"/>
                <w:numId w:val="77"/>
              </w:numPr>
              <w:tabs>
                <w:tab w:val="clear" w:pos="720"/>
                <w:tab w:val="num" w:pos="1068"/>
              </w:tabs>
              <w:spacing w:after="0" w:line="276" w:lineRule="auto"/>
              <w:ind w:left="290" w:hanging="283"/>
              <w:rPr>
                <w:sz w:val="22"/>
                <w:szCs w:val="22"/>
              </w:rPr>
            </w:pPr>
            <w:r w:rsidRPr="00B43244">
              <w:rPr>
                <w:sz w:val="22"/>
                <w:szCs w:val="22"/>
              </w:rPr>
              <w:t>soubor čerpání odpovídající výdajům v dané žádosti o platbu ve struktuře položkového rozpočtu stavby v odpovídajícím elektronickém formátu;</w:t>
            </w:r>
          </w:p>
          <w:p w:rsidR="00B43244" w:rsidRPr="00B43244" w:rsidRDefault="00B43244" w:rsidP="00B43244">
            <w:pPr>
              <w:pStyle w:val="Odstavecseseznamem"/>
              <w:numPr>
                <w:ilvl w:val="0"/>
                <w:numId w:val="77"/>
              </w:numPr>
              <w:tabs>
                <w:tab w:val="clear" w:pos="720"/>
                <w:tab w:val="num" w:pos="1068"/>
              </w:tabs>
              <w:spacing w:after="0" w:line="276" w:lineRule="auto"/>
              <w:ind w:left="290" w:hanging="283"/>
              <w:rPr>
                <w:sz w:val="22"/>
                <w:szCs w:val="22"/>
              </w:rPr>
            </w:pPr>
            <w:r w:rsidRPr="00B43244">
              <w:rPr>
                <w:sz w:val="22"/>
                <w:szCs w:val="22"/>
              </w:rPr>
              <w:t>kolaudační rozhodnutí v případech, kdy bylo vydáno stavební povolení;</w:t>
            </w:r>
          </w:p>
          <w:p w:rsidR="00B43244" w:rsidRPr="00B43244" w:rsidRDefault="00B43244" w:rsidP="00B43244">
            <w:pPr>
              <w:pStyle w:val="Odstavecseseznamem"/>
              <w:numPr>
                <w:ilvl w:val="0"/>
                <w:numId w:val="77"/>
              </w:numPr>
              <w:tabs>
                <w:tab w:val="clear" w:pos="720"/>
                <w:tab w:val="num" w:pos="1068"/>
              </w:tabs>
              <w:spacing w:after="0" w:line="276" w:lineRule="auto"/>
              <w:ind w:left="290" w:hanging="283"/>
              <w:rPr>
                <w:sz w:val="22"/>
                <w:szCs w:val="22"/>
              </w:rPr>
            </w:pPr>
            <w:r w:rsidRPr="00B43244">
              <w:rPr>
                <w:sz w:val="22"/>
                <w:szCs w:val="22"/>
              </w:rPr>
              <w:t>rozhodnutí o předčasném užití stavby;</w:t>
            </w:r>
          </w:p>
          <w:p w:rsidR="00B43244" w:rsidRPr="00B43244" w:rsidRDefault="00B43244" w:rsidP="00B43244">
            <w:pPr>
              <w:pStyle w:val="Odstavecseseznamem"/>
              <w:numPr>
                <w:ilvl w:val="0"/>
                <w:numId w:val="77"/>
              </w:numPr>
              <w:tabs>
                <w:tab w:val="clear" w:pos="720"/>
                <w:tab w:val="num" w:pos="1068"/>
              </w:tabs>
              <w:spacing w:after="0" w:line="276" w:lineRule="auto"/>
              <w:ind w:left="290" w:hanging="283"/>
              <w:rPr>
                <w:sz w:val="22"/>
                <w:szCs w:val="22"/>
              </w:rPr>
            </w:pPr>
            <w:r w:rsidRPr="00B43244">
              <w:rPr>
                <w:sz w:val="22"/>
                <w:szCs w:val="22"/>
              </w:rPr>
              <w:t>rozhodnutí o prozatímním užívání ke zkušebnímu provozu;</w:t>
            </w:r>
          </w:p>
          <w:p w:rsidR="00B43244" w:rsidRPr="00B43244" w:rsidRDefault="00B43244" w:rsidP="00B43244">
            <w:pPr>
              <w:numPr>
                <w:ilvl w:val="0"/>
                <w:numId w:val="77"/>
              </w:numPr>
              <w:tabs>
                <w:tab w:val="clear" w:pos="720"/>
                <w:tab w:val="num" w:pos="294"/>
                <w:tab w:val="num" w:pos="1068"/>
              </w:tabs>
              <w:spacing w:line="276" w:lineRule="auto"/>
              <w:ind w:left="294" w:hanging="294"/>
              <w:rPr>
                <w:sz w:val="22"/>
                <w:szCs w:val="22"/>
              </w:rPr>
            </w:pPr>
            <w:r w:rsidRPr="00B43244">
              <w:rPr>
                <w:sz w:val="22"/>
                <w:szCs w:val="22"/>
              </w:rPr>
              <w:t>doložení ceny obvyklé - způsob stanovení ceny od dodavatelů, neplatí pro ceny stanovené znaleckým posudkem a při výběru dodavatele na základě zadávacího nebo výběrového řízení.</w:t>
            </w:r>
          </w:p>
        </w:tc>
      </w:tr>
      <w:tr w:rsidR="00B43244" w:rsidTr="00B43244">
        <w:tc>
          <w:tcPr>
            <w:tcW w:w="1979" w:type="pct"/>
            <w:tcBorders>
              <w:top w:val="single" w:sz="6" w:space="0" w:color="auto"/>
              <w:left w:val="single" w:sz="12" w:space="0" w:color="auto"/>
              <w:bottom w:val="single" w:sz="6" w:space="0" w:color="auto"/>
              <w:right w:val="single" w:sz="6" w:space="0" w:color="auto"/>
            </w:tcBorders>
            <w:shd w:val="clear" w:color="auto" w:fill="auto"/>
          </w:tcPr>
          <w:p w:rsidR="00B43244" w:rsidRPr="00B43244" w:rsidRDefault="00B43244" w:rsidP="00B43244">
            <w:pPr>
              <w:rPr>
                <w:b/>
                <w:sz w:val="22"/>
                <w:szCs w:val="22"/>
              </w:rPr>
            </w:pPr>
            <w:r w:rsidRPr="00B43244">
              <w:rPr>
                <w:b/>
                <w:sz w:val="22"/>
                <w:szCs w:val="22"/>
              </w:rPr>
              <w:t>Pořízení majetku</w:t>
            </w: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 xml:space="preserve">účetní/daňové doklady se zřejmou identifikací předmětu plnění pro posouzení způsobilosti výdaje; </w:t>
            </w:r>
          </w:p>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 xml:space="preserve">pokud nelze posoudit způsobilost výdaje podle identifikace předmětu plnění, doložit objednávku, </w:t>
            </w:r>
            <w:r w:rsidRPr="00B43244">
              <w:rPr>
                <w:sz w:val="22"/>
                <w:szCs w:val="22"/>
              </w:rPr>
              <w:lastRenderedPageBreak/>
              <w:t>dodací list, popř. předávací protokol;</w:t>
            </w:r>
          </w:p>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doklad o zaplacení;</w:t>
            </w:r>
          </w:p>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smlouva (o dílo nebo kupní smlouva);</w:t>
            </w:r>
          </w:p>
          <w:p w:rsidR="00B43244" w:rsidRPr="00B43244" w:rsidRDefault="00B43244" w:rsidP="00B43244">
            <w:pPr>
              <w:pStyle w:val="Odstavecseseznamem"/>
              <w:numPr>
                <w:ilvl w:val="0"/>
                <w:numId w:val="77"/>
              </w:numPr>
              <w:tabs>
                <w:tab w:val="clear" w:pos="720"/>
                <w:tab w:val="num" w:pos="290"/>
                <w:tab w:val="num" w:pos="1068"/>
              </w:tabs>
              <w:spacing w:after="0" w:line="276" w:lineRule="auto"/>
              <w:ind w:left="290" w:hanging="283"/>
              <w:rPr>
                <w:sz w:val="22"/>
                <w:szCs w:val="22"/>
              </w:rPr>
            </w:pPr>
            <w:r w:rsidRPr="00B43244">
              <w:rPr>
                <w:sz w:val="22"/>
                <w:szCs w:val="22"/>
              </w:rPr>
              <w:t>doložení ceny obvyklé - způsob stanovení ceny od dodavatelů, neplatí pro ceny stanovené znaleckým posudkem a při výběru dodavatele na základě zadávacího nebo výběrového řízení.</w:t>
            </w:r>
          </w:p>
        </w:tc>
      </w:tr>
      <w:tr w:rsidR="00B43244" w:rsidTr="00B43244">
        <w:tc>
          <w:tcPr>
            <w:tcW w:w="1979" w:type="pct"/>
            <w:tcBorders>
              <w:top w:val="single" w:sz="6" w:space="0" w:color="auto"/>
              <w:left w:val="single" w:sz="12" w:space="0" w:color="auto"/>
              <w:bottom w:val="single" w:sz="6" w:space="0" w:color="auto"/>
              <w:right w:val="single" w:sz="6" w:space="0" w:color="auto"/>
            </w:tcBorders>
            <w:shd w:val="clear" w:color="auto" w:fill="auto"/>
          </w:tcPr>
          <w:p w:rsidR="00B43244" w:rsidRPr="00B43244" w:rsidRDefault="004C739E" w:rsidP="00B43244">
            <w:pPr>
              <w:rPr>
                <w:b/>
                <w:sz w:val="22"/>
                <w:szCs w:val="22"/>
              </w:rPr>
            </w:pPr>
            <w:r w:rsidRPr="004C739E">
              <w:rPr>
                <w:b/>
                <w:sz w:val="22"/>
                <w:szCs w:val="22"/>
              </w:rPr>
              <w:lastRenderedPageBreak/>
              <w:t>Nákupy pozemku do 10 % celkových způsobilých výdajů projektu</w:t>
            </w:r>
            <w:r>
              <w:rPr>
                <w:b/>
                <w:sz w:val="22"/>
                <w:szCs w:val="22"/>
              </w:rPr>
              <w:t>.</w:t>
            </w: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B43244" w:rsidRPr="00B43244" w:rsidRDefault="00B43244" w:rsidP="00B43244">
            <w:pPr>
              <w:pStyle w:val="Odstavecseseznamem"/>
              <w:numPr>
                <w:ilvl w:val="0"/>
                <w:numId w:val="77"/>
              </w:numPr>
              <w:tabs>
                <w:tab w:val="clear" w:pos="720"/>
                <w:tab w:val="num" w:pos="290"/>
                <w:tab w:val="num" w:pos="1068"/>
              </w:tabs>
              <w:spacing w:after="0" w:line="276" w:lineRule="auto"/>
              <w:ind w:left="290" w:hanging="283"/>
              <w:rPr>
                <w:sz w:val="22"/>
                <w:szCs w:val="22"/>
              </w:rPr>
            </w:pPr>
            <w:r w:rsidRPr="00B43244">
              <w:rPr>
                <w:sz w:val="22"/>
                <w:szCs w:val="22"/>
              </w:rPr>
              <w:t>doklad o zaplacení</w:t>
            </w:r>
          </w:p>
          <w:p w:rsidR="00B43244" w:rsidRPr="00B43244" w:rsidRDefault="00B43244" w:rsidP="00B43244">
            <w:pPr>
              <w:pStyle w:val="Odstavecseseznamem"/>
              <w:numPr>
                <w:ilvl w:val="0"/>
                <w:numId w:val="77"/>
              </w:numPr>
              <w:tabs>
                <w:tab w:val="clear" w:pos="720"/>
                <w:tab w:val="num" w:pos="290"/>
                <w:tab w:val="num" w:pos="1068"/>
              </w:tabs>
              <w:spacing w:after="0" w:line="276" w:lineRule="auto"/>
              <w:ind w:left="290" w:hanging="283"/>
              <w:rPr>
                <w:sz w:val="22"/>
                <w:szCs w:val="22"/>
              </w:rPr>
            </w:pPr>
            <w:r w:rsidRPr="00B43244">
              <w:rPr>
                <w:sz w:val="22"/>
                <w:szCs w:val="22"/>
              </w:rPr>
              <w:t>kupní smlouva</w:t>
            </w:r>
          </w:p>
          <w:p w:rsidR="00B43244" w:rsidRPr="00B43244" w:rsidRDefault="00B43244" w:rsidP="00B43244">
            <w:pPr>
              <w:pStyle w:val="Odstavecseseznamem"/>
              <w:numPr>
                <w:ilvl w:val="0"/>
                <w:numId w:val="77"/>
              </w:numPr>
              <w:tabs>
                <w:tab w:val="clear" w:pos="720"/>
                <w:tab w:val="num" w:pos="290"/>
                <w:tab w:val="num" w:pos="1068"/>
              </w:tabs>
              <w:spacing w:after="0" w:line="276" w:lineRule="auto"/>
              <w:ind w:left="290" w:hanging="283"/>
              <w:rPr>
                <w:sz w:val="22"/>
                <w:szCs w:val="22"/>
              </w:rPr>
            </w:pPr>
            <w:r w:rsidRPr="00B43244">
              <w:rPr>
                <w:sz w:val="22"/>
                <w:szCs w:val="22"/>
              </w:rPr>
              <w:t>doložení vlastnictví (výpis z kat</w:t>
            </w:r>
            <w:r w:rsidR="0077755C">
              <w:rPr>
                <w:sz w:val="22"/>
                <w:szCs w:val="22"/>
              </w:rPr>
              <w:t>a</w:t>
            </w:r>
            <w:r w:rsidRPr="00B43244">
              <w:rPr>
                <w:sz w:val="22"/>
                <w:szCs w:val="22"/>
              </w:rPr>
              <w:t>stru nemovitostí, popř. návrh na vklad do katastru nemovitostí, vyrozumění katastrálního úřadu o zapsání vlastnického práva k pozemku);</w:t>
            </w:r>
          </w:p>
          <w:p w:rsidR="00B43244" w:rsidRPr="00B43244" w:rsidRDefault="00B43244" w:rsidP="00B43244">
            <w:pPr>
              <w:pStyle w:val="Odstavecseseznamem"/>
              <w:numPr>
                <w:ilvl w:val="0"/>
                <w:numId w:val="77"/>
              </w:numPr>
              <w:tabs>
                <w:tab w:val="clear" w:pos="720"/>
                <w:tab w:val="num" w:pos="290"/>
                <w:tab w:val="num" w:pos="1068"/>
              </w:tabs>
              <w:spacing w:after="0" w:line="276" w:lineRule="auto"/>
              <w:ind w:left="290" w:hanging="283"/>
              <w:rPr>
                <w:sz w:val="22"/>
                <w:szCs w:val="22"/>
              </w:rPr>
            </w:pPr>
            <w:r w:rsidRPr="00B43244">
              <w:rPr>
                <w:sz w:val="22"/>
                <w:szCs w:val="22"/>
              </w:rPr>
              <w:t>znalecký posudek ne starší šesti měsíců před datem pořízení pozemku.</w:t>
            </w:r>
          </w:p>
        </w:tc>
      </w:tr>
      <w:tr w:rsidR="00B43244" w:rsidTr="00B43244">
        <w:tc>
          <w:tcPr>
            <w:tcW w:w="1979" w:type="pct"/>
            <w:tcBorders>
              <w:top w:val="single" w:sz="6" w:space="0" w:color="auto"/>
              <w:left w:val="single" w:sz="12" w:space="0" w:color="auto"/>
              <w:bottom w:val="single" w:sz="6" w:space="0" w:color="auto"/>
              <w:right w:val="single" w:sz="6" w:space="0" w:color="auto"/>
            </w:tcBorders>
            <w:shd w:val="clear" w:color="auto" w:fill="auto"/>
          </w:tcPr>
          <w:p w:rsidR="00B43244" w:rsidRPr="00B43244" w:rsidRDefault="00B43244" w:rsidP="00B43244">
            <w:pPr>
              <w:rPr>
                <w:b/>
                <w:sz w:val="22"/>
                <w:szCs w:val="22"/>
              </w:rPr>
            </w:pPr>
            <w:r w:rsidRPr="00B43244">
              <w:rPr>
                <w:b/>
                <w:sz w:val="22"/>
                <w:szCs w:val="22"/>
              </w:rPr>
              <w:t>Projektová dokumentace</w:t>
            </w: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účetní/daňové doklady se zřejmou identifikací předmětu plnění pro posouzení způsobilosti výdaje;</w:t>
            </w:r>
          </w:p>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pokud nelze posoudit způsobilost výdaje podle identifikace předmětu plnění, doložit objednávku, dodací list, popř. předávací protokol;</w:t>
            </w:r>
          </w:p>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doklad o zaplacení;</w:t>
            </w:r>
          </w:p>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smlouva, případně její dodatky;</w:t>
            </w:r>
          </w:p>
          <w:p w:rsidR="00B43244" w:rsidRPr="00B43244" w:rsidRDefault="00B43244" w:rsidP="00B43244">
            <w:pPr>
              <w:numPr>
                <w:ilvl w:val="0"/>
                <w:numId w:val="77"/>
              </w:numPr>
              <w:tabs>
                <w:tab w:val="clear" w:pos="720"/>
                <w:tab w:val="num" w:pos="294"/>
                <w:tab w:val="num" w:pos="1068"/>
              </w:tabs>
              <w:spacing w:line="276" w:lineRule="auto"/>
              <w:ind w:left="294" w:hanging="294"/>
              <w:rPr>
                <w:sz w:val="22"/>
                <w:szCs w:val="22"/>
              </w:rPr>
            </w:pPr>
            <w:r w:rsidRPr="00B43244">
              <w:rPr>
                <w:sz w:val="22"/>
                <w:szCs w:val="22"/>
              </w:rPr>
              <w:t>doložení ceny obvyklé - způsob stanovení ceny od dodavatelů, neplatí pro ceny stanovené znaleckým posudkem a při výběru dodavatele na základě zadávacího nebo výběrového řízení.</w:t>
            </w:r>
          </w:p>
        </w:tc>
      </w:tr>
      <w:tr w:rsidR="00B43244" w:rsidTr="00B43244">
        <w:tc>
          <w:tcPr>
            <w:tcW w:w="1979" w:type="pct"/>
            <w:tcBorders>
              <w:top w:val="single" w:sz="6" w:space="0" w:color="auto"/>
              <w:left w:val="single" w:sz="12" w:space="0" w:color="auto"/>
              <w:bottom w:val="single" w:sz="6" w:space="0" w:color="auto"/>
              <w:right w:val="single" w:sz="6" w:space="0" w:color="auto"/>
            </w:tcBorders>
            <w:shd w:val="clear" w:color="auto" w:fill="auto"/>
          </w:tcPr>
          <w:p w:rsidR="00B43244" w:rsidRPr="00B43244" w:rsidRDefault="00B43244" w:rsidP="00B43244">
            <w:pPr>
              <w:rPr>
                <w:b/>
                <w:sz w:val="22"/>
                <w:szCs w:val="22"/>
              </w:rPr>
            </w:pPr>
            <w:r w:rsidRPr="00B43244">
              <w:rPr>
                <w:b/>
                <w:sz w:val="22"/>
                <w:szCs w:val="22"/>
              </w:rPr>
              <w:t>Zabezpečení výstavby</w:t>
            </w: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účetní/daňové doklady se zřejmou identifikací předmětu plnění pro posouzení způsobilosti výdaje;</w:t>
            </w:r>
          </w:p>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pokud nelze posoudit způsobilost výdaje podle identifikace předmětu plnění, doložit objednávku, dodací list, popř. předávací protokol;</w:t>
            </w:r>
          </w:p>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doklad o zaplacení;</w:t>
            </w:r>
          </w:p>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smlouva, případně její dodatky;</w:t>
            </w:r>
          </w:p>
          <w:p w:rsidR="00B43244" w:rsidRPr="00B43244" w:rsidRDefault="00B43244" w:rsidP="00B43244">
            <w:pPr>
              <w:numPr>
                <w:ilvl w:val="0"/>
                <w:numId w:val="77"/>
              </w:numPr>
              <w:tabs>
                <w:tab w:val="clear" w:pos="720"/>
                <w:tab w:val="num" w:pos="294"/>
                <w:tab w:val="num" w:pos="1068"/>
              </w:tabs>
              <w:spacing w:line="276" w:lineRule="auto"/>
              <w:ind w:left="294" w:hanging="294"/>
              <w:rPr>
                <w:sz w:val="22"/>
                <w:szCs w:val="22"/>
              </w:rPr>
            </w:pPr>
            <w:r w:rsidRPr="00B43244">
              <w:rPr>
                <w:sz w:val="22"/>
                <w:szCs w:val="22"/>
              </w:rPr>
              <w:t>doložení ceny obvyklé - způsob stanovení ceny od dodavatelů, neplatí pro ceny stanovené znaleckým posudkem a při výběru dodavatele na základě zadávacího nebo výběrového řízení.</w:t>
            </w:r>
          </w:p>
        </w:tc>
      </w:tr>
      <w:tr w:rsidR="00B43244" w:rsidTr="00B43244">
        <w:tc>
          <w:tcPr>
            <w:tcW w:w="1979" w:type="pct"/>
            <w:tcBorders>
              <w:top w:val="single" w:sz="6" w:space="0" w:color="auto"/>
              <w:left w:val="single" w:sz="12" w:space="0" w:color="auto"/>
              <w:bottom w:val="single" w:sz="6" w:space="0" w:color="auto"/>
              <w:right w:val="single" w:sz="6" w:space="0" w:color="auto"/>
            </w:tcBorders>
            <w:shd w:val="clear" w:color="auto" w:fill="auto"/>
          </w:tcPr>
          <w:p w:rsidR="00B43244" w:rsidRPr="00B43244" w:rsidRDefault="00B43244" w:rsidP="00B43244">
            <w:pPr>
              <w:rPr>
                <w:b/>
                <w:sz w:val="22"/>
                <w:szCs w:val="22"/>
              </w:rPr>
            </w:pPr>
            <w:r w:rsidRPr="00B43244">
              <w:rPr>
                <w:b/>
                <w:sz w:val="22"/>
                <w:szCs w:val="22"/>
              </w:rPr>
              <w:t>Pořízení služeb bezprostředně souvisejících s realizací projektu</w:t>
            </w: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účetní/daňové doklady se zřejmou identifikací předmětu plnění pro posouzení způsobilosti výdaje;</w:t>
            </w:r>
          </w:p>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pokud nelze posoudit způsobilost výdaje podle identifikace předmětu plnění, doložit objednávku, dodací list, popř. předávací protokol;</w:t>
            </w:r>
          </w:p>
          <w:p w:rsidR="00B43244" w:rsidRPr="00B43244" w:rsidRDefault="00DA3E3E"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doklad o zaplacení; výdaje za opakované</w:t>
            </w:r>
            <w:r>
              <w:rPr>
                <w:sz w:val="22"/>
                <w:szCs w:val="22"/>
              </w:rPr>
              <w:t xml:space="preserve"> zadávací nebo</w:t>
            </w:r>
            <w:r w:rsidRPr="00B43244">
              <w:rPr>
                <w:sz w:val="22"/>
                <w:szCs w:val="22"/>
              </w:rPr>
              <w:t xml:space="preserve"> výběrové řízení jsou způsobilé pouze v</w:t>
            </w:r>
            <w:r>
              <w:rPr>
                <w:sz w:val="22"/>
                <w:szCs w:val="22"/>
              </w:rPr>
              <w:t> </w:t>
            </w:r>
            <w:r w:rsidRPr="00B43244">
              <w:rPr>
                <w:sz w:val="22"/>
                <w:szCs w:val="22"/>
              </w:rPr>
              <w:t>případě</w:t>
            </w:r>
            <w:r>
              <w:rPr>
                <w:sz w:val="22"/>
                <w:szCs w:val="22"/>
              </w:rPr>
              <w:t>,</w:t>
            </w:r>
            <w:r w:rsidRPr="00B43244">
              <w:rPr>
                <w:sz w:val="22"/>
                <w:szCs w:val="22"/>
              </w:rPr>
              <w:t xml:space="preserve"> </w:t>
            </w:r>
            <w:r>
              <w:rPr>
                <w:sz w:val="22"/>
                <w:szCs w:val="22"/>
              </w:rPr>
              <w:lastRenderedPageBreak/>
              <w:t xml:space="preserve">pokud zadavatel </w:t>
            </w:r>
            <w:r w:rsidRPr="00B43244">
              <w:rPr>
                <w:sz w:val="22"/>
                <w:szCs w:val="22"/>
              </w:rPr>
              <w:t xml:space="preserve">zrušení </w:t>
            </w:r>
            <w:r>
              <w:rPr>
                <w:sz w:val="22"/>
                <w:szCs w:val="22"/>
              </w:rPr>
              <w:t xml:space="preserve">zadávacího nebo </w:t>
            </w:r>
            <w:r w:rsidRPr="00B43244">
              <w:rPr>
                <w:sz w:val="22"/>
                <w:szCs w:val="22"/>
              </w:rPr>
              <w:t>výběrového řízení</w:t>
            </w:r>
            <w:r>
              <w:rPr>
                <w:sz w:val="22"/>
                <w:szCs w:val="22"/>
              </w:rPr>
              <w:t xml:space="preserve"> nezavinil sám a řízení bylo zrušeno v souladu s příslušnými předpisy</w:t>
            </w:r>
            <w:r w:rsidR="00B43244" w:rsidRPr="00B43244">
              <w:rPr>
                <w:sz w:val="22"/>
                <w:szCs w:val="22"/>
              </w:rPr>
              <w:t>;</w:t>
            </w:r>
          </w:p>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smlouva, případně její dodatky;</w:t>
            </w:r>
          </w:p>
          <w:p w:rsidR="00B43244" w:rsidRPr="00B43244" w:rsidRDefault="00B43244" w:rsidP="00B43244">
            <w:pPr>
              <w:numPr>
                <w:ilvl w:val="0"/>
                <w:numId w:val="77"/>
              </w:numPr>
              <w:tabs>
                <w:tab w:val="clear" w:pos="720"/>
                <w:tab w:val="num" w:pos="294"/>
                <w:tab w:val="num" w:pos="1068"/>
              </w:tabs>
              <w:spacing w:after="0" w:line="276" w:lineRule="auto"/>
              <w:ind w:left="294" w:hanging="294"/>
              <w:rPr>
                <w:sz w:val="22"/>
                <w:szCs w:val="22"/>
              </w:rPr>
            </w:pPr>
            <w:r w:rsidRPr="00B43244">
              <w:rPr>
                <w:sz w:val="22"/>
                <w:szCs w:val="22"/>
              </w:rPr>
              <w:t>způsob výpočtu alikvotní částky, pokud se uplatňuje poměrná část výdaje pro projekt;</w:t>
            </w:r>
          </w:p>
          <w:p w:rsidR="00B43244" w:rsidRPr="00B43244" w:rsidRDefault="00B43244" w:rsidP="00B43244">
            <w:pPr>
              <w:numPr>
                <w:ilvl w:val="0"/>
                <w:numId w:val="77"/>
              </w:numPr>
              <w:tabs>
                <w:tab w:val="clear" w:pos="720"/>
                <w:tab w:val="num" w:pos="294"/>
                <w:tab w:val="num" w:pos="1068"/>
              </w:tabs>
              <w:spacing w:line="276" w:lineRule="auto"/>
              <w:ind w:left="294" w:hanging="294"/>
              <w:rPr>
                <w:sz w:val="22"/>
                <w:szCs w:val="22"/>
              </w:rPr>
            </w:pPr>
            <w:r w:rsidRPr="00B43244">
              <w:rPr>
                <w:sz w:val="22"/>
                <w:szCs w:val="22"/>
              </w:rPr>
              <w:t>doložení ceny obvyklé - způsob stanovení ceny od dodavatelů, neplatí pro ceny stanovené znaleckým posudkem a při výběru dodavatele na základě zadávacího nebo výběrového řízení.</w:t>
            </w:r>
          </w:p>
        </w:tc>
      </w:tr>
      <w:tr w:rsidR="00B43244" w:rsidTr="00B43244">
        <w:tc>
          <w:tcPr>
            <w:tcW w:w="1979" w:type="pct"/>
            <w:tcBorders>
              <w:top w:val="single" w:sz="6" w:space="0" w:color="auto"/>
              <w:left w:val="single" w:sz="12" w:space="0" w:color="auto"/>
              <w:bottom w:val="single" w:sz="6" w:space="0" w:color="auto"/>
              <w:right w:val="single" w:sz="6" w:space="0" w:color="auto"/>
            </w:tcBorders>
            <w:shd w:val="clear" w:color="auto" w:fill="auto"/>
          </w:tcPr>
          <w:p w:rsidR="00B43244" w:rsidRPr="00B43244" w:rsidRDefault="00B43244" w:rsidP="00B43244">
            <w:pPr>
              <w:rPr>
                <w:b/>
                <w:sz w:val="22"/>
                <w:szCs w:val="22"/>
              </w:rPr>
            </w:pPr>
            <w:r w:rsidRPr="00B43244">
              <w:rPr>
                <w:b/>
                <w:sz w:val="22"/>
                <w:szCs w:val="22"/>
              </w:rPr>
              <w:lastRenderedPageBreak/>
              <w:t>Povinná publicita projektu</w:t>
            </w: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B43244" w:rsidRPr="00B43244" w:rsidRDefault="00B43244" w:rsidP="00B43244">
            <w:pPr>
              <w:numPr>
                <w:ilvl w:val="0"/>
                <w:numId w:val="78"/>
              </w:numPr>
              <w:spacing w:after="0" w:line="276" w:lineRule="auto"/>
              <w:ind w:left="294" w:hanging="294"/>
              <w:rPr>
                <w:sz w:val="22"/>
                <w:szCs w:val="22"/>
              </w:rPr>
            </w:pPr>
            <w:r w:rsidRPr="00B43244">
              <w:rPr>
                <w:sz w:val="22"/>
                <w:szCs w:val="22"/>
              </w:rPr>
              <w:t>účetní/daňové doklady se zřejmou  identifikací předmětu plnění pro posouzení způsobilosti výdaje;</w:t>
            </w:r>
          </w:p>
          <w:p w:rsidR="00B43244" w:rsidRPr="00B43244" w:rsidRDefault="00B43244" w:rsidP="00B43244">
            <w:pPr>
              <w:numPr>
                <w:ilvl w:val="0"/>
                <w:numId w:val="78"/>
              </w:numPr>
              <w:spacing w:after="0" w:line="276" w:lineRule="auto"/>
              <w:ind w:left="318" w:hanging="318"/>
              <w:rPr>
                <w:sz w:val="22"/>
                <w:szCs w:val="22"/>
              </w:rPr>
            </w:pPr>
            <w:r w:rsidRPr="00B43244">
              <w:rPr>
                <w:sz w:val="22"/>
                <w:szCs w:val="22"/>
              </w:rPr>
              <w:t>pokud nelze posoudit způsobilost výdaje podle identifikace předmětu plnění, doložit objednávku, dodací list, popř. předávací protokol;</w:t>
            </w:r>
          </w:p>
          <w:p w:rsidR="00B43244" w:rsidRPr="00B43244" w:rsidRDefault="00B43244" w:rsidP="00B43244">
            <w:pPr>
              <w:numPr>
                <w:ilvl w:val="0"/>
                <w:numId w:val="78"/>
              </w:numPr>
              <w:spacing w:after="0" w:line="276" w:lineRule="auto"/>
              <w:ind w:left="294" w:hanging="294"/>
              <w:rPr>
                <w:sz w:val="22"/>
                <w:szCs w:val="22"/>
              </w:rPr>
            </w:pPr>
            <w:r w:rsidRPr="00B43244">
              <w:rPr>
                <w:sz w:val="22"/>
                <w:szCs w:val="22"/>
              </w:rPr>
              <w:t>smlouva o poskytnutí služeb, smlouva o dílo;</w:t>
            </w:r>
          </w:p>
          <w:p w:rsidR="00B43244" w:rsidRPr="00B43244" w:rsidRDefault="00B43244" w:rsidP="00B43244">
            <w:pPr>
              <w:numPr>
                <w:ilvl w:val="0"/>
                <w:numId w:val="78"/>
              </w:numPr>
              <w:spacing w:after="0" w:line="276" w:lineRule="auto"/>
              <w:ind w:left="294" w:hanging="294"/>
              <w:rPr>
                <w:sz w:val="22"/>
                <w:szCs w:val="22"/>
              </w:rPr>
            </w:pPr>
            <w:r w:rsidRPr="00B43244">
              <w:rPr>
                <w:sz w:val="22"/>
                <w:szCs w:val="22"/>
              </w:rPr>
              <w:t>doklad o zaplacení;</w:t>
            </w:r>
          </w:p>
          <w:p w:rsidR="00B43244" w:rsidRPr="00B43244" w:rsidRDefault="00B43244" w:rsidP="00B43244">
            <w:pPr>
              <w:numPr>
                <w:ilvl w:val="0"/>
                <w:numId w:val="78"/>
              </w:numPr>
              <w:spacing w:after="0" w:line="276" w:lineRule="auto"/>
              <w:ind w:left="294" w:hanging="294"/>
              <w:rPr>
                <w:sz w:val="22"/>
                <w:szCs w:val="22"/>
              </w:rPr>
            </w:pPr>
            <w:r w:rsidRPr="00B43244">
              <w:rPr>
                <w:sz w:val="22"/>
                <w:szCs w:val="22"/>
              </w:rPr>
              <w:t>doložení ceny obvyklé - způsob stanovení ceny od dodavatelů, neplatí pro ceny stanovené znaleckým posudkem a při výběru dodavatele na základě výběrového řízení.</w:t>
            </w:r>
          </w:p>
        </w:tc>
      </w:tr>
      <w:tr w:rsidR="00B43244" w:rsidTr="00B43244">
        <w:tc>
          <w:tcPr>
            <w:tcW w:w="1979" w:type="pct"/>
            <w:tcBorders>
              <w:top w:val="single" w:sz="6" w:space="0" w:color="auto"/>
              <w:left w:val="single" w:sz="12" w:space="0" w:color="auto"/>
              <w:bottom w:val="single" w:sz="6" w:space="0" w:color="auto"/>
              <w:right w:val="single" w:sz="6" w:space="0" w:color="auto"/>
            </w:tcBorders>
            <w:shd w:val="clear" w:color="auto" w:fill="auto"/>
          </w:tcPr>
          <w:p w:rsidR="00B43244" w:rsidRPr="00B43244" w:rsidRDefault="00B43244" w:rsidP="00B43244">
            <w:pPr>
              <w:rPr>
                <w:b/>
                <w:sz w:val="22"/>
                <w:szCs w:val="22"/>
              </w:rPr>
            </w:pPr>
            <w:r w:rsidRPr="00B43244">
              <w:rPr>
                <w:b/>
                <w:sz w:val="22"/>
                <w:szCs w:val="22"/>
              </w:rPr>
              <w:t>DPH</w:t>
            </w:r>
          </w:p>
          <w:p w:rsidR="00B43244" w:rsidRPr="00B43244" w:rsidRDefault="00B43244" w:rsidP="00B43244">
            <w:pPr>
              <w:rPr>
                <w:b/>
                <w:sz w:val="22"/>
                <w:szCs w:val="22"/>
              </w:rPr>
            </w:pP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B43244" w:rsidRPr="00B43244" w:rsidRDefault="00B43244" w:rsidP="00B43244">
            <w:pPr>
              <w:numPr>
                <w:ilvl w:val="1"/>
                <w:numId w:val="79"/>
              </w:numPr>
              <w:spacing w:after="0" w:line="276" w:lineRule="auto"/>
              <w:ind w:left="295" w:hanging="295"/>
              <w:rPr>
                <w:sz w:val="22"/>
                <w:szCs w:val="22"/>
              </w:rPr>
            </w:pPr>
            <w:r w:rsidRPr="00B43244">
              <w:rPr>
                <w:sz w:val="22"/>
                <w:szCs w:val="22"/>
              </w:rPr>
              <w:t>při využití plnění pro ekonomickou činnost a osvobozená plnění se dokládá výše skutečného (vypořádacího) koeficientu za vypořádávané období (výdaj se považuje za doložený na základě vypořádacího koeficientu, kdy je známá skutečná výše výdaje);</w:t>
            </w:r>
          </w:p>
          <w:p w:rsidR="00B43244" w:rsidRPr="00B43244" w:rsidRDefault="00B43244" w:rsidP="00B43244">
            <w:pPr>
              <w:numPr>
                <w:ilvl w:val="1"/>
                <w:numId w:val="79"/>
              </w:numPr>
              <w:spacing w:after="0" w:line="276" w:lineRule="auto"/>
              <w:ind w:left="295" w:hanging="295"/>
              <w:rPr>
                <w:sz w:val="22"/>
                <w:szCs w:val="22"/>
              </w:rPr>
            </w:pPr>
            <w:r w:rsidRPr="00B43244">
              <w:rPr>
                <w:sz w:val="22"/>
                <w:szCs w:val="22"/>
              </w:rPr>
              <w:t>při využití přenesené daňové povinnosti kopie evidence pro daňové účely a kopie výpisu z bankovního účtu jako doklad o úhradě daňové povinnosti OFS;</w:t>
            </w:r>
          </w:p>
          <w:p w:rsidR="00B43244" w:rsidRPr="00B43244" w:rsidRDefault="00B43244" w:rsidP="00B43244">
            <w:pPr>
              <w:numPr>
                <w:ilvl w:val="1"/>
                <w:numId w:val="79"/>
              </w:numPr>
              <w:spacing w:after="0" w:line="276" w:lineRule="auto"/>
              <w:ind w:left="295" w:hanging="295"/>
              <w:rPr>
                <w:sz w:val="22"/>
                <w:szCs w:val="22"/>
              </w:rPr>
            </w:pPr>
            <w:r w:rsidRPr="00B43244">
              <w:rPr>
                <w:sz w:val="22"/>
                <w:szCs w:val="22"/>
              </w:rPr>
              <w:t>v ostatních případech DPH (sazba a výše) bude doložena smlouvou nebo účetním/daňovým  dokladem.</w:t>
            </w:r>
          </w:p>
        </w:tc>
      </w:tr>
      <w:tr w:rsidR="00B43244" w:rsidTr="00B43244">
        <w:tc>
          <w:tcPr>
            <w:tcW w:w="1979" w:type="pct"/>
            <w:tcBorders>
              <w:top w:val="single" w:sz="6" w:space="0" w:color="auto"/>
              <w:left w:val="single" w:sz="12" w:space="0" w:color="auto"/>
              <w:bottom w:val="single" w:sz="6" w:space="0" w:color="auto"/>
              <w:right w:val="single" w:sz="6" w:space="0" w:color="auto"/>
            </w:tcBorders>
            <w:shd w:val="clear" w:color="auto" w:fill="auto"/>
          </w:tcPr>
          <w:p w:rsidR="00B43244" w:rsidRPr="00B43244" w:rsidRDefault="00B43244" w:rsidP="00B43244">
            <w:pPr>
              <w:rPr>
                <w:b/>
                <w:sz w:val="22"/>
                <w:szCs w:val="22"/>
              </w:rPr>
            </w:pPr>
            <w:r w:rsidRPr="00B43244">
              <w:rPr>
                <w:b/>
                <w:sz w:val="22"/>
                <w:szCs w:val="22"/>
              </w:rPr>
              <w:t>Účetní doklady do 10 000 Kč</w:t>
            </w: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B43244" w:rsidRPr="00B43244" w:rsidRDefault="00B43244" w:rsidP="00B43244">
            <w:pPr>
              <w:pStyle w:val="Odstavecseseznamem"/>
              <w:numPr>
                <w:ilvl w:val="0"/>
                <w:numId w:val="80"/>
              </w:numPr>
              <w:spacing w:after="0" w:line="276" w:lineRule="auto"/>
              <w:ind w:left="290" w:hanging="283"/>
              <w:rPr>
                <w:sz w:val="22"/>
                <w:szCs w:val="22"/>
              </w:rPr>
            </w:pPr>
            <w:r w:rsidRPr="00B43244">
              <w:rPr>
                <w:sz w:val="22"/>
                <w:szCs w:val="22"/>
              </w:rPr>
              <w:t xml:space="preserve">Výdaje do 10 000 Kč lze uvést v Seznamu účetních dokladů a nedokládat k nim faktury, paragony a další účetní doklady. </w:t>
            </w:r>
          </w:p>
          <w:p w:rsidR="00B43244" w:rsidRPr="00B43244" w:rsidRDefault="00B43244" w:rsidP="00B43244">
            <w:pPr>
              <w:pStyle w:val="Odstavecseseznamem"/>
              <w:numPr>
                <w:ilvl w:val="0"/>
                <w:numId w:val="80"/>
              </w:numPr>
              <w:spacing w:after="0" w:line="276" w:lineRule="auto"/>
              <w:ind w:left="290" w:hanging="283"/>
              <w:rPr>
                <w:sz w:val="22"/>
                <w:szCs w:val="22"/>
              </w:rPr>
            </w:pPr>
            <w:r w:rsidRPr="00B43244">
              <w:rPr>
                <w:sz w:val="22"/>
                <w:szCs w:val="22"/>
              </w:rPr>
              <w:t xml:space="preserve">Maximální limit pro začlenění do seznamu účetních dokladů je 10 000 Kč včetně DPH za jeden účetní doklad. </w:t>
            </w:r>
          </w:p>
          <w:p w:rsidR="00B43244" w:rsidRPr="00B43244" w:rsidRDefault="00B43244" w:rsidP="00B43244">
            <w:pPr>
              <w:numPr>
                <w:ilvl w:val="1"/>
                <w:numId w:val="79"/>
              </w:numPr>
              <w:spacing w:after="0" w:line="276" w:lineRule="auto"/>
              <w:ind w:left="295" w:hanging="295"/>
              <w:rPr>
                <w:sz w:val="22"/>
                <w:szCs w:val="22"/>
              </w:rPr>
            </w:pPr>
            <w:r w:rsidRPr="00B43244">
              <w:rPr>
                <w:sz w:val="22"/>
                <w:szCs w:val="22"/>
              </w:rPr>
              <w:t>Pro tyto výdaje platí povinnost předložit v případě kontroly originály příslušných účetních dokladů.</w:t>
            </w:r>
          </w:p>
        </w:tc>
      </w:tr>
    </w:tbl>
    <w:p w:rsidR="00A1651D" w:rsidRDefault="00A1651D" w:rsidP="00EA3680"/>
    <w:p w:rsidR="00EC395C" w:rsidRDefault="00EC395C" w:rsidP="00EA3680">
      <w:pPr>
        <w:rPr>
          <w:b/>
        </w:rPr>
      </w:pPr>
    </w:p>
    <w:p w:rsidR="00D3758D" w:rsidRPr="009F1474" w:rsidRDefault="00BC6A6E" w:rsidP="00EA3680">
      <w:pPr>
        <w:rPr>
          <w:b/>
        </w:rPr>
      </w:pPr>
      <w:r>
        <w:rPr>
          <w:b/>
        </w:rPr>
        <w:lastRenderedPageBreak/>
        <w:t>Nez</w:t>
      </w:r>
      <w:r w:rsidR="00D3758D" w:rsidRPr="009F1474">
        <w:rPr>
          <w:b/>
        </w:rPr>
        <w:t>působil</w:t>
      </w:r>
      <w:r>
        <w:rPr>
          <w:b/>
        </w:rPr>
        <w:t>é</w:t>
      </w:r>
      <w:r w:rsidR="00D3758D" w:rsidRPr="009F1474">
        <w:rPr>
          <w:b/>
        </w:rPr>
        <w:t xml:space="preserve"> výdaj</w:t>
      </w:r>
      <w:r>
        <w:rPr>
          <w:b/>
        </w:rPr>
        <w:t>e</w:t>
      </w:r>
      <w:r w:rsidR="00D3758D" w:rsidRPr="009F1474">
        <w:rPr>
          <w:b/>
        </w:rPr>
        <w:t>:</w:t>
      </w:r>
    </w:p>
    <w:p w:rsidR="006036CA" w:rsidRPr="00270B84" w:rsidRDefault="006036CA" w:rsidP="00EA3680">
      <w:pPr>
        <w:pStyle w:val="Odstavecseseznamem"/>
        <w:numPr>
          <w:ilvl w:val="0"/>
          <w:numId w:val="6"/>
        </w:numPr>
      </w:pPr>
      <w:r w:rsidRPr="00270B84">
        <w:t>opravy a udržování,</w:t>
      </w:r>
    </w:p>
    <w:p w:rsidR="006036CA" w:rsidRPr="00270B84" w:rsidRDefault="006036CA" w:rsidP="00EA3680">
      <w:pPr>
        <w:pStyle w:val="Odstavecseseznamem"/>
        <w:numPr>
          <w:ilvl w:val="0"/>
          <w:numId w:val="6"/>
        </w:numPr>
      </w:pPr>
      <w:r w:rsidRPr="00270B84">
        <w:t>správní poplatky,</w:t>
      </w:r>
    </w:p>
    <w:p w:rsidR="006036CA" w:rsidRPr="00270B84" w:rsidRDefault="006036CA" w:rsidP="00EA3680">
      <w:pPr>
        <w:pStyle w:val="Odstavecseseznamem"/>
        <w:numPr>
          <w:ilvl w:val="0"/>
          <w:numId w:val="6"/>
        </w:numPr>
      </w:pPr>
      <w:r w:rsidRPr="00270B84">
        <w:t>úroky z úvěrů,</w:t>
      </w:r>
    </w:p>
    <w:p w:rsidR="006036CA" w:rsidRPr="00270B84" w:rsidRDefault="006036CA" w:rsidP="00EA3680">
      <w:pPr>
        <w:pStyle w:val="Odstavecseseznamem"/>
        <w:numPr>
          <w:ilvl w:val="0"/>
          <w:numId w:val="6"/>
        </w:numPr>
      </w:pPr>
      <w:r w:rsidRPr="00270B84">
        <w:t>DPH, pokud má příjemce nárok na odpočet daně na vstupu</w:t>
      </w:r>
      <w:r w:rsidR="004427EA" w:rsidRPr="00270B84">
        <w:t>;</w:t>
      </w:r>
      <w:r w:rsidRPr="00270B84">
        <w:t xml:space="preserve"> </w:t>
      </w:r>
      <w:r w:rsidR="004427EA" w:rsidRPr="00270B84">
        <w:t>p</w:t>
      </w:r>
      <w:r w:rsidRPr="00270B84">
        <w:t>okud u organizace existuje dvojí režim, musí příjemce rozhodnout, zda navrhovaný projekt spadá pod aktivity podléhající režimu daně z přidané hodnoty s nárokem na odpočet nebo pod aktivity, kde daň není uplatňovaná,</w:t>
      </w:r>
    </w:p>
    <w:p w:rsidR="006036CA" w:rsidRPr="00270B84" w:rsidRDefault="006036CA" w:rsidP="00EA3680">
      <w:pPr>
        <w:pStyle w:val="Odstavecseseznamem"/>
        <w:numPr>
          <w:ilvl w:val="0"/>
          <w:numId w:val="6"/>
        </w:numPr>
      </w:pPr>
      <w:r w:rsidRPr="00270B84">
        <w:t>splátky půjček a úvěrů,</w:t>
      </w:r>
    </w:p>
    <w:p w:rsidR="006036CA" w:rsidRPr="00270B84" w:rsidRDefault="006036CA" w:rsidP="00EA3680">
      <w:pPr>
        <w:pStyle w:val="Odstavecseseznamem"/>
        <w:numPr>
          <w:ilvl w:val="0"/>
          <w:numId w:val="6"/>
        </w:numPr>
      </w:pPr>
      <w:r w:rsidRPr="00270B84">
        <w:t>sankce a penále,</w:t>
      </w:r>
    </w:p>
    <w:p w:rsidR="006036CA" w:rsidRPr="00270B84" w:rsidRDefault="006036CA" w:rsidP="00EA3680">
      <w:pPr>
        <w:pStyle w:val="Odstavecseseznamem"/>
        <w:numPr>
          <w:ilvl w:val="0"/>
          <w:numId w:val="6"/>
        </w:numPr>
      </w:pPr>
      <w:r w:rsidRPr="00270B84">
        <w:t>výdaje na záruky, pojištění, úroky, bankovní poplatky, kursové ztráty, celní a správní poplatky</w:t>
      </w:r>
      <w:r w:rsidR="00A31125">
        <w:t>,</w:t>
      </w:r>
      <w:r w:rsidRPr="00270B84">
        <w:t xml:space="preserve"> </w:t>
      </w:r>
    </w:p>
    <w:p w:rsidR="00785A7B" w:rsidRPr="00270B84" w:rsidRDefault="006036CA" w:rsidP="00EA3680">
      <w:pPr>
        <w:pStyle w:val="Odstavecseseznamem"/>
        <w:numPr>
          <w:ilvl w:val="0"/>
          <w:numId w:val="6"/>
        </w:numPr>
      </w:pPr>
      <w:r w:rsidRPr="00270B84">
        <w:t>náklady na spotřebu energií a ostatní provozní náklady</w:t>
      </w:r>
      <w:r w:rsidR="00785A7B" w:rsidRPr="00270B84">
        <w:t>,</w:t>
      </w:r>
    </w:p>
    <w:p w:rsidR="00A31125" w:rsidRDefault="00D32629">
      <w:pPr>
        <w:pStyle w:val="Odstavecseseznamem"/>
        <w:numPr>
          <w:ilvl w:val="0"/>
          <w:numId w:val="6"/>
        </w:numPr>
      </w:pPr>
      <w:r w:rsidRPr="00D32629">
        <w:t>výdaje na nákup služeb</w:t>
      </w:r>
      <w:r w:rsidR="001D5858">
        <w:t>,</w:t>
      </w:r>
      <w:r w:rsidR="00FC20A3">
        <w:t xml:space="preserve"> </w:t>
      </w:r>
      <w:r w:rsidRPr="00D32629">
        <w:t>s výjimkou služeb tvořících součást pořízení dlouhodobého hmotného a nehmotného majetku, nejsou-li součástí pořizovací ceny vybavení</w:t>
      </w:r>
      <w:r w:rsidR="003F0DD4">
        <w:t>,</w:t>
      </w:r>
      <w:r w:rsidR="00FC20A3">
        <w:t xml:space="preserve"> </w:t>
      </w:r>
      <w:r w:rsidR="00C3698B">
        <w:t xml:space="preserve">přípravy a realizace projektu vyjmenovaných ve způsobilých vedlejších aktivitách a </w:t>
      </w:r>
      <w:r w:rsidR="00FC20A3" w:rsidRPr="00270B84">
        <w:t>příprav</w:t>
      </w:r>
      <w:r w:rsidR="00FC20A3">
        <w:t>y</w:t>
      </w:r>
      <w:r w:rsidR="00FC20A3" w:rsidRPr="00270B84">
        <w:t xml:space="preserve"> a realizace zadávacích a výběrových řízení</w:t>
      </w:r>
      <w:r w:rsidR="00A31125">
        <w:t>,</w:t>
      </w:r>
      <w:r w:rsidR="00C3698B">
        <w:t xml:space="preserve"> </w:t>
      </w:r>
    </w:p>
    <w:p w:rsidR="00D32629" w:rsidRPr="00D32629" w:rsidRDefault="00D32629">
      <w:pPr>
        <w:pStyle w:val="Odstavecseseznamem"/>
        <w:numPr>
          <w:ilvl w:val="0"/>
          <w:numId w:val="6"/>
        </w:numPr>
      </w:pPr>
      <w:r w:rsidRPr="00D32629">
        <w:t xml:space="preserve">odpisy, </w:t>
      </w:r>
    </w:p>
    <w:p w:rsidR="006036CA" w:rsidRPr="00270B84" w:rsidRDefault="006036CA" w:rsidP="00EA3680">
      <w:pPr>
        <w:pStyle w:val="Odstavecseseznamem"/>
        <w:numPr>
          <w:ilvl w:val="0"/>
          <w:numId w:val="6"/>
        </w:numPr>
      </w:pPr>
      <w:r w:rsidRPr="00270B84">
        <w:t>vzdělávání zaměstnanců</w:t>
      </w:r>
      <w:r w:rsidR="00040EF1" w:rsidRPr="00270B84">
        <w:t>,</w:t>
      </w:r>
      <w:r w:rsidRPr="00270B84">
        <w:t xml:space="preserve"> </w:t>
      </w:r>
    </w:p>
    <w:p w:rsidR="00900798" w:rsidRDefault="006036CA" w:rsidP="00EA3680">
      <w:pPr>
        <w:pStyle w:val="Odstavecseseznamem"/>
        <w:numPr>
          <w:ilvl w:val="0"/>
          <w:numId w:val="6"/>
        </w:numPr>
      </w:pPr>
      <w:r w:rsidRPr="00270B84">
        <w:t>vady díla, které je dodavatel povinen odstranit bez další náhrady</w:t>
      </w:r>
      <w:r w:rsidR="00E21ECA">
        <w:t>,</w:t>
      </w:r>
    </w:p>
    <w:p w:rsidR="00C231B9" w:rsidRDefault="00900798" w:rsidP="00EA3680">
      <w:pPr>
        <w:pStyle w:val="Odstavecseseznamem"/>
        <w:numPr>
          <w:ilvl w:val="0"/>
          <w:numId w:val="6"/>
        </w:numPr>
      </w:pPr>
      <w:r>
        <w:t>výdaje na vedlejší aktivity projektu nad 15</w:t>
      </w:r>
      <w:r w:rsidR="002D5F30">
        <w:t xml:space="preserve"> </w:t>
      </w:r>
      <w:r>
        <w:t>% celkových způsobilých výdajů</w:t>
      </w:r>
      <w:r w:rsidR="00C231B9">
        <w:t>,</w:t>
      </w:r>
    </w:p>
    <w:p w:rsidR="006036CA" w:rsidRPr="00270B84" w:rsidRDefault="00C231B9" w:rsidP="00EA3680">
      <w:pPr>
        <w:pStyle w:val="Odstavecseseznamem"/>
        <w:numPr>
          <w:ilvl w:val="0"/>
          <w:numId w:val="6"/>
        </w:numPr>
      </w:pPr>
      <w:r w:rsidRPr="00270B84">
        <w:t xml:space="preserve">nákup pozemků </w:t>
      </w:r>
      <w:r>
        <w:t>nad</w:t>
      </w:r>
      <w:r w:rsidRPr="00270B84">
        <w:t xml:space="preserve"> 10 % celkových způsobilých výdajů projektu</w:t>
      </w:r>
      <w:r w:rsidR="00E21ECA">
        <w:t>.</w:t>
      </w:r>
      <w:r w:rsidR="00900798">
        <w:t xml:space="preserve"> </w:t>
      </w:r>
    </w:p>
    <w:p w:rsidR="00FD4F85" w:rsidRPr="00017CEF" w:rsidRDefault="00FD4F85" w:rsidP="00307E8F">
      <w:pPr>
        <w:pStyle w:val="Pravidla11"/>
        <w:spacing w:after="0"/>
      </w:pPr>
      <w:bookmarkStart w:id="54" w:name="_Toc455143131"/>
      <w:r w:rsidRPr="00017CEF">
        <w:t>Indikátory</w:t>
      </w:r>
      <w:bookmarkEnd w:id="54"/>
    </w:p>
    <w:p w:rsidR="003B1C46" w:rsidRDefault="00FD4F85" w:rsidP="00EA3680">
      <w:r w:rsidRPr="002965BE">
        <w:t xml:space="preserve">Žadatel je </w:t>
      </w:r>
      <w:r w:rsidR="00A33B63">
        <w:t>povinen</w:t>
      </w:r>
      <w:r w:rsidR="00900798">
        <w:t xml:space="preserve"> </w:t>
      </w:r>
      <w:r w:rsidR="00D41C75">
        <w:t>vybrat</w:t>
      </w:r>
      <w:r w:rsidR="00471860">
        <w:t xml:space="preserve"> </w:t>
      </w:r>
      <w:r w:rsidR="00404F0F">
        <w:t xml:space="preserve">všechny níže uvedené </w:t>
      </w:r>
      <w:r w:rsidRPr="002965BE">
        <w:t>indikáto</w:t>
      </w:r>
      <w:r w:rsidR="00122F60">
        <w:t>r</w:t>
      </w:r>
      <w:r w:rsidR="00471860">
        <w:t>y</w:t>
      </w:r>
      <w:r w:rsidR="003B1C46">
        <w:t xml:space="preserve">, </w:t>
      </w:r>
      <w:r w:rsidR="00404F0F">
        <w:t xml:space="preserve">tak aby </w:t>
      </w:r>
      <w:r w:rsidR="003B1C46">
        <w:t>odpovíd</w:t>
      </w:r>
      <w:r w:rsidR="00404F0F">
        <w:t>aly</w:t>
      </w:r>
      <w:r w:rsidRPr="002965BE">
        <w:t xml:space="preserve"> zvolen</w:t>
      </w:r>
      <w:r w:rsidR="003B1C46">
        <w:t>é</w:t>
      </w:r>
      <w:r w:rsidRPr="002965BE">
        <w:t xml:space="preserve"> aktivit</w:t>
      </w:r>
      <w:r w:rsidR="003B1C46">
        <w:t>ě a náplni projektu</w:t>
      </w:r>
      <w:r w:rsidRPr="002965BE">
        <w:t>.</w:t>
      </w:r>
      <w:r w:rsidR="00F75A15">
        <w:t xml:space="preserve"> </w:t>
      </w:r>
      <w:r w:rsidR="00E21ECA">
        <w:t>Plá</w:t>
      </w:r>
      <w:r w:rsidR="00A1465E">
        <w:t>no</w:t>
      </w:r>
      <w:r w:rsidR="00E21ECA">
        <w:t>vaná</w:t>
      </w:r>
      <w:r w:rsidR="00F75A15">
        <w:t xml:space="preserve"> hodnota </w:t>
      </w:r>
      <w:r w:rsidR="00E21ECA">
        <w:t xml:space="preserve">indikátoru </w:t>
      </w:r>
      <w:r w:rsidR="00F75A15">
        <w:t xml:space="preserve">je </w:t>
      </w:r>
      <w:r w:rsidR="00E64BF8">
        <w:t>závazná</w:t>
      </w:r>
      <w:r w:rsidR="00F75A15">
        <w:t>.</w:t>
      </w:r>
      <w:r w:rsidRPr="002965BE">
        <w:t xml:space="preserve">  Výběr indikátorů je součástí podání žádosti v systému MS2014+. </w:t>
      </w:r>
    </w:p>
    <w:p w:rsidR="00FD4F85" w:rsidRPr="002965BE" w:rsidRDefault="00FD4F85" w:rsidP="00EA3680">
      <w:r w:rsidRPr="002965BE">
        <w:t>K indikátoru musí být v žádosti vyplněna tato datová pole:</w:t>
      </w:r>
    </w:p>
    <w:p w:rsidR="00FD4F85" w:rsidRPr="002965BE" w:rsidRDefault="004427EA" w:rsidP="00BA1FC9">
      <w:pPr>
        <w:pStyle w:val="Odstavecseseznamem"/>
        <w:numPr>
          <w:ilvl w:val="0"/>
          <w:numId w:val="24"/>
        </w:numPr>
      </w:pPr>
      <w:r w:rsidRPr="002965BE">
        <w:t>v</w:t>
      </w:r>
      <w:r w:rsidR="00FD4F85" w:rsidRPr="002965BE">
        <w:t>ýchozí hodnota (v případě výstupových</w:t>
      </w:r>
      <w:r w:rsidR="00A1465E">
        <w:t xml:space="preserve"> indikátorů</w:t>
      </w:r>
      <w:r w:rsidR="00FD4F85" w:rsidRPr="002965BE">
        <w:t xml:space="preserve"> je automaticky načtena 0) a datum, ke kterému byla hodnota stanovena</w:t>
      </w:r>
      <w:r w:rsidR="00A33B63">
        <w:t>,</w:t>
      </w:r>
      <w:r w:rsidR="00C444C4">
        <w:t xml:space="preserve"> tj. datum</w:t>
      </w:r>
      <w:r w:rsidR="003D5CB9">
        <w:t xml:space="preserve"> zahájení realizace projektu nebo</w:t>
      </w:r>
      <w:r w:rsidR="00C444C4">
        <w:t xml:space="preserve"> předložení žádosti o podporu</w:t>
      </w:r>
      <w:r w:rsidR="003D5CB9">
        <w:t>, podle toho co nastane dříve</w:t>
      </w:r>
      <w:r w:rsidRPr="002965BE">
        <w:t>;</w:t>
      </w:r>
    </w:p>
    <w:p w:rsidR="00FD4F85" w:rsidRPr="002965BE" w:rsidRDefault="004427EA" w:rsidP="00BA1FC9">
      <w:pPr>
        <w:pStyle w:val="Odstavecseseznamem"/>
        <w:numPr>
          <w:ilvl w:val="0"/>
          <w:numId w:val="24"/>
        </w:numPr>
      </w:pPr>
      <w:r w:rsidRPr="002965BE">
        <w:t>c</w:t>
      </w:r>
      <w:r w:rsidR="00FD4F85" w:rsidRPr="002965BE">
        <w:t xml:space="preserve">ílová hodnota, kterou se žadatel v projektu zavazuje dosáhnout a datum, ke kterému ji musí naplnit. </w:t>
      </w:r>
      <w:r w:rsidRPr="002965BE">
        <w:t>Ž</w:t>
      </w:r>
      <w:r w:rsidR="00FD4F85" w:rsidRPr="002965BE">
        <w:t>adatel má povinnost hodnotu naplnit k datu ukončení realizace projektu</w:t>
      </w:r>
      <w:r w:rsidR="00705F40">
        <w:t>.</w:t>
      </w:r>
    </w:p>
    <w:p w:rsidR="00FD4F85" w:rsidRPr="002965BE" w:rsidRDefault="00FD4F85" w:rsidP="00EA3680">
      <w:r w:rsidRPr="002965BE">
        <w:t xml:space="preserve">Nenaplnění či </w:t>
      </w:r>
      <w:r w:rsidR="00D41C75">
        <w:t>překroč</w:t>
      </w:r>
      <w:r w:rsidR="00AB6E89">
        <w:t>ení</w:t>
      </w:r>
      <w:r w:rsidR="001F26E5">
        <w:t xml:space="preserve"> povolené tolerance</w:t>
      </w:r>
      <w:r w:rsidR="00D41C75" w:rsidRPr="002965BE">
        <w:t xml:space="preserve"> </w:t>
      </w:r>
      <w:r w:rsidRPr="002965BE">
        <w:t>vykazovan</w:t>
      </w:r>
      <w:r w:rsidR="00AB6E89">
        <w:t>ého</w:t>
      </w:r>
      <w:r w:rsidRPr="002965BE">
        <w:t xml:space="preserve"> indikátor</w:t>
      </w:r>
      <w:r w:rsidR="00AB6E89">
        <w:t>u</w:t>
      </w:r>
      <w:r w:rsidRPr="002965BE">
        <w:t xml:space="preserve"> k určenému datu jeho naplnění může vést ke krácení nebo nevyplacení dotace. Jeho neudržení po dobu udržitelnosti může mít charakter porušení rozpočtové kázně s následkem finanční sankce. Sankce jsou stanoveny v Podmínkách Rozhodnutí, nebo v Podmínkách Stanovení výdajů.</w:t>
      </w:r>
    </w:p>
    <w:p w:rsidR="00FD4F85" w:rsidRPr="002965BE" w:rsidRDefault="00FD4F85" w:rsidP="00EA3680">
      <w:r w:rsidRPr="002965BE">
        <w:t>Vykazovat plnění indikátoru bude příjemce podpory v</w:t>
      </w:r>
      <w:r w:rsidR="004427EA" w:rsidRPr="002965BE">
        <w:t>e</w:t>
      </w:r>
      <w:r w:rsidRPr="002965BE">
        <w:t xml:space="preserve"> </w:t>
      </w:r>
      <w:r w:rsidR="00FC20A3">
        <w:t>Z</w:t>
      </w:r>
      <w:r w:rsidR="00FC20A3" w:rsidRPr="002965BE">
        <w:t xml:space="preserve">právách </w:t>
      </w:r>
      <w:r w:rsidRPr="002965BE">
        <w:t xml:space="preserve">o realizaci projektu a </w:t>
      </w:r>
      <w:r w:rsidR="003B1C46">
        <w:t xml:space="preserve">udržení hodnoty indikátoru ve </w:t>
      </w:r>
      <w:r w:rsidR="00FC20A3">
        <w:t>Z</w:t>
      </w:r>
      <w:r w:rsidR="00FC20A3" w:rsidRPr="002965BE">
        <w:t xml:space="preserve">právách </w:t>
      </w:r>
      <w:r w:rsidRPr="002965BE">
        <w:t>o udržitelnosti projektu</w:t>
      </w:r>
      <w:r w:rsidR="004427EA" w:rsidRPr="002965BE">
        <w:t>,</w:t>
      </w:r>
      <w:r w:rsidRPr="002965BE">
        <w:t xml:space="preserve"> v datovém poli dosažená hodnota.</w:t>
      </w:r>
    </w:p>
    <w:p w:rsidR="00FD4F85" w:rsidRPr="002965BE" w:rsidRDefault="00FD4F85" w:rsidP="00EA3680">
      <w:r w:rsidRPr="002965BE">
        <w:t>Pokud by během realizace projektu nastaly změny v projektu, které ovlivní výslednou hodnotu indikátoru, postupuje příjemce v souladu s kapitolou 16 Obecných pravidel.</w:t>
      </w:r>
    </w:p>
    <w:p w:rsidR="00FD4F85" w:rsidRPr="003F04BB" w:rsidRDefault="00FD4F85" w:rsidP="00AE56CB">
      <w:pPr>
        <w:rPr>
          <w:b/>
        </w:rPr>
      </w:pPr>
      <w:r w:rsidRPr="003F04BB">
        <w:rPr>
          <w:b/>
        </w:rPr>
        <w:lastRenderedPageBreak/>
        <w:t xml:space="preserve">Podrobné informace k jednotlivým indikátorům a závazná pravidla jejich vykazování a výpočtu obsahují metodické listy indikátorů v příloze č. </w:t>
      </w:r>
      <w:r w:rsidR="00956B8F" w:rsidRPr="003F04BB">
        <w:rPr>
          <w:b/>
        </w:rPr>
        <w:t>2</w:t>
      </w:r>
      <w:r w:rsidRPr="003F04BB">
        <w:rPr>
          <w:b/>
        </w:rPr>
        <w:t xml:space="preserve"> </w:t>
      </w:r>
      <w:r w:rsidR="00C231B9" w:rsidRPr="003F04BB">
        <w:rPr>
          <w:b/>
        </w:rPr>
        <w:t>těchto P</w:t>
      </w:r>
      <w:r w:rsidRPr="003F04BB">
        <w:rPr>
          <w:b/>
        </w:rPr>
        <w:t>ravidel.</w:t>
      </w:r>
    </w:p>
    <w:p w:rsidR="00BA588A" w:rsidRPr="009F1474" w:rsidRDefault="00BA588A" w:rsidP="00AE56CB">
      <w:pPr>
        <w:rPr>
          <w:b/>
        </w:rPr>
      </w:pPr>
      <w:r w:rsidRPr="009F1474">
        <w:rPr>
          <w:b/>
        </w:rPr>
        <w:t>Indikátor výsledku</w:t>
      </w:r>
    </w:p>
    <w:p w:rsidR="00FD4F85" w:rsidRPr="00AE56CB" w:rsidRDefault="00FD4F85" w:rsidP="00AE56CB">
      <w:pPr>
        <w:rPr>
          <w:b/>
        </w:rPr>
      </w:pPr>
      <w:r w:rsidRPr="00AE56CB">
        <w:rPr>
          <w:b/>
        </w:rPr>
        <w:t xml:space="preserve">6 75 10 Kapacita služeb a sociální </w:t>
      </w:r>
      <w:r w:rsidR="00CC4818">
        <w:rPr>
          <w:b/>
        </w:rPr>
        <w:t>práce</w:t>
      </w:r>
    </w:p>
    <w:p w:rsidR="00FD4F85" w:rsidRPr="002965BE" w:rsidRDefault="00FD4F85" w:rsidP="00AE56CB">
      <w:r w:rsidRPr="002965BE">
        <w:t xml:space="preserve">Povinný pro všechny projekty. Žadatel uvede výchozí a cílovou hodnotu </w:t>
      </w:r>
      <w:r w:rsidR="008039E1">
        <w:t>indikátoru</w:t>
      </w:r>
      <w:r w:rsidRPr="002965BE">
        <w:t xml:space="preserve">. </w:t>
      </w:r>
    </w:p>
    <w:p w:rsidR="00BA588A" w:rsidRPr="009F1474" w:rsidRDefault="00BA588A" w:rsidP="00AE56CB">
      <w:pPr>
        <w:rPr>
          <w:b/>
        </w:rPr>
      </w:pPr>
      <w:r w:rsidRPr="009F1474">
        <w:rPr>
          <w:b/>
        </w:rPr>
        <w:t>Indikátor</w:t>
      </w:r>
      <w:r w:rsidR="00AE56CB">
        <w:rPr>
          <w:b/>
        </w:rPr>
        <w:t>y</w:t>
      </w:r>
      <w:r w:rsidRPr="009F1474">
        <w:rPr>
          <w:b/>
        </w:rPr>
        <w:t xml:space="preserve"> výstupu</w:t>
      </w:r>
    </w:p>
    <w:p w:rsidR="00FD4F85" w:rsidRPr="00AE56CB" w:rsidRDefault="00FD4F85" w:rsidP="00AE56CB">
      <w:pPr>
        <w:rPr>
          <w:b/>
        </w:rPr>
      </w:pPr>
      <w:r w:rsidRPr="00AE56CB">
        <w:rPr>
          <w:b/>
        </w:rPr>
        <w:t xml:space="preserve">5 54 01 Počet podpořených zázemí pro služby a sociální </w:t>
      </w:r>
      <w:r w:rsidR="00D3222A">
        <w:rPr>
          <w:b/>
        </w:rPr>
        <w:t>práci</w:t>
      </w:r>
    </w:p>
    <w:p w:rsidR="00FD4F85" w:rsidRPr="002965BE" w:rsidRDefault="00FD4F85" w:rsidP="00AE56CB">
      <w:r w:rsidRPr="002965BE">
        <w:t xml:space="preserve">Povinný pro všechny projekty. Žadatel uvede cílovou hodnotu </w:t>
      </w:r>
      <w:r w:rsidR="008039E1">
        <w:t>indikátoru</w:t>
      </w:r>
      <w:r w:rsidRPr="002965BE">
        <w:t xml:space="preserve">. </w:t>
      </w:r>
    </w:p>
    <w:p w:rsidR="00FD4F85" w:rsidRPr="00AE56CB" w:rsidRDefault="00FD4F85" w:rsidP="00AE56CB">
      <w:pPr>
        <w:rPr>
          <w:b/>
        </w:rPr>
      </w:pPr>
      <w:r w:rsidRPr="00AE56CB">
        <w:rPr>
          <w:b/>
        </w:rPr>
        <w:t>5 54 02 Počet poskytovaných druhů sociálních služeb</w:t>
      </w:r>
    </w:p>
    <w:p w:rsidR="00FD4F85" w:rsidRPr="002965BE" w:rsidRDefault="00FD4F85" w:rsidP="00AE56CB">
      <w:r w:rsidRPr="002965BE">
        <w:t xml:space="preserve">Povinný pro všechny projekty. Žadatel uvede cílovou hodnotu </w:t>
      </w:r>
      <w:r w:rsidR="008039E1">
        <w:t>indikátoru</w:t>
      </w:r>
      <w:r w:rsidRPr="002965BE">
        <w:t xml:space="preserve">. </w:t>
      </w:r>
    </w:p>
    <w:p w:rsidR="009F0FF1" w:rsidRDefault="00D3758D" w:rsidP="00307E8F">
      <w:pPr>
        <w:pStyle w:val="Pravidla11"/>
        <w:spacing w:after="0"/>
      </w:pPr>
      <w:bookmarkStart w:id="55" w:name="_Toc455143132"/>
      <w:r>
        <w:t>Místo realizace projektů</w:t>
      </w:r>
      <w:bookmarkEnd w:id="55"/>
      <w:r w:rsidR="009F0FF1" w:rsidRPr="009F0FF1">
        <w:t xml:space="preserve"> </w:t>
      </w:r>
    </w:p>
    <w:p w:rsidR="00D3758D" w:rsidRPr="00B40CDF" w:rsidRDefault="009F0FF1" w:rsidP="00B40CDF">
      <w:r w:rsidRPr="00B40CDF">
        <w:t>Obce s rozšířenou působností, na jejichž území se nenachází sociálně vyloučené lokality, mimo hl. m. Prahu</w:t>
      </w:r>
      <w:r w:rsidR="00B40CDF">
        <w:t>.</w:t>
      </w:r>
    </w:p>
    <w:p w:rsidR="00D3758D" w:rsidRDefault="00307E8F" w:rsidP="00307E8F">
      <w:pPr>
        <w:pStyle w:val="Pravidla11"/>
        <w:tabs>
          <w:tab w:val="left" w:pos="1560"/>
          <w:tab w:val="left" w:pos="2127"/>
        </w:tabs>
        <w:spacing w:after="0"/>
      </w:pPr>
      <w:r>
        <w:tab/>
      </w:r>
      <w:bookmarkStart w:id="56" w:name="_Toc455143133"/>
      <w:r w:rsidR="00D3758D">
        <w:t>Projekty generující příjmy</w:t>
      </w:r>
      <w:bookmarkEnd w:id="56"/>
    </w:p>
    <w:p w:rsidR="005E1334" w:rsidRDefault="005E1334" w:rsidP="00F50D43">
      <w:r>
        <w:t>Projekty, které mohou být podpořeny v této výzvě, podléhají pravidlům veřejné podpory a jsou vyloučeny</w:t>
      </w:r>
      <w:r>
        <w:rPr>
          <w:rStyle w:val="Znakapoznpodarou"/>
        </w:rPr>
        <w:footnoteReference w:id="1"/>
      </w:r>
      <w:r>
        <w:t xml:space="preserve"> z aplikace ustanovení čl. 61 a čl. 65 týkající se zohlednění příjmů. Jedná se o slučitelnou veřejnou podporu, u které musí být provedeno individuální ověření potřeb financování. </w:t>
      </w:r>
    </w:p>
    <w:p w:rsidR="005E1334" w:rsidRDefault="005E1334" w:rsidP="005E1334">
      <w:r>
        <w:t>I</w:t>
      </w:r>
      <w:r w:rsidRPr="009E3A2D">
        <w:t>ndividuální ověření</w:t>
      </w:r>
      <w:r>
        <w:t xml:space="preserve"> potřeb financování</w:t>
      </w:r>
      <w:r w:rsidRPr="009E3A2D">
        <w:t xml:space="preserve"> </w:t>
      </w:r>
      <w:r>
        <w:t xml:space="preserve">je </w:t>
      </w:r>
      <w:r w:rsidRPr="00CB13B8">
        <w:t>po zadání všech požadovaných dat</w:t>
      </w:r>
      <w:r>
        <w:t xml:space="preserve"> </w:t>
      </w:r>
      <w:r w:rsidRPr="00286586">
        <w:rPr>
          <w:b/>
        </w:rPr>
        <w:t>v rozdílové variantě</w:t>
      </w:r>
      <w:r w:rsidRPr="00CB13B8">
        <w:t xml:space="preserve"> </w:t>
      </w:r>
      <w:r>
        <w:t>provedeno v modulu CBA v MS</w:t>
      </w:r>
      <w:r w:rsidRPr="009E3A2D">
        <w:t>2014+</w:t>
      </w:r>
      <w:r>
        <w:t xml:space="preserve"> jako součást žádosti o podporu. A</w:t>
      </w:r>
      <w:r w:rsidRPr="009E3A2D">
        <w:t xml:space="preserve">utomaticky </w:t>
      </w:r>
      <w:r>
        <w:t xml:space="preserve">je </w:t>
      </w:r>
      <w:r w:rsidRPr="009E3A2D">
        <w:t>vypočtena maximální investiční podpora</w:t>
      </w:r>
      <w:r>
        <w:t>.</w:t>
      </w:r>
    </w:p>
    <w:p w:rsidR="00517115" w:rsidRPr="00CB13B8" w:rsidRDefault="00517115" w:rsidP="00517115">
      <w:pPr>
        <w:spacing w:before="120" w:after="120"/>
      </w:pPr>
      <w:r>
        <w:rPr>
          <w:b/>
        </w:rPr>
        <w:t>M</w:t>
      </w:r>
      <w:r w:rsidRPr="00CB13B8">
        <w:rPr>
          <w:b/>
        </w:rPr>
        <w:t>aximální výše investiční podpory</w:t>
      </w:r>
      <w:r w:rsidRPr="00CB13B8">
        <w:t xml:space="preserve"> se stanoví jako rozdíl celkových způsobilých nákladů a diskontovaných čistých příjmů, tj. kladného rozdílu diskontovaných příjmů a diskontovaných provozních výdajů za dobu životnosti projektu (referenční období), odpovídajících podílu CZV </w:t>
      </w:r>
      <w:proofErr w:type="gramStart"/>
      <w:r w:rsidRPr="00CB13B8">
        <w:t>na CIV</w:t>
      </w:r>
      <w:proofErr w:type="gramEnd"/>
      <w:r>
        <w:t>.</w:t>
      </w:r>
      <w:r w:rsidRPr="00CB13B8">
        <w:t xml:space="preserve"> </w:t>
      </w:r>
    </w:p>
    <w:p w:rsidR="00517115" w:rsidRPr="00CB13B8" w:rsidRDefault="00517115" w:rsidP="00517115">
      <w:pPr>
        <w:spacing w:before="120" w:after="120"/>
      </w:pPr>
      <w:proofErr w:type="spellStart"/>
      <w:r w:rsidRPr="00CB13B8">
        <w:rPr>
          <w:b/>
          <w:bCs/>
        </w:rPr>
        <w:t>max</w:t>
      </w:r>
      <w:proofErr w:type="spellEnd"/>
      <w:r w:rsidRPr="00CB13B8">
        <w:rPr>
          <w:b/>
          <w:bCs/>
        </w:rPr>
        <w:t xml:space="preserve"> IP = CZV – DNR</w:t>
      </w:r>
      <w:r w:rsidRPr="00CB13B8">
        <w:t xml:space="preserve"> </w:t>
      </w:r>
    </w:p>
    <w:p w:rsidR="00517115" w:rsidRPr="00CB13B8" w:rsidRDefault="00517115" w:rsidP="00517115">
      <w:pPr>
        <w:spacing w:before="120" w:after="0"/>
        <w:rPr>
          <w:i/>
        </w:rPr>
      </w:pPr>
      <w:proofErr w:type="spellStart"/>
      <w:r w:rsidRPr="00CB13B8">
        <w:rPr>
          <w:i/>
        </w:rPr>
        <w:t>max</w:t>
      </w:r>
      <w:proofErr w:type="spellEnd"/>
      <w:r w:rsidRPr="00CB13B8">
        <w:rPr>
          <w:i/>
        </w:rPr>
        <w:t xml:space="preserve"> IP……. </w:t>
      </w:r>
      <w:proofErr w:type="gramStart"/>
      <w:r w:rsidRPr="00CB13B8">
        <w:rPr>
          <w:i/>
        </w:rPr>
        <w:t>maximální</w:t>
      </w:r>
      <w:proofErr w:type="gramEnd"/>
      <w:r w:rsidRPr="00CB13B8">
        <w:rPr>
          <w:i/>
        </w:rPr>
        <w:t xml:space="preserve"> investiční podpora</w:t>
      </w:r>
    </w:p>
    <w:p w:rsidR="00517115" w:rsidRPr="00CB13B8" w:rsidRDefault="00517115" w:rsidP="00517115">
      <w:pPr>
        <w:spacing w:after="0"/>
        <w:rPr>
          <w:i/>
        </w:rPr>
      </w:pPr>
      <w:r w:rsidRPr="00CB13B8">
        <w:rPr>
          <w:i/>
        </w:rPr>
        <w:t>CZV……</w:t>
      </w:r>
      <w:proofErr w:type="gramStart"/>
      <w:r w:rsidRPr="00CB13B8">
        <w:rPr>
          <w:i/>
        </w:rPr>
        <w:t>…..  způsobilé</w:t>
      </w:r>
      <w:proofErr w:type="gramEnd"/>
      <w:r w:rsidRPr="00CB13B8">
        <w:rPr>
          <w:i/>
        </w:rPr>
        <w:t xml:space="preserve"> výdaje projektu</w:t>
      </w:r>
    </w:p>
    <w:p w:rsidR="00517115" w:rsidRPr="00CB13B8" w:rsidRDefault="00517115" w:rsidP="00517115">
      <w:pPr>
        <w:spacing w:after="0"/>
        <w:rPr>
          <w:i/>
        </w:rPr>
      </w:pPr>
      <w:r w:rsidRPr="00CB13B8">
        <w:rPr>
          <w:i/>
        </w:rPr>
        <w:t>DNR…</w:t>
      </w:r>
      <w:proofErr w:type="gramStart"/>
      <w:r w:rsidRPr="00CB13B8">
        <w:rPr>
          <w:i/>
        </w:rPr>
        <w:t>…....  diskontované</w:t>
      </w:r>
      <w:proofErr w:type="gramEnd"/>
      <w:r w:rsidRPr="00CB13B8">
        <w:rPr>
          <w:i/>
        </w:rPr>
        <w:t xml:space="preserve"> čisté příjmy odpovídající podílu CZV na CIV,  vypočtené jako  </w:t>
      </w:r>
    </w:p>
    <w:p w:rsidR="00517115" w:rsidRDefault="00517115" w:rsidP="00517115">
      <w:pPr>
        <w:spacing w:after="0"/>
      </w:pPr>
    </w:p>
    <w:p w:rsidR="00517115" w:rsidRPr="00CB13B8" w:rsidRDefault="00517115" w:rsidP="00517115">
      <w:pPr>
        <w:spacing w:after="0"/>
      </w:pPr>
      <w:r w:rsidRPr="00CB13B8">
        <w:t>(</w:t>
      </w:r>
      <w:proofErr w:type="gramStart"/>
      <w:r w:rsidRPr="00CB13B8">
        <w:t>DR  + DRV</w:t>
      </w:r>
      <w:proofErr w:type="gramEnd"/>
      <w:r w:rsidRPr="00CB13B8">
        <w:t xml:space="preserve"> – DOC)* (CZV/CIV) </w:t>
      </w:r>
    </w:p>
    <w:p w:rsidR="00517115" w:rsidRDefault="00517115" w:rsidP="00517115">
      <w:pPr>
        <w:tabs>
          <w:tab w:val="left" w:pos="0"/>
        </w:tabs>
        <w:spacing w:after="0"/>
      </w:pPr>
    </w:p>
    <w:p w:rsidR="00517115" w:rsidRPr="00CB13B8" w:rsidRDefault="00517115" w:rsidP="00517115">
      <w:pPr>
        <w:tabs>
          <w:tab w:val="left" w:pos="0"/>
        </w:tabs>
        <w:spacing w:after="0"/>
        <w:rPr>
          <w:i/>
        </w:rPr>
      </w:pPr>
      <w:r w:rsidRPr="00CB13B8">
        <w:rPr>
          <w:i/>
        </w:rPr>
        <w:lastRenderedPageBreak/>
        <w:t xml:space="preserve">DR………… diskontované příjmy </w:t>
      </w:r>
    </w:p>
    <w:p w:rsidR="00517115" w:rsidRPr="00CB13B8" w:rsidRDefault="00517115" w:rsidP="00517115">
      <w:pPr>
        <w:tabs>
          <w:tab w:val="left" w:pos="0"/>
        </w:tabs>
        <w:spacing w:after="0"/>
        <w:rPr>
          <w:i/>
        </w:rPr>
      </w:pPr>
      <w:r w:rsidRPr="00CB13B8">
        <w:rPr>
          <w:i/>
        </w:rPr>
        <w:t>DRV…….</w:t>
      </w:r>
      <w:proofErr w:type="gramStart"/>
      <w:r w:rsidRPr="00CB13B8">
        <w:rPr>
          <w:i/>
        </w:rPr>
        <w:t>….diskontovaná</w:t>
      </w:r>
      <w:proofErr w:type="gramEnd"/>
      <w:r w:rsidRPr="00CB13B8">
        <w:rPr>
          <w:i/>
        </w:rPr>
        <w:t xml:space="preserve"> zůstatková hodnota</w:t>
      </w:r>
    </w:p>
    <w:p w:rsidR="00517115" w:rsidRPr="00CB13B8" w:rsidRDefault="00517115" w:rsidP="00517115">
      <w:pPr>
        <w:tabs>
          <w:tab w:val="left" w:pos="0"/>
        </w:tabs>
        <w:spacing w:after="0"/>
        <w:rPr>
          <w:i/>
        </w:rPr>
      </w:pPr>
      <w:r w:rsidRPr="00CB13B8">
        <w:rPr>
          <w:i/>
        </w:rPr>
        <w:t xml:space="preserve">DOC…….…diskontované provozní výdaje </w:t>
      </w:r>
    </w:p>
    <w:p w:rsidR="00517115" w:rsidRPr="00CB13B8" w:rsidRDefault="00517115" w:rsidP="00517115">
      <w:pPr>
        <w:tabs>
          <w:tab w:val="left" w:pos="0"/>
        </w:tabs>
        <w:spacing w:after="0"/>
        <w:rPr>
          <w:i/>
        </w:rPr>
      </w:pPr>
      <w:r w:rsidRPr="00CB13B8">
        <w:rPr>
          <w:i/>
        </w:rPr>
        <w:t>CZV…….</w:t>
      </w:r>
      <w:proofErr w:type="gramStart"/>
      <w:r w:rsidRPr="00CB13B8">
        <w:rPr>
          <w:i/>
        </w:rPr>
        <w:t>…..celkové</w:t>
      </w:r>
      <w:proofErr w:type="gramEnd"/>
      <w:r w:rsidRPr="00CB13B8">
        <w:rPr>
          <w:i/>
        </w:rPr>
        <w:t xml:space="preserve"> způsobilé výdaje </w:t>
      </w:r>
    </w:p>
    <w:p w:rsidR="00517115" w:rsidRDefault="00517115" w:rsidP="00517115">
      <w:pPr>
        <w:rPr>
          <w:i/>
        </w:rPr>
      </w:pPr>
      <w:r w:rsidRPr="00CB13B8">
        <w:rPr>
          <w:i/>
        </w:rPr>
        <w:t>CIV………</w:t>
      </w:r>
      <w:proofErr w:type="gramStart"/>
      <w:r w:rsidRPr="00CB13B8">
        <w:rPr>
          <w:i/>
        </w:rPr>
        <w:t>….celkové</w:t>
      </w:r>
      <w:proofErr w:type="gramEnd"/>
      <w:r w:rsidRPr="00CB13B8">
        <w:rPr>
          <w:i/>
        </w:rPr>
        <w:t xml:space="preserve"> investiční výdaje</w:t>
      </w:r>
    </w:p>
    <w:p w:rsidR="005E1334" w:rsidRDefault="005E1334" w:rsidP="005E1334">
      <w:pPr>
        <w:tabs>
          <w:tab w:val="left" w:pos="7170"/>
        </w:tabs>
        <w:rPr>
          <w:rFonts w:eastAsiaTheme="minorEastAsia"/>
          <w:szCs w:val="20"/>
        </w:rPr>
      </w:pPr>
      <w:r>
        <w:rPr>
          <w:rFonts w:eastAsiaTheme="minorEastAsia"/>
          <w:szCs w:val="20"/>
        </w:rPr>
        <w:t>Bližší informace jsou uvedeny v </w:t>
      </w:r>
      <w:r w:rsidRPr="00FE798F">
        <w:rPr>
          <w:rFonts w:eastAsiaTheme="minorEastAsia"/>
          <w:szCs w:val="20"/>
        </w:rPr>
        <w:t>kapitole 2.13 těchto</w:t>
      </w:r>
      <w:r>
        <w:rPr>
          <w:rFonts w:eastAsiaTheme="minorEastAsia"/>
          <w:szCs w:val="20"/>
        </w:rPr>
        <w:t xml:space="preserve"> Pravidel.</w:t>
      </w:r>
    </w:p>
    <w:p w:rsidR="000C2C80" w:rsidRDefault="000C2C80" w:rsidP="00307E8F">
      <w:pPr>
        <w:pStyle w:val="Pravidla11"/>
        <w:tabs>
          <w:tab w:val="left" w:pos="1560"/>
        </w:tabs>
        <w:spacing w:after="0"/>
      </w:pPr>
      <w:bookmarkStart w:id="57" w:name="_Toc455143134"/>
      <w:r>
        <w:t>Přenesená daňová povinnost</w:t>
      </w:r>
      <w:bookmarkEnd w:id="57"/>
    </w:p>
    <w:p w:rsidR="00C3036F" w:rsidRDefault="00C3036F" w:rsidP="00EA3680">
      <w:r w:rsidRPr="00C3036F">
        <w:t xml:space="preserve">Pokud se na příjemce bude vztahovat trvalý režim přenesené daňové povinnosti podle </w:t>
      </w:r>
      <w:r w:rsidR="00FC20A3">
        <w:br/>
      </w:r>
      <w:r w:rsidRPr="00C3036F">
        <w:t>§ 92 zákona č.</w:t>
      </w:r>
      <w:r w:rsidR="00306857">
        <w:t> </w:t>
      </w:r>
      <w:r w:rsidRPr="00C3036F">
        <w:t>235/2004 Sb., o dani z přidané hodnoty a jeho příloh (týká se zejména stavebních a montážních prací) nebo dočasný režim přenesené daňové povinnosti vycházející z téhož zákona a nařízení vlády ČR č. 361/2014, Sb.</w:t>
      </w:r>
      <w:r w:rsidR="0088542D">
        <w:t>,</w:t>
      </w:r>
      <w:r w:rsidRPr="00C3036F">
        <w:t xml:space="preserve"> je nutné postupovat </w:t>
      </w:r>
      <w:r w:rsidR="00CB45A5">
        <w:t>po</w:t>
      </w:r>
      <w:r w:rsidRPr="00C3036F">
        <w:t xml:space="preserve">dle </w:t>
      </w:r>
      <w:r w:rsidR="00A1651D">
        <w:t>O</w:t>
      </w:r>
      <w:r w:rsidRPr="00C3036F">
        <w:t>becných pravidel, kap. 11 Přenesená daňová povinnost.</w:t>
      </w:r>
    </w:p>
    <w:p w:rsidR="000C2C80" w:rsidRDefault="0088542D" w:rsidP="00307E8F">
      <w:pPr>
        <w:pStyle w:val="Pravidla11"/>
        <w:tabs>
          <w:tab w:val="left" w:pos="1560"/>
        </w:tabs>
        <w:spacing w:after="0"/>
      </w:pPr>
      <w:bookmarkStart w:id="58" w:name="_Toc455143135"/>
      <w:r>
        <w:t>Dodatečné s</w:t>
      </w:r>
      <w:r w:rsidR="001B4D77">
        <w:t>tavební</w:t>
      </w:r>
      <w:r w:rsidR="000C2C80">
        <w:t xml:space="preserve"> práce</w:t>
      </w:r>
      <w:bookmarkEnd w:id="58"/>
    </w:p>
    <w:p w:rsidR="00C3036F" w:rsidRPr="00C3036F" w:rsidRDefault="003E4B50" w:rsidP="00EA3680">
      <w:r>
        <w:t>V případě d</w:t>
      </w:r>
      <w:r w:rsidR="0088542D">
        <w:t>odatečn</w:t>
      </w:r>
      <w:r>
        <w:t>ých</w:t>
      </w:r>
      <w:r w:rsidR="0088542D">
        <w:t xml:space="preserve"> s</w:t>
      </w:r>
      <w:r w:rsidR="00C3036F" w:rsidRPr="00C3036F">
        <w:t>tavební</w:t>
      </w:r>
      <w:r>
        <w:t>ch</w:t>
      </w:r>
      <w:r w:rsidR="00C3036F" w:rsidRPr="00C3036F">
        <w:t xml:space="preserve"> pr</w:t>
      </w:r>
      <w:r>
        <w:t>ací se příjemce</w:t>
      </w:r>
      <w:r w:rsidR="00C3036F" w:rsidRPr="00C3036F">
        <w:t xml:space="preserve"> řídí </w:t>
      </w:r>
      <w:r>
        <w:t>kap. 6 O</w:t>
      </w:r>
      <w:r w:rsidRPr="00C3036F">
        <w:t>becný</w:t>
      </w:r>
      <w:r>
        <w:t>ch</w:t>
      </w:r>
      <w:r w:rsidRPr="00C3036F">
        <w:t xml:space="preserve"> </w:t>
      </w:r>
      <w:r w:rsidR="00C3036F" w:rsidRPr="00C3036F">
        <w:t>pravid</w:t>
      </w:r>
      <w:r>
        <w:t>el</w:t>
      </w:r>
      <w:r w:rsidR="00A1651D">
        <w:t>.</w:t>
      </w:r>
      <w:r w:rsidR="008123B3">
        <w:t xml:space="preserve"> </w:t>
      </w:r>
    </w:p>
    <w:p w:rsidR="00087A5C" w:rsidRDefault="00D3758D" w:rsidP="00307E8F">
      <w:pPr>
        <w:pStyle w:val="Pravidla11"/>
        <w:tabs>
          <w:tab w:val="left" w:pos="1560"/>
        </w:tabs>
        <w:spacing w:after="0"/>
      </w:pPr>
      <w:bookmarkStart w:id="59" w:name="_Toc455143136"/>
      <w:r w:rsidRPr="00C06BDC">
        <w:t>Veřejná podpora</w:t>
      </w:r>
      <w:bookmarkEnd w:id="59"/>
    </w:p>
    <w:p w:rsidR="00506759" w:rsidRDefault="005F3610" w:rsidP="00EA3680">
      <w:r>
        <w:t>P</w:t>
      </w:r>
      <w:r w:rsidR="009162E4">
        <w:t>oskytnutá p</w:t>
      </w:r>
      <w:r w:rsidR="002A4E40">
        <w:t xml:space="preserve">odpora </w:t>
      </w:r>
      <w:r w:rsidR="00E74D35">
        <w:t>navazuje na</w:t>
      </w:r>
      <w:r w:rsidR="002A4E40">
        <w:t xml:space="preserve"> podmínky Rozhodnutí Komise ze dne 20. prosince 2011 o použití čl. 106 odst. 2 Smlouvy o</w:t>
      </w:r>
      <w:r w:rsidR="00E74D35">
        <w:t> </w:t>
      </w:r>
      <w:r w:rsidR="002A4E40">
        <w:t>fungování Evropské unie na státní podporu ve formě vyrovnávací platby za závazek veřejné služby udělené určitým podnikům pověřeným poskytováním služeb obecného hospodářského zájmu (2012/21/EU</w:t>
      </w:r>
      <w:r w:rsidR="00FC20A3">
        <w:t xml:space="preserve">, </w:t>
      </w:r>
      <w:r w:rsidR="00506759">
        <w:t xml:space="preserve">dále jen </w:t>
      </w:r>
      <w:r w:rsidR="00FC20A3">
        <w:t>„</w:t>
      </w:r>
      <w:r w:rsidR="00506759">
        <w:t>Rozhodnutí 2012/21/EU</w:t>
      </w:r>
      <w:r w:rsidR="00FC20A3">
        <w:t>“</w:t>
      </w:r>
      <w:r w:rsidR="00506759">
        <w:t>)</w:t>
      </w:r>
      <w:r w:rsidR="002A4E40">
        <w:t>.</w:t>
      </w:r>
    </w:p>
    <w:p w:rsidR="00934E55" w:rsidRDefault="00934E55" w:rsidP="00EA3680">
      <w:r w:rsidRPr="00A7626B">
        <w:t xml:space="preserve">Služby obecného hospodářského zájmu je třeba rozumět hospodářské činnosti, které </w:t>
      </w:r>
      <w:r w:rsidRPr="003F42DC">
        <w:rPr>
          <w:b/>
        </w:rPr>
        <w:t>orgány veřejné správy</w:t>
      </w:r>
      <w:r w:rsidRPr="00A7626B">
        <w:t xml:space="preserve"> definují jako služby zvláštního významu pro své občany a které by bez veřejného zásahu nebyly poskytovány nebo by byly poskytovány za méně příznivých podmínek. </w:t>
      </w:r>
    </w:p>
    <w:p w:rsidR="00116A5C" w:rsidRPr="0023050D" w:rsidRDefault="00116A5C" w:rsidP="00116A5C">
      <w:pPr>
        <w:rPr>
          <w:rFonts w:eastAsiaTheme="minorHAnsi" w:cstheme="minorBidi"/>
          <w:b/>
          <w:lang w:eastAsia="en-US"/>
        </w:rPr>
      </w:pPr>
      <w:r>
        <w:rPr>
          <w:rFonts w:cs="Arial"/>
        </w:rPr>
        <w:t xml:space="preserve">Podpora </w:t>
      </w:r>
      <w:r w:rsidRPr="00E74D35">
        <w:rPr>
          <w:rFonts w:cs="Arial"/>
        </w:rPr>
        <w:t xml:space="preserve">nebude poskytnuta příjemci, který má neuhrazené závazky vůči státnímu rozpočtu nebo mu byl na tyto závazky vydán inkasní příkaz po předcházejícím </w:t>
      </w:r>
      <w:r>
        <w:rPr>
          <w:rFonts w:cs="Arial"/>
        </w:rPr>
        <w:t>R</w:t>
      </w:r>
      <w:r w:rsidRPr="00E74D35">
        <w:rPr>
          <w:rFonts w:cs="Arial"/>
        </w:rPr>
        <w:t xml:space="preserve">ozhodnutí Komise, </w:t>
      </w:r>
      <w:r>
        <w:rPr>
          <w:rFonts w:cs="Arial"/>
        </w:rPr>
        <w:t xml:space="preserve">jímž byla </w:t>
      </w:r>
      <w:r w:rsidRPr="00E74D35">
        <w:rPr>
          <w:rFonts w:cs="Arial"/>
        </w:rPr>
        <w:t xml:space="preserve">podpora </w:t>
      </w:r>
      <w:r>
        <w:rPr>
          <w:rFonts w:cs="Arial"/>
        </w:rPr>
        <w:t xml:space="preserve">prohlášena za </w:t>
      </w:r>
      <w:r w:rsidRPr="00E74D35">
        <w:rPr>
          <w:rFonts w:cs="Arial"/>
        </w:rPr>
        <w:t>protiprávní a neslučiteln</w:t>
      </w:r>
      <w:r>
        <w:rPr>
          <w:rFonts w:cs="Arial"/>
        </w:rPr>
        <w:t>ou</w:t>
      </w:r>
      <w:r w:rsidRPr="00E74D35">
        <w:rPr>
          <w:rFonts w:cs="Arial"/>
        </w:rPr>
        <w:t xml:space="preserve"> s </w:t>
      </w:r>
      <w:r>
        <w:rPr>
          <w:rFonts w:cs="Arial"/>
        </w:rPr>
        <w:t>vnitřním</w:t>
      </w:r>
      <w:r w:rsidRPr="00E74D35">
        <w:rPr>
          <w:rFonts w:cs="Arial"/>
        </w:rPr>
        <w:t xml:space="preserve"> trhem. Příjemce zatrhne Čestné prohlášení žadatele o vypořádání finančních závazků z jiných projektů financovaných z komunitárních programů nebo jiných fondů Evropské unie na záložce Čestná prohlášení v MS2014+.</w:t>
      </w:r>
    </w:p>
    <w:p w:rsidR="00AB1F8A" w:rsidRDefault="00AB1F8A" w:rsidP="00EA3680">
      <w:r w:rsidRPr="00161C5D">
        <w:t xml:space="preserve">Z důvodu neovlivňování obchodu a kumulace s jinými vyrovnávacími platbami za stejnou </w:t>
      </w:r>
      <w:r w:rsidR="00FC20A3">
        <w:t>SOHZ</w:t>
      </w:r>
      <w:r w:rsidRPr="00161C5D">
        <w:t xml:space="preserve"> nesmí být podpora kumulována s podporou de minimis podle nařízení č. 360/2012 o použití článku 107 a 108 </w:t>
      </w:r>
      <w:r w:rsidR="00065063">
        <w:t>S</w:t>
      </w:r>
      <w:r w:rsidRPr="00161C5D">
        <w:t xml:space="preserve">mlouvy o fungování Evropské unie na podporu de minimis, udílenou za poskytování </w:t>
      </w:r>
      <w:r w:rsidR="00FC20A3">
        <w:t>SOHZ</w:t>
      </w:r>
      <w:r w:rsidRPr="00161C5D">
        <w:t xml:space="preserve">. </w:t>
      </w:r>
    </w:p>
    <w:p w:rsidR="00AB1F8A" w:rsidRPr="009B3605" w:rsidRDefault="00AB1F8A" w:rsidP="00EA3680">
      <w:pPr>
        <w:rPr>
          <w:b/>
        </w:rPr>
      </w:pPr>
      <w:r w:rsidRPr="009B3605">
        <w:rPr>
          <w:b/>
        </w:rPr>
        <w:t xml:space="preserve">Pověřovací akt </w:t>
      </w:r>
      <w:r w:rsidR="00116A5C">
        <w:rPr>
          <w:b/>
        </w:rPr>
        <w:t xml:space="preserve">(příloha žádosti o podporu č. </w:t>
      </w:r>
      <w:r w:rsidR="008C5772">
        <w:rPr>
          <w:b/>
        </w:rPr>
        <w:t>13</w:t>
      </w:r>
      <w:r w:rsidR="003664A3">
        <w:rPr>
          <w:b/>
        </w:rPr>
        <w:t>)</w:t>
      </w:r>
    </w:p>
    <w:p w:rsidR="00E871E6" w:rsidRDefault="003664A3" w:rsidP="00E871E6">
      <w:pPr>
        <w:spacing w:line="276" w:lineRule="auto"/>
        <w:rPr>
          <w:rFonts w:cs="Arial"/>
        </w:rPr>
      </w:pPr>
      <w:r>
        <w:rPr>
          <w:rFonts w:eastAsia="Times New Roman" w:cs="Arial"/>
          <w:lang w:eastAsia="ar-SA"/>
        </w:rPr>
        <w:t xml:space="preserve">Žadatel </w:t>
      </w:r>
      <w:r w:rsidR="00E871E6" w:rsidRPr="0023050D">
        <w:rPr>
          <w:rFonts w:eastAsia="Times New Roman" w:cs="Arial"/>
          <w:lang w:eastAsia="ar-SA"/>
        </w:rPr>
        <w:t xml:space="preserve">musí být písemně pověřen výkonem služby obecného hospodářského zájmu. </w:t>
      </w:r>
      <w:r>
        <w:rPr>
          <w:rFonts w:eastAsia="Times New Roman" w:cs="Arial"/>
          <w:lang w:eastAsia="ar-SA"/>
        </w:rPr>
        <w:t>Žadatel</w:t>
      </w:r>
      <w:r w:rsidRPr="0023050D">
        <w:rPr>
          <w:rFonts w:eastAsia="Times New Roman" w:cs="Arial"/>
          <w:lang w:eastAsia="ar-SA"/>
        </w:rPr>
        <w:t xml:space="preserve"> </w:t>
      </w:r>
      <w:r w:rsidR="00E871E6" w:rsidRPr="0023050D">
        <w:rPr>
          <w:rFonts w:eastAsia="Times New Roman" w:cs="Arial"/>
          <w:lang w:eastAsia="ar-SA"/>
        </w:rPr>
        <w:t>doloží existenci závazku veřejné služby na základě pověření, které musí obsahovat</w:t>
      </w:r>
      <w:r w:rsidR="00CF2014">
        <w:rPr>
          <w:rFonts w:eastAsia="Times New Roman" w:cs="Arial"/>
          <w:lang w:eastAsia="ar-SA"/>
        </w:rPr>
        <w:t xml:space="preserve"> (čl. 4 Rozhodnutí 2012/21/EU)</w:t>
      </w:r>
      <w:r w:rsidR="00E871E6">
        <w:rPr>
          <w:rFonts w:eastAsia="Times New Roman" w:cs="Arial"/>
          <w:lang w:eastAsia="ar-SA"/>
        </w:rPr>
        <w:t>:</w:t>
      </w:r>
    </w:p>
    <w:p w:rsidR="006A69FB" w:rsidRDefault="006A69FB" w:rsidP="00BA1FC9">
      <w:pPr>
        <w:pStyle w:val="Odstavecseseznamem"/>
        <w:numPr>
          <w:ilvl w:val="0"/>
          <w:numId w:val="37"/>
        </w:numPr>
        <w:suppressAutoHyphens/>
        <w:rPr>
          <w:rFonts w:cs="Arial"/>
        </w:rPr>
      </w:pPr>
      <w:r>
        <w:rPr>
          <w:rFonts w:cs="Arial"/>
        </w:rPr>
        <w:lastRenderedPageBreak/>
        <w:t>náplň a trvání závazku veřejné služby,</w:t>
      </w:r>
    </w:p>
    <w:p w:rsidR="006A69FB" w:rsidRDefault="006A69FB" w:rsidP="00BA1FC9">
      <w:pPr>
        <w:pStyle w:val="Odstavecseseznamem"/>
        <w:numPr>
          <w:ilvl w:val="0"/>
          <w:numId w:val="37"/>
        </w:numPr>
        <w:suppressAutoHyphens/>
        <w:rPr>
          <w:rFonts w:cs="Arial"/>
        </w:rPr>
      </w:pPr>
      <w:r>
        <w:rPr>
          <w:rFonts w:cs="Arial"/>
        </w:rPr>
        <w:t>identifikace podniku, případně, o které území se jedná;</w:t>
      </w:r>
    </w:p>
    <w:p w:rsidR="006A69FB" w:rsidRDefault="006A69FB" w:rsidP="00BA1FC9">
      <w:pPr>
        <w:pStyle w:val="Odstavecseseznamem"/>
        <w:numPr>
          <w:ilvl w:val="0"/>
          <w:numId w:val="37"/>
        </w:numPr>
        <w:suppressAutoHyphens/>
        <w:rPr>
          <w:rFonts w:cs="Arial"/>
        </w:rPr>
      </w:pPr>
      <w:r>
        <w:rPr>
          <w:rFonts w:cs="Arial"/>
        </w:rPr>
        <w:t>povahu jakýchkoliv výhradních nebo zvláštních práv;</w:t>
      </w:r>
    </w:p>
    <w:p w:rsidR="006A69FB" w:rsidRDefault="006A69FB" w:rsidP="00BA1FC9">
      <w:pPr>
        <w:pStyle w:val="Odstavecseseznamem"/>
        <w:numPr>
          <w:ilvl w:val="0"/>
          <w:numId w:val="37"/>
        </w:numPr>
        <w:suppressAutoHyphens/>
        <w:rPr>
          <w:rFonts w:cs="Arial"/>
        </w:rPr>
      </w:pPr>
      <w:r>
        <w:rPr>
          <w:rFonts w:cs="Arial"/>
        </w:rPr>
        <w:t>popis kompenzačního mechanismu a parametrů pro výpočet, kontrolu a přezkoumání vyrovnávací platby;</w:t>
      </w:r>
    </w:p>
    <w:p w:rsidR="006A69FB" w:rsidRDefault="006A69FB" w:rsidP="00BA1FC9">
      <w:pPr>
        <w:pStyle w:val="Odstavecseseznamem"/>
        <w:numPr>
          <w:ilvl w:val="0"/>
          <w:numId w:val="37"/>
        </w:numPr>
        <w:suppressAutoHyphens/>
        <w:rPr>
          <w:rFonts w:cs="Arial"/>
        </w:rPr>
      </w:pPr>
      <w:r>
        <w:rPr>
          <w:rFonts w:cs="Arial"/>
        </w:rPr>
        <w:t>opatření k zamezení a vrácení jakékoli nadměrné vyrovnávací platby;</w:t>
      </w:r>
    </w:p>
    <w:p w:rsidR="008E383B" w:rsidRDefault="006A69FB" w:rsidP="008E383B">
      <w:pPr>
        <w:pStyle w:val="Odstavecseseznamem"/>
        <w:numPr>
          <w:ilvl w:val="0"/>
          <w:numId w:val="37"/>
        </w:numPr>
        <w:suppressAutoHyphens/>
        <w:rPr>
          <w:rFonts w:cs="Arial"/>
        </w:rPr>
      </w:pPr>
      <w:r>
        <w:rPr>
          <w:rFonts w:cs="Arial"/>
        </w:rPr>
        <w:t xml:space="preserve">odkaz na </w:t>
      </w:r>
      <w:r w:rsidR="00AC20B8">
        <w:rPr>
          <w:rFonts w:cs="Arial"/>
        </w:rPr>
        <w:t>R</w:t>
      </w:r>
      <w:r>
        <w:rPr>
          <w:rFonts w:cs="Arial"/>
        </w:rPr>
        <w:t>ozhodnutí</w:t>
      </w:r>
      <w:r w:rsidR="00AC20B8">
        <w:rPr>
          <w:rFonts w:cs="Arial"/>
        </w:rPr>
        <w:t xml:space="preserve"> 2012/21/EU (uvedením plného názvu v textu pověření)</w:t>
      </w:r>
      <w:r>
        <w:rPr>
          <w:rFonts w:cs="Arial"/>
        </w:rPr>
        <w:t xml:space="preserve">.  </w:t>
      </w:r>
    </w:p>
    <w:p w:rsidR="00E65A51" w:rsidRDefault="00E871E6" w:rsidP="00E74D35">
      <w:pPr>
        <w:rPr>
          <w:rFonts w:eastAsia="Times New Roman" w:cs="Arial"/>
          <w:lang w:eastAsia="ar-SA"/>
        </w:rPr>
      </w:pPr>
      <w:r w:rsidRPr="0023050D">
        <w:rPr>
          <w:rFonts w:eastAsia="Times New Roman" w:cs="Arial"/>
          <w:lang w:eastAsia="ar-SA"/>
        </w:rPr>
        <w:t>Dotace a podpora musí být prokazatelně poskytnuta na činnost, která byla příjemci uložena na základě pověření a která představuje službu obecného hospodářského zájmu.</w:t>
      </w:r>
      <w:r>
        <w:rPr>
          <w:rFonts w:eastAsia="Times New Roman" w:cs="Arial"/>
          <w:lang w:eastAsia="ar-SA"/>
        </w:rPr>
        <w:t xml:space="preserve"> </w:t>
      </w:r>
    </w:p>
    <w:p w:rsidR="00E74D35" w:rsidRPr="00E74D35" w:rsidRDefault="00E74D35" w:rsidP="00E74D35">
      <w:pPr>
        <w:rPr>
          <w:rFonts w:cs="Arial"/>
          <w:b/>
        </w:rPr>
      </w:pPr>
      <w:r w:rsidRPr="00E74D35">
        <w:rPr>
          <w:rFonts w:cs="Arial"/>
          <w:b/>
        </w:rPr>
        <w:t xml:space="preserve">Žadatel musí být pověřen k výkonu </w:t>
      </w:r>
      <w:r w:rsidR="005E3DAA">
        <w:rPr>
          <w:rFonts w:cs="Arial"/>
          <w:b/>
        </w:rPr>
        <w:t>SOHZ</w:t>
      </w:r>
      <w:r w:rsidRPr="00E74D35">
        <w:rPr>
          <w:rFonts w:cs="Arial"/>
          <w:b/>
        </w:rPr>
        <w:t xml:space="preserve"> v souladu s Rozhodnutím 2012/21/EU </w:t>
      </w:r>
      <w:r w:rsidR="00E65A51">
        <w:rPr>
          <w:rFonts w:cs="Arial"/>
          <w:b/>
        </w:rPr>
        <w:t xml:space="preserve">po celou dobu životnosti investice (10let) </w:t>
      </w:r>
      <w:r w:rsidRPr="00E74D35">
        <w:rPr>
          <w:rFonts w:cs="Arial"/>
          <w:b/>
        </w:rPr>
        <w:t xml:space="preserve">nejméně do konce doby udržitelnosti projektu, tedy </w:t>
      </w:r>
      <w:r w:rsidR="00AC20B8">
        <w:rPr>
          <w:rFonts w:cs="Arial"/>
          <w:b/>
        </w:rPr>
        <w:t>pět</w:t>
      </w:r>
      <w:r w:rsidRPr="00E74D35">
        <w:rPr>
          <w:rFonts w:cs="Arial"/>
          <w:b/>
        </w:rPr>
        <w:t xml:space="preserve"> let od </w:t>
      </w:r>
      <w:r w:rsidR="00AC20B8">
        <w:rPr>
          <w:rFonts w:cs="Arial"/>
          <w:b/>
        </w:rPr>
        <w:t>poslední platby příjemci. Doporučená délka pověření je po dobu odepisování pořízené investice</w:t>
      </w:r>
      <w:r w:rsidRPr="00E74D35">
        <w:rPr>
          <w:rFonts w:cs="Arial"/>
          <w:b/>
        </w:rPr>
        <w:t xml:space="preserve">. </w:t>
      </w:r>
      <w:r w:rsidR="00E871E6">
        <w:rPr>
          <w:rFonts w:cs="Arial"/>
          <w:b/>
        </w:rPr>
        <w:t>Pokud bude doba pověření kratší, než je doba životnosti investice, bude zůstatková hodnota investice započtena do výpočtu kompenzace jako příjem poskytovatele SOHZ v posledním roce trvání pověření.</w:t>
      </w:r>
    </w:p>
    <w:p w:rsidR="00E871E6" w:rsidRDefault="00E871E6" w:rsidP="00E74D35">
      <w:pPr>
        <w:rPr>
          <w:rFonts w:cs="Arial"/>
          <w:b/>
        </w:rPr>
      </w:pPr>
      <w:r>
        <w:rPr>
          <w:rFonts w:cs="Arial"/>
          <w:b/>
        </w:rPr>
        <w:t xml:space="preserve">Žadatel nemusí být pověřen jedním pověřovacím aktem, ale několika akty, které na sebe musí navazovat, aby bylo zajištěno kontinuální poskytování služby. V případě nezajištěné návaznosti poskytované služby se </w:t>
      </w:r>
      <w:r w:rsidR="00E92E23">
        <w:rPr>
          <w:rFonts w:cs="Arial"/>
          <w:b/>
        </w:rPr>
        <w:t>příjemce</w:t>
      </w:r>
      <w:r>
        <w:rPr>
          <w:rFonts w:cs="Arial"/>
          <w:b/>
        </w:rPr>
        <w:t xml:space="preserve"> vystavuje riziku navrácení celé dotace.</w:t>
      </w:r>
      <w:r w:rsidR="002358F6">
        <w:rPr>
          <w:rFonts w:cs="Arial"/>
          <w:b/>
        </w:rPr>
        <w:t xml:space="preserve"> </w:t>
      </w:r>
      <w:r w:rsidR="002358F6" w:rsidRPr="002358F6">
        <w:rPr>
          <w:rFonts w:cs="Arial"/>
          <w:b/>
        </w:rPr>
        <w:t>Pověřovací akt pro poskytování SOHZ může být vydáván i postupně, tzn. na kratší časová období, která na sebe přímo navazují a která pokryjí celou dobu udržitelnosti.</w:t>
      </w:r>
    </w:p>
    <w:p w:rsidR="009C286A" w:rsidRDefault="009C286A" w:rsidP="00E74D35">
      <w:pPr>
        <w:rPr>
          <w:rFonts w:cs="Arial"/>
        </w:rPr>
      </w:pPr>
      <w:r>
        <w:rPr>
          <w:rFonts w:cs="Arial"/>
        </w:rPr>
        <w:t xml:space="preserve">V případě, že žadatel není ke dni podání žádosti pověřen v souladu s Rozhodnutím 2012/21/EU, doloží vyjádření objednatele služeb o úmyslu žadatele pověřit výkonem služby obecného hospodářského zájmu v souladu s Rozhodnutím 2012/21/EU. </w:t>
      </w:r>
    </w:p>
    <w:p w:rsidR="00CF2014" w:rsidRDefault="008D199D" w:rsidP="00E74D35">
      <w:pPr>
        <w:rPr>
          <w:rFonts w:cs="Arial"/>
        </w:rPr>
      </w:pPr>
      <w:r>
        <w:rPr>
          <w:rFonts w:ascii="Cambria" w:hAnsi="Cambria"/>
        </w:rPr>
        <w:t>Pověřovací akt žadateli vydá subjekt, který má zájem na provozování činnosti v kvalitě a kvantitě v dané lokalitě</w:t>
      </w:r>
      <w:r w:rsidR="008D3EA0">
        <w:rPr>
          <w:rFonts w:ascii="Cambria" w:hAnsi="Cambria"/>
        </w:rPr>
        <w:t xml:space="preserve"> – tj. kraj, obec, </w:t>
      </w:r>
      <w:r w:rsidR="00650F48">
        <w:rPr>
          <w:rFonts w:ascii="Cambria" w:hAnsi="Cambria"/>
        </w:rPr>
        <w:t xml:space="preserve">městská část, </w:t>
      </w:r>
      <w:r w:rsidR="00AD2E79">
        <w:rPr>
          <w:rFonts w:ascii="Cambria" w:hAnsi="Cambria"/>
        </w:rPr>
        <w:t>M</w:t>
      </w:r>
      <w:r w:rsidR="004B09BA">
        <w:rPr>
          <w:rFonts w:ascii="Cambria" w:hAnsi="Cambria"/>
        </w:rPr>
        <w:t>inisterstvo práce a sociálních věcí.</w:t>
      </w:r>
      <w:r w:rsidR="0061226F">
        <w:rPr>
          <w:rFonts w:ascii="Cambria" w:hAnsi="Cambria"/>
        </w:rPr>
        <w:t xml:space="preserve"> </w:t>
      </w:r>
      <w:r w:rsidR="00CF2014">
        <w:rPr>
          <w:rFonts w:cs="Arial"/>
        </w:rPr>
        <w:t xml:space="preserve">Vyjádření objednatele musí obsahovat výčet náležitostí </w:t>
      </w:r>
      <w:r w:rsidR="00673C9B">
        <w:rPr>
          <w:rFonts w:cs="Arial"/>
        </w:rPr>
        <w:t>podle čl. 4 Rozhodnutí 2012/21/EU.</w:t>
      </w:r>
    </w:p>
    <w:p w:rsidR="00673C9B" w:rsidRDefault="009C286A" w:rsidP="00673C9B">
      <w:pPr>
        <w:rPr>
          <w:rFonts w:cs="Arial"/>
          <w:b/>
        </w:rPr>
      </w:pPr>
      <w:r>
        <w:rPr>
          <w:rFonts w:cs="Arial"/>
        </w:rPr>
        <w:t xml:space="preserve">Žadatel musí být pověřen k výkonu SOHZ nejpozději do </w:t>
      </w:r>
      <w:r w:rsidR="005C653F">
        <w:rPr>
          <w:rFonts w:cs="Arial"/>
        </w:rPr>
        <w:t>12</w:t>
      </w:r>
      <w:r>
        <w:rPr>
          <w:rFonts w:cs="Arial"/>
        </w:rPr>
        <w:t xml:space="preserve"> měsíců od ukončení realizace projektu</w:t>
      </w:r>
      <w:r w:rsidR="00E92E23">
        <w:rPr>
          <w:rFonts w:cs="Arial"/>
        </w:rPr>
        <w:t>, tzn. od data nastavení centrálního stavu „Projekt finančn</w:t>
      </w:r>
      <w:r w:rsidR="00DD1502">
        <w:rPr>
          <w:rFonts w:cs="Arial"/>
        </w:rPr>
        <w:t>ě</w:t>
      </w:r>
      <w:r w:rsidR="00E92E23">
        <w:rPr>
          <w:rFonts w:cs="Arial"/>
        </w:rPr>
        <w:t xml:space="preserve"> ukončen ze strany ŘO“.</w:t>
      </w:r>
      <w:r w:rsidR="00CF2014">
        <w:rPr>
          <w:rFonts w:cs="Arial"/>
        </w:rPr>
        <w:t xml:space="preserve"> </w:t>
      </w:r>
      <w:r w:rsidR="00E92E23">
        <w:rPr>
          <w:rFonts w:cs="Arial"/>
        </w:rPr>
        <w:t>P</w:t>
      </w:r>
      <w:r w:rsidR="00CF2014">
        <w:rPr>
          <w:rFonts w:cs="Arial"/>
        </w:rPr>
        <w:t xml:space="preserve">ověřovací akt </w:t>
      </w:r>
      <w:r w:rsidR="00E92E23">
        <w:rPr>
          <w:rFonts w:cs="Arial"/>
        </w:rPr>
        <w:t xml:space="preserve">příjemce </w:t>
      </w:r>
      <w:r w:rsidR="00CF2014">
        <w:rPr>
          <w:rFonts w:cs="Arial"/>
        </w:rPr>
        <w:t>dokládá jako přílohu první průběžné Zprávy o udržitelnosti</w:t>
      </w:r>
      <w:r>
        <w:rPr>
          <w:rFonts w:cs="Arial"/>
        </w:rPr>
        <w:t xml:space="preserve">. </w:t>
      </w:r>
      <w:r w:rsidR="00673C9B">
        <w:rPr>
          <w:rFonts w:cs="Arial"/>
          <w:b/>
        </w:rPr>
        <w:t xml:space="preserve">V případě nedoložení pověření k výkonu SOHZ se </w:t>
      </w:r>
      <w:r w:rsidR="00E92E23">
        <w:rPr>
          <w:rFonts w:cs="Arial"/>
          <w:b/>
        </w:rPr>
        <w:t>příjemce</w:t>
      </w:r>
      <w:r w:rsidR="00673C9B">
        <w:rPr>
          <w:rFonts w:cs="Arial"/>
          <w:b/>
        </w:rPr>
        <w:t xml:space="preserve"> vystavuje riziku navrácení celé dotace.</w:t>
      </w:r>
    </w:p>
    <w:p w:rsidR="00AE56CB" w:rsidRPr="00AE56CB" w:rsidRDefault="00E74D35" w:rsidP="00E74D35">
      <w:r w:rsidRPr="00E74D35">
        <w:rPr>
          <w:rFonts w:cs="Arial"/>
          <w:b/>
        </w:rPr>
        <w:t xml:space="preserve">Z pověřovacího aktu musí být jasně patrno, že je žadatel pověřen k výkonu </w:t>
      </w:r>
      <w:r w:rsidR="00C37FE9">
        <w:rPr>
          <w:rFonts w:cs="Arial"/>
          <w:b/>
        </w:rPr>
        <w:t>SOHZ</w:t>
      </w:r>
      <w:r w:rsidRPr="00E74D35">
        <w:rPr>
          <w:rFonts w:cs="Arial"/>
          <w:b/>
        </w:rPr>
        <w:t xml:space="preserve">, k jejímuž zkvalitnění slouží </w:t>
      </w:r>
      <w:r w:rsidR="00AC20B8">
        <w:rPr>
          <w:rFonts w:cs="Arial"/>
          <w:b/>
        </w:rPr>
        <w:t>podpora z IROP</w:t>
      </w:r>
      <w:r w:rsidRPr="00E74D35">
        <w:rPr>
          <w:rFonts w:cs="Arial"/>
          <w:b/>
        </w:rPr>
        <w:t xml:space="preserve">. </w:t>
      </w:r>
    </w:p>
    <w:p w:rsidR="00E74D35" w:rsidRPr="00AE56CB" w:rsidRDefault="00842E78" w:rsidP="00E74D35">
      <w:r w:rsidRPr="00556C32">
        <w:rPr>
          <w:rFonts w:cs="Arial"/>
        </w:rPr>
        <w:t xml:space="preserve">Pověření musí obsahovat mechanismus pro stanovení (výpočet) vyrovnávací platby. </w:t>
      </w:r>
      <w:r w:rsidR="00E74D35" w:rsidRPr="00842E78">
        <w:rPr>
          <w:rFonts w:cs="Arial"/>
        </w:rPr>
        <w:t xml:space="preserve">Do výpočtu kompenzační platby za výkon </w:t>
      </w:r>
      <w:r w:rsidR="005E3DAA">
        <w:rPr>
          <w:rFonts w:cs="Arial"/>
        </w:rPr>
        <w:t>SOHZ</w:t>
      </w:r>
      <w:r w:rsidR="00E74D35" w:rsidRPr="00842E78">
        <w:rPr>
          <w:rFonts w:cs="Arial"/>
        </w:rPr>
        <w:t xml:space="preserve"> nelze zahrnout odpisy majetku pořízeného z </w:t>
      </w:r>
      <w:r w:rsidR="00AC20B8">
        <w:rPr>
          <w:rFonts w:cs="Arial"/>
        </w:rPr>
        <w:t>IROP</w:t>
      </w:r>
      <w:r w:rsidR="00E74D35" w:rsidRPr="00842E78">
        <w:rPr>
          <w:rFonts w:cs="Arial"/>
        </w:rPr>
        <w:t xml:space="preserve">. </w:t>
      </w:r>
    </w:p>
    <w:p w:rsidR="00E74D35" w:rsidRDefault="00E74D35" w:rsidP="00E74D35">
      <w:pPr>
        <w:rPr>
          <w:rFonts w:cs="Arial"/>
        </w:rPr>
      </w:pPr>
      <w:r w:rsidRPr="00E74D35">
        <w:rPr>
          <w:rFonts w:cs="Arial"/>
        </w:rPr>
        <w:t xml:space="preserve">Další informace viz kapitola </w:t>
      </w:r>
      <w:r w:rsidR="0013584F">
        <w:rPr>
          <w:rFonts w:cs="Arial"/>
        </w:rPr>
        <w:t>8</w:t>
      </w:r>
      <w:r w:rsidRPr="00E74D35">
        <w:rPr>
          <w:rFonts w:cs="Arial"/>
        </w:rPr>
        <w:t xml:space="preserve"> Obecných pravidel. </w:t>
      </w:r>
    </w:p>
    <w:p w:rsidR="00370E53" w:rsidRPr="00556C32" w:rsidRDefault="00370E53" w:rsidP="00370E53">
      <w:pPr>
        <w:pBdr>
          <w:top w:val="single" w:sz="4" w:space="1" w:color="auto"/>
          <w:left w:val="single" w:sz="4" w:space="4" w:color="auto"/>
          <w:bottom w:val="single" w:sz="4" w:space="1" w:color="auto"/>
          <w:right w:val="single" w:sz="4" w:space="4" w:color="auto"/>
        </w:pBdr>
        <w:rPr>
          <w:rFonts w:cs="Arial"/>
          <w:b/>
        </w:rPr>
      </w:pPr>
      <w:r w:rsidRPr="00556C32">
        <w:rPr>
          <w:rFonts w:cs="Arial"/>
          <w:b/>
        </w:rPr>
        <w:lastRenderedPageBreak/>
        <w:t>Poskytovatel dotace přijímá podmínky uvedené v pověřovacím aktu</w:t>
      </w:r>
      <w:r w:rsidR="00AC20B8">
        <w:rPr>
          <w:rFonts w:cs="Arial"/>
          <w:b/>
        </w:rPr>
        <w:t>, který</w:t>
      </w:r>
      <w:r w:rsidRPr="00556C32">
        <w:rPr>
          <w:rFonts w:cs="Arial"/>
          <w:b/>
        </w:rPr>
        <w:t xml:space="preserve"> vyda</w:t>
      </w:r>
      <w:r w:rsidR="00AC20B8">
        <w:rPr>
          <w:rFonts w:cs="Arial"/>
          <w:b/>
        </w:rPr>
        <w:t>l</w:t>
      </w:r>
      <w:r w:rsidRPr="00556C32">
        <w:rPr>
          <w:rFonts w:cs="Arial"/>
          <w:b/>
        </w:rPr>
        <w:t xml:space="preserve"> zřizovatel příjemce</w:t>
      </w:r>
      <w:r w:rsidR="00510844">
        <w:rPr>
          <w:rFonts w:cs="Arial"/>
          <w:b/>
        </w:rPr>
        <w:t>,</w:t>
      </w:r>
      <w:r w:rsidRPr="00556C32">
        <w:rPr>
          <w:rFonts w:cs="Arial"/>
          <w:b/>
        </w:rPr>
        <w:t xml:space="preserve"> </w:t>
      </w:r>
      <w:r w:rsidR="00AC20B8">
        <w:rPr>
          <w:rFonts w:cs="Arial"/>
          <w:b/>
        </w:rPr>
        <w:t>pokud</w:t>
      </w:r>
      <w:r w:rsidRPr="00556C32">
        <w:rPr>
          <w:rFonts w:cs="Arial"/>
          <w:b/>
        </w:rPr>
        <w:t xml:space="preserve"> splňuje veškeré náležitosti Rozhodnutí 2012/21/EU. Především musí být z pověřovacího aktu jasně patrný kompenzační mechanismus a parametry pro výpočet, kontrolu, přezkoumání vyrovnávací platby, opatření k zamezení a vrácení jakékoli nadměrné vyrovnávací platby. </w:t>
      </w:r>
    </w:p>
    <w:p w:rsidR="00CF202B" w:rsidRPr="00AE56CB" w:rsidRDefault="00370E53" w:rsidP="00AE56CB">
      <w:r w:rsidRPr="00AE56CB">
        <w:t xml:space="preserve">Z důvodu zvýšené transparentnosti je nezbytné, aby </w:t>
      </w:r>
      <w:r w:rsidR="00CF202B" w:rsidRPr="00AE56CB">
        <w:t>při</w:t>
      </w:r>
      <w:r w:rsidRPr="00AE56CB">
        <w:t xml:space="preserve"> překročení průměrné ročn</w:t>
      </w:r>
      <w:r w:rsidR="00CF202B" w:rsidRPr="00AE56CB">
        <w:t>í</w:t>
      </w:r>
      <w:r w:rsidRPr="00AE56CB">
        <w:t xml:space="preserve"> vyrovnávací platby nad 15 milionů EUR, udělené příjemci za poskytování </w:t>
      </w:r>
      <w:r w:rsidR="00AE56CB" w:rsidRPr="00AE56CB">
        <w:t>SOHZ</w:t>
      </w:r>
      <w:r w:rsidRPr="00AE56CB">
        <w:t xml:space="preserve">, příjemce </w:t>
      </w:r>
      <w:r w:rsidR="00CF202B" w:rsidRPr="00AE56CB">
        <w:t>na svých webových stránkách, do tř</w:t>
      </w:r>
      <w:r w:rsidR="003F0DD4" w:rsidRPr="00AE56CB">
        <w:t>í</w:t>
      </w:r>
      <w:r w:rsidR="00CF202B" w:rsidRPr="00AE56CB">
        <w:t xml:space="preserve"> měsíců po uzavření roční účetní závěrky, </w:t>
      </w:r>
      <w:r w:rsidRPr="00AE56CB">
        <w:t>zveřejnil</w:t>
      </w:r>
      <w:r w:rsidR="00AE56CB" w:rsidRPr="00AE56CB">
        <w:t>:</w:t>
      </w:r>
    </w:p>
    <w:p w:rsidR="00CF202B" w:rsidRDefault="00370E53" w:rsidP="00FC20A3">
      <w:pPr>
        <w:pStyle w:val="Odstavecseseznamem"/>
        <w:numPr>
          <w:ilvl w:val="0"/>
          <w:numId w:val="67"/>
        </w:numPr>
        <w:rPr>
          <w:rFonts w:cs="Arial"/>
        </w:rPr>
      </w:pPr>
      <w:r w:rsidRPr="00CF202B">
        <w:rPr>
          <w:rFonts w:cs="Arial"/>
        </w:rPr>
        <w:t>pověřovací akt nebo shrnutí</w:t>
      </w:r>
      <w:r w:rsidR="00CF202B">
        <w:rPr>
          <w:rFonts w:cs="Arial"/>
        </w:rPr>
        <w:t>,</w:t>
      </w:r>
      <w:r w:rsidRPr="00CF202B">
        <w:rPr>
          <w:rFonts w:cs="Arial"/>
        </w:rPr>
        <w:t xml:space="preserve"> které </w:t>
      </w:r>
      <w:r w:rsidR="00CF202B">
        <w:rPr>
          <w:rFonts w:cs="Arial"/>
        </w:rPr>
        <w:t>obsahuje</w:t>
      </w:r>
      <w:r w:rsidRPr="00CF202B">
        <w:rPr>
          <w:rFonts w:cs="Arial"/>
        </w:rPr>
        <w:t xml:space="preserve"> prvky </w:t>
      </w:r>
      <w:r w:rsidR="00CF202B">
        <w:rPr>
          <w:rFonts w:cs="Arial"/>
        </w:rPr>
        <w:t xml:space="preserve">(údaje vyplývající z náležitostí) </w:t>
      </w:r>
      <w:r w:rsidRPr="00CF202B">
        <w:rPr>
          <w:rFonts w:cs="Arial"/>
        </w:rPr>
        <w:t xml:space="preserve">pověřovacího aktu a </w:t>
      </w:r>
    </w:p>
    <w:p w:rsidR="00CF202B" w:rsidRDefault="00370E53" w:rsidP="00FC20A3">
      <w:pPr>
        <w:pStyle w:val="Odstavecseseznamem"/>
        <w:numPr>
          <w:ilvl w:val="0"/>
          <w:numId w:val="67"/>
        </w:numPr>
        <w:rPr>
          <w:rFonts w:cs="Arial"/>
        </w:rPr>
      </w:pPr>
      <w:r w:rsidRPr="00CF202B">
        <w:rPr>
          <w:rFonts w:cs="Arial"/>
        </w:rPr>
        <w:t>částky podpory udělo</w:t>
      </w:r>
      <w:r w:rsidR="00CF202B" w:rsidRPr="00CF202B">
        <w:rPr>
          <w:rFonts w:cs="Arial"/>
        </w:rPr>
        <w:t>vané příjemci na ročním základě</w:t>
      </w:r>
      <w:r w:rsidR="00CF202B">
        <w:rPr>
          <w:rFonts w:cs="Arial"/>
        </w:rPr>
        <w:t>.</w:t>
      </w:r>
    </w:p>
    <w:tbl>
      <w:tblPr>
        <w:tblStyle w:val="Mkatabulky"/>
        <w:tblW w:w="0" w:type="auto"/>
        <w:tblLook w:val="04A0" w:firstRow="1" w:lastRow="0" w:firstColumn="1" w:lastColumn="0" w:noHBand="0" w:noVBand="1"/>
      </w:tblPr>
      <w:tblGrid>
        <w:gridCol w:w="9218"/>
      </w:tblGrid>
      <w:tr w:rsidR="00F37025" w:rsidRPr="00B646EF" w:rsidTr="00CD5582">
        <w:tc>
          <w:tcPr>
            <w:tcW w:w="9218" w:type="dxa"/>
          </w:tcPr>
          <w:p w:rsidR="00F37025" w:rsidRPr="00114D4C" w:rsidRDefault="00F37025" w:rsidP="00CD5582">
            <w:pPr>
              <w:rPr>
                <w:b/>
                <w:lang w:val="cs-CZ"/>
              </w:rPr>
            </w:pPr>
            <w:r w:rsidRPr="00114D4C">
              <w:rPr>
                <w:b/>
              </w:rPr>
              <w:t>UPOZORNĚNÍ</w:t>
            </w:r>
          </w:p>
          <w:p w:rsidR="003F604A" w:rsidRPr="003F604A" w:rsidRDefault="003F604A" w:rsidP="003F604A">
            <w:pPr>
              <w:rPr>
                <w:lang w:val="cs-CZ" w:eastAsia="cs-CZ"/>
              </w:rPr>
            </w:pPr>
            <w:r w:rsidRPr="003F604A">
              <w:rPr>
                <w:lang w:val="cs-CZ" w:eastAsia="cs-CZ"/>
              </w:rPr>
              <w:t>V souvislosti s připravovanou novelou zákona o sociálních službách, jejíž účinnost spadá do období předpokládaného ukončení projektů</w:t>
            </w:r>
            <w:r w:rsidR="00CE0C8B">
              <w:rPr>
                <w:lang w:val="cs-CZ" w:eastAsia="cs-CZ"/>
              </w:rPr>
              <w:t>,</w:t>
            </w:r>
            <w:r w:rsidRPr="003F604A">
              <w:rPr>
                <w:lang w:val="cs-CZ" w:eastAsia="cs-CZ"/>
              </w:rPr>
              <w:t xml:space="preserve"> upozorňujeme žadatele na plánované zásadní změny v oblasti registr</w:t>
            </w:r>
            <w:r w:rsidR="00443392">
              <w:rPr>
                <w:lang w:val="cs-CZ" w:eastAsia="cs-CZ"/>
              </w:rPr>
              <w:t>ací sociálních služeb.</w:t>
            </w:r>
          </w:p>
          <w:p w:rsidR="00443392" w:rsidRDefault="00443392" w:rsidP="003F604A">
            <w:pPr>
              <w:rPr>
                <w:lang w:val="cs-CZ" w:eastAsia="cs-CZ"/>
              </w:rPr>
            </w:pPr>
          </w:p>
          <w:p w:rsidR="003F604A" w:rsidRPr="003F604A" w:rsidRDefault="003F604A" w:rsidP="003F604A">
            <w:pPr>
              <w:rPr>
                <w:lang w:val="cs-CZ" w:eastAsia="cs-CZ"/>
              </w:rPr>
            </w:pPr>
            <w:r w:rsidRPr="003F604A">
              <w:rPr>
                <w:lang w:val="cs-CZ" w:eastAsia="cs-CZ"/>
              </w:rPr>
              <w:t xml:space="preserve">Registrace budou od roku 2017 vydávány na dobu určitou. První registrace bude udělena na dobu dvou let a </w:t>
            </w:r>
            <w:r w:rsidR="00443392">
              <w:rPr>
                <w:lang w:val="cs-CZ" w:eastAsia="cs-CZ"/>
              </w:rPr>
              <w:t>n</w:t>
            </w:r>
            <w:r w:rsidRPr="003F604A">
              <w:rPr>
                <w:lang w:val="cs-CZ" w:eastAsia="cs-CZ"/>
              </w:rPr>
              <w:t>ásledně bude vydána registrace na období 5 let. Po této době bude muset poskytovatel požádat o tzv. obnovení registrace, kdy bude muset opětovně prokazovat plnění některých registračních podmínek. Stávající poskytovatelé sociálních služeb budou muset do dvou let od nabytí účinnosti tohoto zákona požádat o novou registraci služby. Pokud o ni nepožádají nebo pokud nevyhoví novým podmínkám, registrace dané sociální služby zanikne.</w:t>
            </w:r>
          </w:p>
          <w:p w:rsidR="003F604A" w:rsidRPr="003F604A" w:rsidRDefault="003F604A" w:rsidP="003F604A">
            <w:pPr>
              <w:rPr>
                <w:lang w:val="cs-CZ" w:eastAsia="cs-CZ"/>
              </w:rPr>
            </w:pPr>
          </w:p>
          <w:p w:rsidR="00583E9B" w:rsidRDefault="003F604A" w:rsidP="003F604A">
            <w:pPr>
              <w:spacing w:after="200"/>
              <w:rPr>
                <w:lang w:val="cs-CZ" w:eastAsia="cs-CZ"/>
              </w:rPr>
            </w:pPr>
            <w:r w:rsidRPr="003F604A">
              <w:rPr>
                <w:lang w:val="cs-CZ" w:eastAsia="cs-CZ"/>
              </w:rPr>
              <w:t xml:space="preserve">Mezi nové podmínky registrace bude patřit i naplnění personálních a materiálních a technických podmínek (viz zákon č. 254/2014 Sb., kterým se mění zákon č. 108/2006 Sb., o sociálních službách, ve znění pozdějších předpisů, zákon č. 111/2006 Sb., o pomoci v hmotné nouzi, ve znění pozdějších předpisů, a zákon č. 73/2011 Sb., o Úřadu práce České republiky a o změně souvisejících zákonů, ve znění pozdějších předpisů). </w:t>
            </w:r>
          </w:p>
          <w:p w:rsidR="00BB39A8" w:rsidRDefault="003F604A" w:rsidP="003F604A">
            <w:pPr>
              <w:spacing w:after="200"/>
              <w:rPr>
                <w:lang w:val="cs-CZ" w:eastAsia="cs-CZ"/>
              </w:rPr>
            </w:pPr>
            <w:r w:rsidRPr="003F604A">
              <w:rPr>
                <w:lang w:val="cs-CZ" w:eastAsia="cs-CZ"/>
              </w:rPr>
              <w:t>Tyto podmínky budou dány vyhláškou Ministerstva práce a sociálních věcí. Služby, které se budou v roce 2017 registrovat nově</w:t>
            </w:r>
            <w:r w:rsidR="00FC3C63">
              <w:rPr>
                <w:lang w:val="cs-CZ" w:eastAsia="cs-CZ"/>
              </w:rPr>
              <w:t>,</w:t>
            </w:r>
            <w:r w:rsidRPr="003F604A">
              <w:rPr>
                <w:lang w:val="cs-CZ" w:eastAsia="cs-CZ"/>
              </w:rPr>
              <w:t xml:space="preserve"> budou muset nová pravidla splňovat ihned při registraci, sociální služby, které jsou nyní zaregistrovány</w:t>
            </w:r>
            <w:r w:rsidR="00CE0C8B">
              <w:rPr>
                <w:lang w:val="cs-CZ" w:eastAsia="cs-CZ"/>
              </w:rPr>
              <w:t>,</w:t>
            </w:r>
            <w:r w:rsidRPr="003F604A">
              <w:rPr>
                <w:lang w:val="cs-CZ" w:eastAsia="cs-CZ"/>
              </w:rPr>
              <w:t xml:space="preserve"> budou mít na splnění podmínek dáno přechodné období</w:t>
            </w:r>
            <w:r w:rsidR="00BB39A8">
              <w:rPr>
                <w:lang w:val="cs-CZ" w:eastAsia="cs-CZ"/>
              </w:rPr>
              <w:t>.</w:t>
            </w:r>
          </w:p>
          <w:p w:rsidR="00F37025" w:rsidRPr="00EC395C" w:rsidRDefault="003F604A" w:rsidP="00C1552E">
            <w:pPr>
              <w:spacing w:after="200"/>
              <w:rPr>
                <w:lang w:val="cs-CZ" w:eastAsia="cs-CZ"/>
              </w:rPr>
            </w:pPr>
            <w:r w:rsidRPr="00EC395C">
              <w:rPr>
                <w:b/>
                <w:lang w:val="cs-CZ" w:eastAsia="cs-CZ"/>
              </w:rPr>
              <w:t>Z těchto důvodů</w:t>
            </w:r>
            <w:r w:rsidR="00583E9B" w:rsidRPr="00EC395C">
              <w:rPr>
                <w:b/>
                <w:lang w:val="cs-CZ" w:eastAsia="cs-CZ"/>
              </w:rPr>
              <w:t xml:space="preserve"> ŘO IROP</w:t>
            </w:r>
            <w:r w:rsidRPr="00EC395C">
              <w:rPr>
                <w:b/>
                <w:lang w:val="cs-CZ" w:eastAsia="cs-CZ"/>
              </w:rPr>
              <w:t xml:space="preserve"> doporučuje žadatelům řídit se Doporučeným postupem MPSV č. </w:t>
            </w:r>
            <w:r w:rsidR="008C5772" w:rsidRPr="00EC395C">
              <w:rPr>
                <w:b/>
                <w:lang w:val="cs-CZ" w:eastAsia="cs-CZ"/>
              </w:rPr>
              <w:t>2</w:t>
            </w:r>
            <w:r w:rsidRPr="00EC395C">
              <w:rPr>
                <w:b/>
                <w:lang w:val="cs-CZ" w:eastAsia="cs-CZ"/>
              </w:rPr>
              <w:t>/2016 Materiálně-technický standard pro</w:t>
            </w:r>
            <w:r w:rsidR="00C1552E" w:rsidRPr="00EC395C">
              <w:rPr>
                <w:b/>
                <w:lang w:val="cs-CZ" w:eastAsia="cs-CZ"/>
              </w:rPr>
              <w:t xml:space="preserve"> </w:t>
            </w:r>
            <w:r w:rsidRPr="00EC395C">
              <w:rPr>
                <w:b/>
                <w:lang w:val="cs-CZ" w:eastAsia="cs-CZ"/>
              </w:rPr>
              <w:t>služby</w:t>
            </w:r>
            <w:r w:rsidR="009F624B" w:rsidRPr="00EC395C">
              <w:rPr>
                <w:b/>
                <w:lang w:val="cs-CZ" w:eastAsia="cs-CZ"/>
              </w:rPr>
              <w:t xml:space="preserve"> </w:t>
            </w:r>
            <w:r w:rsidRPr="00EC395C">
              <w:rPr>
                <w:b/>
                <w:lang w:val="cs-CZ" w:eastAsia="cs-CZ"/>
              </w:rPr>
              <w:t>sociální péče poskytované pobytovou formou, ze kterého bude vychá</w:t>
            </w:r>
            <w:r w:rsidR="00583E9B" w:rsidRPr="00EC395C">
              <w:rPr>
                <w:b/>
                <w:lang w:val="cs-CZ" w:eastAsia="cs-CZ"/>
              </w:rPr>
              <w:t>zet výše zmíněná vyhláška</w:t>
            </w:r>
            <w:r w:rsidR="00CE0C8B" w:rsidRPr="00EC395C">
              <w:rPr>
                <w:b/>
                <w:lang w:val="cs-CZ" w:eastAsia="cs-CZ"/>
              </w:rPr>
              <w:t xml:space="preserve">, a to </w:t>
            </w:r>
            <w:r w:rsidR="00583E9B" w:rsidRPr="00EC395C">
              <w:rPr>
                <w:b/>
                <w:lang w:val="cs-CZ" w:eastAsia="cs-CZ"/>
              </w:rPr>
              <w:t>z důvodu rizika nenaplnění monitorovacího indikátoru a tím nesplnění Podmínek</w:t>
            </w:r>
            <w:r w:rsidR="008E383B" w:rsidRPr="00EC395C">
              <w:rPr>
                <w:b/>
                <w:lang w:val="cs-CZ" w:eastAsia="cs-CZ"/>
              </w:rPr>
              <w:t xml:space="preserve"> pro udělení dotace.</w:t>
            </w:r>
          </w:p>
        </w:tc>
      </w:tr>
    </w:tbl>
    <w:p w:rsidR="005B763A" w:rsidRDefault="005B763A" w:rsidP="00307E8F">
      <w:pPr>
        <w:pStyle w:val="Pravidla11"/>
        <w:spacing w:after="0"/>
      </w:pPr>
      <w:bookmarkStart w:id="60" w:name="_Toc455143137"/>
      <w:r w:rsidRPr="005B763A">
        <w:t xml:space="preserve">Podklady pro výpočet ukazatelů </w:t>
      </w:r>
      <w:proofErr w:type="spellStart"/>
      <w:r w:rsidRPr="005B763A">
        <w:t>eCBA</w:t>
      </w:r>
      <w:bookmarkEnd w:id="60"/>
      <w:proofErr w:type="spellEnd"/>
    </w:p>
    <w:p w:rsidR="005B763A" w:rsidRDefault="005B763A" w:rsidP="005B763A">
      <w:r>
        <w:t xml:space="preserve">Popis práce s modulem CBA v MS2014+ a postupů pro zpracování finanční a ekonomické analýzy v MS2014+ je předmětem přílohy č. 17 Obecných pravidel. Pro </w:t>
      </w:r>
      <w:r>
        <w:lastRenderedPageBreak/>
        <w:t>postupy při vyplňování žádostí o podporu a analýzy v</w:t>
      </w:r>
      <w:r w:rsidR="00227741">
        <w:t> této výzvě</w:t>
      </w:r>
      <w:r>
        <w:t xml:space="preserve"> platí níže uvedená specifika.</w:t>
      </w:r>
    </w:p>
    <w:p w:rsidR="005B763A" w:rsidRDefault="005B763A" w:rsidP="005B763A">
      <w:pPr>
        <w:rPr>
          <w:rFonts w:cs="Arial"/>
        </w:rPr>
      </w:pPr>
      <w:r w:rsidRPr="000C3533">
        <w:rPr>
          <w:rFonts w:cs="Arial"/>
        </w:rPr>
        <w:t>Pro projekty s </w:t>
      </w:r>
      <w:r w:rsidRPr="000C3533">
        <w:rPr>
          <w:rFonts w:cs="Arial"/>
          <w:b/>
        </w:rPr>
        <w:t>celkovými způsobilými výdaji nižšími než 5 mil. Kč</w:t>
      </w:r>
      <w:r>
        <w:rPr>
          <w:rFonts w:cs="Arial"/>
        </w:rPr>
        <w:t xml:space="preserve"> zpracovává žadatel </w:t>
      </w:r>
      <w:r w:rsidRPr="000C3533">
        <w:rPr>
          <w:rFonts w:cs="Arial"/>
        </w:rPr>
        <w:t>Studii proveditelnosti</w:t>
      </w:r>
      <w:r>
        <w:rPr>
          <w:rFonts w:cs="Arial"/>
        </w:rPr>
        <w:t xml:space="preserve"> </w:t>
      </w:r>
      <w:r w:rsidRPr="000C3533">
        <w:rPr>
          <w:rFonts w:cs="Arial"/>
        </w:rPr>
        <w:t>ve struktuře uvedené v </w:t>
      </w:r>
      <w:r>
        <w:rPr>
          <w:rFonts w:cs="Arial"/>
        </w:rPr>
        <w:t>osnově studie proveditelnosti</w:t>
      </w:r>
      <w:r w:rsidRPr="000C3533">
        <w:rPr>
          <w:rFonts w:cs="Arial"/>
        </w:rPr>
        <w:t xml:space="preserve"> </w:t>
      </w:r>
      <w:r>
        <w:rPr>
          <w:rFonts w:cs="Arial"/>
        </w:rPr>
        <w:t xml:space="preserve">a </w:t>
      </w:r>
      <w:r w:rsidR="00674018">
        <w:rPr>
          <w:rFonts w:cs="Arial"/>
        </w:rPr>
        <w:t>jelikož</w:t>
      </w:r>
      <w:r>
        <w:rPr>
          <w:rFonts w:cs="Arial"/>
        </w:rPr>
        <w:t xml:space="preserve"> se jedná </w:t>
      </w:r>
      <w:r w:rsidR="00C12B74">
        <w:rPr>
          <w:rFonts w:cs="Arial"/>
        </w:rPr>
        <w:t xml:space="preserve">o </w:t>
      </w:r>
      <w:r w:rsidRPr="00355850">
        <w:rPr>
          <w:b/>
        </w:rPr>
        <w:t>Podporu v souladu s Rozhodnutím 2012/21/EU</w:t>
      </w:r>
      <w:r>
        <w:rPr>
          <w:b/>
        </w:rPr>
        <w:t>, tak musí vyplnit i CBA VP</w:t>
      </w:r>
      <w:r>
        <w:rPr>
          <w:rFonts w:cs="Arial"/>
        </w:rPr>
        <w:t xml:space="preserve">. </w:t>
      </w:r>
      <w:r w:rsidRPr="000C3533">
        <w:rPr>
          <w:rFonts w:cs="Arial"/>
        </w:rPr>
        <w:t xml:space="preserve">Kritérium přijatelnosti „V hodnocení </w:t>
      </w:r>
      <w:proofErr w:type="spellStart"/>
      <w:r w:rsidRPr="000C3533">
        <w:rPr>
          <w:rFonts w:cs="Arial"/>
        </w:rPr>
        <w:t>eCBA</w:t>
      </w:r>
      <w:proofErr w:type="spellEnd"/>
      <w:r w:rsidRPr="000C3533">
        <w:rPr>
          <w:rFonts w:cs="Arial"/>
        </w:rPr>
        <w:t xml:space="preserve"> projekt dosáhne minimálně hodnoty ukazatelů, stanovené ve výzvě“ je pro tyto projekty nerelevantní.</w:t>
      </w:r>
    </w:p>
    <w:p w:rsidR="005B763A" w:rsidRDefault="005B763A" w:rsidP="005B763A">
      <w:pPr>
        <w:rPr>
          <w:rFonts w:cs="Arial"/>
        </w:rPr>
      </w:pPr>
      <w:r w:rsidRPr="0073661D">
        <w:rPr>
          <w:rFonts w:cs="Arial"/>
        </w:rPr>
        <w:t>Pro projekty s </w:t>
      </w:r>
      <w:r w:rsidRPr="0073661D">
        <w:rPr>
          <w:rFonts w:cs="Arial"/>
          <w:b/>
        </w:rPr>
        <w:t>celkovými způsobilými výdaji</w:t>
      </w:r>
      <w:r w:rsidRPr="0073661D">
        <w:rPr>
          <w:rFonts w:cs="Arial"/>
        </w:rPr>
        <w:t xml:space="preserve"> </w:t>
      </w:r>
      <w:r>
        <w:rPr>
          <w:rFonts w:cs="Arial"/>
          <w:b/>
        </w:rPr>
        <w:t>vyššími než 5</w:t>
      </w:r>
      <w:r w:rsidRPr="0073661D">
        <w:rPr>
          <w:rFonts w:cs="Arial"/>
          <w:b/>
        </w:rPr>
        <w:t xml:space="preserve"> mil. </w:t>
      </w:r>
      <w:r w:rsidRPr="0073661D">
        <w:rPr>
          <w:rFonts w:cs="Arial"/>
        </w:rPr>
        <w:t xml:space="preserve">žadatel zpracovává </w:t>
      </w:r>
      <w:r w:rsidR="00C12B74" w:rsidRPr="000C3533">
        <w:rPr>
          <w:rFonts w:cs="Arial"/>
        </w:rPr>
        <w:t>Studii proveditelnosti</w:t>
      </w:r>
      <w:r w:rsidR="00C12B74">
        <w:rPr>
          <w:rFonts w:cs="Arial"/>
        </w:rPr>
        <w:t xml:space="preserve"> </w:t>
      </w:r>
      <w:r w:rsidR="00C12B74" w:rsidRPr="000C3533">
        <w:rPr>
          <w:rFonts w:cs="Arial"/>
        </w:rPr>
        <w:t>ve struktuře uvedené v </w:t>
      </w:r>
      <w:r w:rsidR="00C12B74">
        <w:rPr>
          <w:rFonts w:cs="Arial"/>
        </w:rPr>
        <w:t>osnově studie proveditelnosti,</w:t>
      </w:r>
      <w:r w:rsidR="00C12B74" w:rsidRPr="000C3533">
        <w:rPr>
          <w:rFonts w:cs="Arial"/>
        </w:rPr>
        <w:t xml:space="preserve"> </w:t>
      </w:r>
      <w:r>
        <w:rPr>
          <w:rFonts w:cs="Arial"/>
        </w:rPr>
        <w:t>v</w:t>
      </w:r>
      <w:r w:rsidRPr="0073661D">
        <w:rPr>
          <w:rFonts w:cs="Arial"/>
        </w:rPr>
        <w:t xml:space="preserve"> modulu CBA v MS2014+ </w:t>
      </w:r>
      <w:r w:rsidR="00C12B74">
        <w:rPr>
          <w:rFonts w:cs="Arial"/>
        </w:rPr>
        <w:t>finanční analýzu</w:t>
      </w:r>
      <w:r w:rsidRPr="0073661D">
        <w:rPr>
          <w:rFonts w:cs="Arial"/>
        </w:rPr>
        <w:t xml:space="preserve"> </w:t>
      </w:r>
      <w:r w:rsidR="00C12B74" w:rsidRPr="00C12B74">
        <w:rPr>
          <w:rFonts w:cs="Arial"/>
        </w:rPr>
        <w:t xml:space="preserve">a </w:t>
      </w:r>
      <w:r w:rsidR="00674018">
        <w:rPr>
          <w:rFonts w:cs="Arial"/>
        </w:rPr>
        <w:t>jelikož</w:t>
      </w:r>
      <w:r w:rsidR="00C12B74" w:rsidRPr="00C12B74">
        <w:rPr>
          <w:rFonts w:cs="Arial"/>
        </w:rPr>
        <w:t xml:space="preserve"> se jedná </w:t>
      </w:r>
      <w:r w:rsidR="00C12B74">
        <w:rPr>
          <w:rFonts w:cs="Arial"/>
        </w:rPr>
        <w:t xml:space="preserve">o </w:t>
      </w:r>
      <w:r w:rsidR="00C12B74" w:rsidRPr="00C12B74">
        <w:rPr>
          <w:rFonts w:cs="Arial"/>
          <w:b/>
        </w:rPr>
        <w:t>Podporu v souladu s Rozhodnutím 2012/21/EU, tak musí vyplnit i CBA VP</w:t>
      </w:r>
      <w:r w:rsidR="00C12B74" w:rsidRPr="00C12B74">
        <w:rPr>
          <w:rFonts w:cs="Arial"/>
        </w:rPr>
        <w:t>.</w:t>
      </w:r>
      <w:r w:rsidR="00C12B74">
        <w:rPr>
          <w:rFonts w:cs="Arial"/>
        </w:rPr>
        <w:t xml:space="preserve"> </w:t>
      </w:r>
      <w:r w:rsidRPr="0073661D">
        <w:rPr>
          <w:rFonts w:cs="Arial"/>
        </w:rPr>
        <w:t xml:space="preserve">Z dostupných výsledků CBA je sledována čistá současná hodnota v rámci Návratnosti investice pro </w:t>
      </w:r>
      <w:proofErr w:type="gramStart"/>
      <w:r w:rsidRPr="0073661D">
        <w:rPr>
          <w:rFonts w:cs="Arial"/>
        </w:rPr>
        <w:t>FA</w:t>
      </w:r>
      <w:proofErr w:type="gramEnd"/>
      <w:r w:rsidRPr="0073661D">
        <w:rPr>
          <w:rFonts w:cs="Arial"/>
        </w:rPr>
        <w:t xml:space="preserve"> (FNPV). Kritérium přijatelnosti „v hodnocení </w:t>
      </w:r>
      <w:proofErr w:type="spellStart"/>
      <w:r w:rsidRPr="0073661D">
        <w:rPr>
          <w:rFonts w:cs="Arial"/>
        </w:rPr>
        <w:t>eCBA</w:t>
      </w:r>
      <w:proofErr w:type="spellEnd"/>
      <w:r w:rsidRPr="0073661D">
        <w:rPr>
          <w:rFonts w:cs="Arial"/>
        </w:rPr>
        <w:t xml:space="preserve"> projekt dosáhne minimálně hodnoty ukazatelů, stanovené ve výzvě“ je splněno, když FNPV je nižší než 0. </w:t>
      </w:r>
    </w:p>
    <w:p w:rsidR="005B763A" w:rsidRDefault="005B763A" w:rsidP="005B763A">
      <w:pPr>
        <w:spacing w:after="0"/>
      </w:pPr>
      <w:r>
        <w:t>Žadatel v modulu CBA zakládá:</w:t>
      </w:r>
    </w:p>
    <w:p w:rsidR="005B763A" w:rsidRPr="00E96C63" w:rsidRDefault="005B763A" w:rsidP="005B763A">
      <w:pPr>
        <w:pStyle w:val="Odstavecseseznamem"/>
        <w:numPr>
          <w:ilvl w:val="0"/>
          <w:numId w:val="75"/>
        </w:numPr>
        <w:spacing w:after="0"/>
        <w:rPr>
          <w:b/>
        </w:rPr>
      </w:pPr>
      <w:r>
        <w:t xml:space="preserve">1 samostatný výpočet CBA s veřejnou podporou v případě, že se jedná o </w:t>
      </w:r>
      <w:r w:rsidR="00674018">
        <w:t>projekt s</w:t>
      </w:r>
      <w:r w:rsidR="00CE0C8B">
        <w:t xml:space="preserve"> </w:t>
      </w:r>
      <w:r>
        <w:rPr>
          <w:b/>
        </w:rPr>
        <w:t>celkov</w:t>
      </w:r>
      <w:r w:rsidR="00674018">
        <w:rPr>
          <w:b/>
        </w:rPr>
        <w:t>ými</w:t>
      </w:r>
      <w:r>
        <w:rPr>
          <w:b/>
        </w:rPr>
        <w:t xml:space="preserve"> způsobil</w:t>
      </w:r>
      <w:r w:rsidR="00674018">
        <w:rPr>
          <w:b/>
        </w:rPr>
        <w:t>ými</w:t>
      </w:r>
      <w:r>
        <w:rPr>
          <w:b/>
        </w:rPr>
        <w:t xml:space="preserve"> výdaj</w:t>
      </w:r>
      <w:r w:rsidR="00674018">
        <w:rPr>
          <w:b/>
        </w:rPr>
        <w:t>i</w:t>
      </w:r>
      <w:r>
        <w:rPr>
          <w:b/>
        </w:rPr>
        <w:t xml:space="preserve"> nižší</w:t>
      </w:r>
      <w:r w:rsidR="00674018">
        <w:rPr>
          <w:b/>
        </w:rPr>
        <w:t>mi</w:t>
      </w:r>
      <w:r>
        <w:rPr>
          <w:b/>
        </w:rPr>
        <w:t xml:space="preserve"> než 5 mil. Kč</w:t>
      </w:r>
    </w:p>
    <w:p w:rsidR="005B763A" w:rsidRPr="00E96C63" w:rsidRDefault="005B763A" w:rsidP="003D165C">
      <w:pPr>
        <w:pStyle w:val="Odstavecseseznamem"/>
        <w:numPr>
          <w:ilvl w:val="0"/>
          <w:numId w:val="75"/>
        </w:numPr>
        <w:rPr>
          <w:b/>
        </w:rPr>
      </w:pPr>
      <w:r>
        <w:t xml:space="preserve">2 samostatné výpočty CBA – CBA s veřejnou podporou (zaškrtávací pole) a standardní CBA v případě, že se jedná o </w:t>
      </w:r>
      <w:r w:rsidR="00674018">
        <w:rPr>
          <w:b/>
        </w:rPr>
        <w:t>projekt s</w:t>
      </w:r>
      <w:r>
        <w:rPr>
          <w:b/>
        </w:rPr>
        <w:t xml:space="preserve"> celkov</w:t>
      </w:r>
      <w:r w:rsidR="00674018">
        <w:rPr>
          <w:b/>
        </w:rPr>
        <w:t>ými</w:t>
      </w:r>
      <w:r>
        <w:rPr>
          <w:b/>
        </w:rPr>
        <w:t xml:space="preserve"> způsobil</w:t>
      </w:r>
      <w:r w:rsidR="00674018">
        <w:rPr>
          <w:b/>
        </w:rPr>
        <w:t>ými</w:t>
      </w:r>
      <w:r>
        <w:rPr>
          <w:b/>
        </w:rPr>
        <w:t xml:space="preserve"> výdaj</w:t>
      </w:r>
      <w:r w:rsidR="00674018">
        <w:rPr>
          <w:b/>
        </w:rPr>
        <w:t>i</w:t>
      </w:r>
      <w:r>
        <w:rPr>
          <w:b/>
        </w:rPr>
        <w:t xml:space="preserve"> vyšší</w:t>
      </w:r>
      <w:r w:rsidR="00674018">
        <w:rPr>
          <w:b/>
        </w:rPr>
        <w:t>mi</w:t>
      </w:r>
      <w:r>
        <w:rPr>
          <w:b/>
        </w:rPr>
        <w:t xml:space="preserve"> než 5 mil. Kč</w:t>
      </w:r>
    </w:p>
    <w:p w:rsidR="005B763A" w:rsidRDefault="005B763A" w:rsidP="00014089">
      <w:r>
        <w:t>Údaje zadávané v rozdílové variantě představují hodnoty získané po odečtení hodnot za nulovou variantu (variantu bez realizace projektu) od hodnot za aktivní variantu (variantu s realizací projektu).</w:t>
      </w:r>
    </w:p>
    <w:p w:rsidR="00014089" w:rsidRPr="0077127A" w:rsidRDefault="00014089" w:rsidP="00014089">
      <w:r>
        <w:t xml:space="preserve">Sektor pro referenční období vyplní žadatel „Ostatní sektory“ a v souladu s Obecnými pravidly nastaví referenční období na 10 let. </w:t>
      </w:r>
      <w:r w:rsidRPr="0077127A">
        <w:t xml:space="preserve">Počátečním datem referenčního období je datum zahájení projektu. </w:t>
      </w:r>
    </w:p>
    <w:p w:rsidR="00ED4C53" w:rsidRDefault="00ED4C53" w:rsidP="005B763A">
      <w:pPr>
        <w:spacing w:after="0"/>
        <w:rPr>
          <w:b/>
        </w:rPr>
      </w:pPr>
    </w:p>
    <w:p w:rsidR="00ED4C53" w:rsidRDefault="00ED4C53" w:rsidP="005B763A">
      <w:pPr>
        <w:spacing w:after="0"/>
        <w:rPr>
          <w:b/>
        </w:rPr>
      </w:pPr>
    </w:p>
    <w:p w:rsidR="005B763A" w:rsidRPr="00DE78A5" w:rsidRDefault="005B763A" w:rsidP="005B763A">
      <w:pPr>
        <w:spacing w:after="0"/>
        <w:rPr>
          <w:b/>
        </w:rPr>
      </w:pPr>
      <w:r w:rsidRPr="00DE78A5">
        <w:rPr>
          <w:b/>
        </w:rPr>
        <w:t>Základní vstupní údaje pro CBA s veřejnou podporou:</w:t>
      </w:r>
    </w:p>
    <w:p w:rsidR="005B763A" w:rsidRDefault="005B763A" w:rsidP="005B763A">
      <w:pPr>
        <w:pStyle w:val="Odstavecseseznamem"/>
        <w:numPr>
          <w:ilvl w:val="0"/>
          <w:numId w:val="74"/>
        </w:numPr>
        <w:spacing w:line="276" w:lineRule="auto"/>
      </w:pPr>
      <w:r>
        <w:t>Základní informace –</w:t>
      </w:r>
      <w:r w:rsidRPr="004E2E19">
        <w:t xml:space="preserve"> </w:t>
      </w:r>
      <w:r>
        <w:t>veřejná podpora (zaškrtávací pole)</w:t>
      </w:r>
      <w:r w:rsidR="00DE78A5">
        <w:t>,</w:t>
      </w:r>
      <w:r w:rsidR="00DE78A5" w:rsidRPr="00DE78A5">
        <w:t xml:space="preserve"> </w:t>
      </w:r>
      <w:r w:rsidR="00DE78A5" w:rsidRPr="008A7322">
        <w:t>referenční období 10 let</w:t>
      </w:r>
      <w:r w:rsidR="00674018">
        <w:t xml:space="preserve"> (sektor „Ostatní“)</w:t>
      </w:r>
      <w:r w:rsidR="00DE78A5">
        <w:t>,</w:t>
      </w:r>
      <w:r w:rsidR="00DE78A5" w:rsidRPr="008A7322">
        <w:t xml:space="preserve"> </w:t>
      </w:r>
      <w:r w:rsidRPr="004E565E">
        <w:t>rozdílová varianta (zaškrtávací pole),</w:t>
      </w:r>
      <w:r>
        <w:t xml:space="preserve"> celkové způsobilé výdaje.</w:t>
      </w:r>
    </w:p>
    <w:p w:rsidR="005B763A" w:rsidRDefault="005B763A" w:rsidP="005B763A">
      <w:pPr>
        <w:pStyle w:val="Odstavecseseznamem"/>
        <w:numPr>
          <w:ilvl w:val="0"/>
          <w:numId w:val="74"/>
        </w:numPr>
        <w:spacing w:line="276" w:lineRule="auto"/>
      </w:pPr>
      <w:r>
        <w:t>Investice – celkové investiční náklady zadávané do období realizace projektu.</w:t>
      </w:r>
    </w:p>
    <w:p w:rsidR="005B763A" w:rsidRDefault="005B763A" w:rsidP="005B763A">
      <w:pPr>
        <w:pStyle w:val="Odstavecseseznamem"/>
        <w:numPr>
          <w:ilvl w:val="0"/>
          <w:numId w:val="74"/>
        </w:numPr>
        <w:spacing w:line="276" w:lineRule="auto"/>
      </w:pPr>
      <w:r>
        <w:t>Provozní náklady a výnosy:</w:t>
      </w:r>
    </w:p>
    <w:p w:rsidR="005B763A" w:rsidRDefault="005B763A" w:rsidP="005B763A">
      <w:pPr>
        <w:pStyle w:val="Odstavecseseznamem"/>
        <w:numPr>
          <w:ilvl w:val="1"/>
          <w:numId w:val="74"/>
        </w:numPr>
        <w:spacing w:line="276" w:lineRule="auto"/>
      </w:pPr>
      <w:r>
        <w:t xml:space="preserve">celkové provozní </w:t>
      </w:r>
      <w:r w:rsidRPr="008B7D5A">
        <w:t>náklady v jednotlivých letech referenčního období</w:t>
      </w:r>
      <w:r>
        <w:t>:</w:t>
      </w:r>
    </w:p>
    <w:p w:rsidR="005B763A" w:rsidRPr="00AB1D6A" w:rsidRDefault="005B763A" w:rsidP="005B763A">
      <w:pPr>
        <w:pStyle w:val="Odstavecseseznamem"/>
        <w:numPr>
          <w:ilvl w:val="2"/>
          <w:numId w:val="74"/>
        </w:numPr>
        <w:spacing w:line="276" w:lineRule="auto"/>
        <w:rPr>
          <w:b/>
        </w:rPr>
      </w:pPr>
      <w:r>
        <w:t xml:space="preserve">příklady provozních nákladů </w:t>
      </w:r>
      <w:r w:rsidRPr="00AB1D6A">
        <w:t>(</w:t>
      </w:r>
      <w:r w:rsidRPr="00AB1D6A">
        <w:rPr>
          <w:i/>
        </w:rPr>
        <w:t>kvůli diskontované metodě CF jen „peněžní odtoky“</w:t>
      </w:r>
      <w:r w:rsidRPr="00AB1D6A">
        <w:t>): osobní náklady (mzdové vč. odvodů)</w:t>
      </w:r>
      <w:r>
        <w:t>,</w:t>
      </w:r>
      <w:r w:rsidRPr="00AB1D6A">
        <w:t xml:space="preserve"> materiální náklady (spotřeba materiálu, energie,…)</w:t>
      </w:r>
      <w:r>
        <w:t>,</w:t>
      </w:r>
      <w:r w:rsidRPr="00AB1D6A">
        <w:t xml:space="preserve"> náklady za služby (opravy/údržba, zaplacené nájemné,…), různé poplatky a daně (s výjimkou DPH, z příjmu, spotřební daně)</w:t>
      </w:r>
      <w:r>
        <w:t>,</w:t>
      </w:r>
      <w:r w:rsidRPr="00AB1D6A">
        <w:t xml:space="preserve"> náklady na výměnu krátkodobých aktiv – tzv.</w:t>
      </w:r>
      <w:r>
        <w:t xml:space="preserve"> </w:t>
      </w:r>
      <w:r w:rsidRPr="00AB1D6A">
        <w:t xml:space="preserve">reprodukční náklady. </w:t>
      </w:r>
      <w:r w:rsidRPr="00AB1D6A">
        <w:rPr>
          <w:b/>
        </w:rPr>
        <w:t>NE – odpisy, rezervy</w:t>
      </w:r>
      <w:r w:rsidRPr="00AB1D6A">
        <w:t>,</w:t>
      </w:r>
    </w:p>
    <w:p w:rsidR="005B763A" w:rsidRDefault="005B763A" w:rsidP="005B763A">
      <w:pPr>
        <w:pStyle w:val="Odstavecseseznamem"/>
        <w:numPr>
          <w:ilvl w:val="1"/>
          <w:numId w:val="74"/>
        </w:numPr>
        <w:spacing w:line="276" w:lineRule="auto"/>
      </w:pPr>
      <w:r w:rsidRPr="008B7D5A">
        <w:t>provozní výnosy v jednotlivých letech referenčního období</w:t>
      </w:r>
      <w:r>
        <w:t>:</w:t>
      </w:r>
    </w:p>
    <w:p w:rsidR="005B763A" w:rsidRDefault="005B763A" w:rsidP="005B763A">
      <w:pPr>
        <w:pStyle w:val="Odstavecseseznamem"/>
        <w:numPr>
          <w:ilvl w:val="2"/>
          <w:numId w:val="74"/>
        </w:numPr>
        <w:spacing w:line="276" w:lineRule="auto"/>
      </w:pPr>
      <w:r w:rsidRPr="00AB1D6A">
        <w:rPr>
          <w:iCs/>
        </w:rPr>
        <w:lastRenderedPageBreak/>
        <w:t xml:space="preserve">příklady provozních </w:t>
      </w:r>
      <w:r>
        <w:rPr>
          <w:iCs/>
        </w:rPr>
        <w:t>výnosů</w:t>
      </w:r>
      <w:r w:rsidRPr="00AB1D6A">
        <w:rPr>
          <w:iCs/>
        </w:rPr>
        <w:t xml:space="preserve"> </w:t>
      </w:r>
      <w:r w:rsidRPr="00AB1D6A">
        <w:rPr>
          <w:i/>
          <w:iCs/>
        </w:rPr>
        <w:t>(kvůli diskontované metodě CF jen „peněžní přítoky“):</w:t>
      </w:r>
      <w:r>
        <w:t xml:space="preserve"> </w:t>
      </w:r>
      <w:r w:rsidRPr="00AB1D6A">
        <w:rPr>
          <w:b/>
          <w:bCs/>
        </w:rPr>
        <w:t>NE – smluvní pokuty, transfery a dotace</w:t>
      </w:r>
      <w:r w:rsidRPr="00BA239A">
        <w:t>,</w:t>
      </w:r>
    </w:p>
    <w:p w:rsidR="0093417F" w:rsidRPr="00BA239A" w:rsidRDefault="0093417F" w:rsidP="005B763A">
      <w:pPr>
        <w:pStyle w:val="Odstavecseseznamem"/>
        <w:numPr>
          <w:ilvl w:val="2"/>
          <w:numId w:val="74"/>
        </w:numPr>
        <w:spacing w:line="276" w:lineRule="auto"/>
      </w:pPr>
      <w:r>
        <w:t>je potřeba zahrnout i Zůstatkovou hodnotu, kterou si žadatel buď spočítá ve standardní CBA (ovšem po spočtení maximální výše investiční podpory je nutné tuto podporu opětovně zohlednit ve standardní CBA) nebo si ji spočítá sám metodou provozního cash-flow v souladu s popisem uvedeným níže.</w:t>
      </w:r>
    </w:p>
    <w:p w:rsidR="005B763A" w:rsidRPr="00BA239A" w:rsidRDefault="005B763A" w:rsidP="005B763A">
      <w:pPr>
        <w:pStyle w:val="Odstavecseseznamem"/>
        <w:numPr>
          <w:ilvl w:val="1"/>
          <w:numId w:val="74"/>
        </w:numPr>
        <w:spacing w:line="276" w:lineRule="auto"/>
      </w:pPr>
      <w:r w:rsidRPr="00BA239A">
        <w:t>financování provozní ztráty v jednotlivých letech referenčního období</w:t>
      </w:r>
      <w:r>
        <w:t>:</w:t>
      </w:r>
    </w:p>
    <w:p w:rsidR="005B763A" w:rsidRPr="008B7D5A" w:rsidRDefault="005B763A" w:rsidP="005B763A">
      <w:pPr>
        <w:pStyle w:val="Odstavecseseznamem"/>
        <w:numPr>
          <w:ilvl w:val="2"/>
          <w:numId w:val="74"/>
        </w:numPr>
        <w:spacing w:line="276" w:lineRule="auto"/>
      </w:pPr>
      <w:r>
        <w:t>v případě, že provozní náklady převyšují provozní výnosy, je nutné uvést částku pokrývající tento rozdíl (např. z provozních dotací nebo vlastních zdrojů žadatele).</w:t>
      </w:r>
    </w:p>
    <w:p w:rsidR="005B763A" w:rsidRDefault="005B763A" w:rsidP="005B763A">
      <w:pPr>
        <w:pStyle w:val="Odstavecseseznamem"/>
        <w:numPr>
          <w:ilvl w:val="0"/>
          <w:numId w:val="74"/>
        </w:numPr>
        <w:spacing w:line="276" w:lineRule="auto"/>
      </w:pPr>
      <w:r>
        <w:t>Veřejná podpora – přiměřený zisk 0%.</w:t>
      </w:r>
    </w:p>
    <w:p w:rsidR="005B763A" w:rsidRDefault="005B763A" w:rsidP="005B763A">
      <w:r w:rsidRPr="004E2E19">
        <w:t>Zadané údaje se promítnou do</w:t>
      </w:r>
      <w:r>
        <w:t xml:space="preserve"> sledované</w:t>
      </w:r>
      <w:r w:rsidRPr="004E2E19">
        <w:t xml:space="preserve"> položky Maximální investiční podpora v datové oblasti Veřejná podpora.</w:t>
      </w:r>
    </w:p>
    <w:p w:rsidR="005B763A" w:rsidRPr="00E047D2" w:rsidRDefault="005B763A" w:rsidP="005B763A">
      <w:pPr>
        <w:spacing w:after="0"/>
        <w:rPr>
          <w:b/>
        </w:rPr>
      </w:pPr>
      <w:r w:rsidRPr="00E047D2">
        <w:rPr>
          <w:b/>
        </w:rPr>
        <w:t>Základní vstupní údaje pro standardní CBA (bez veřejné podpory):</w:t>
      </w:r>
    </w:p>
    <w:p w:rsidR="005B763A" w:rsidRDefault="005B763A" w:rsidP="00E047D2">
      <w:pPr>
        <w:pStyle w:val="Odstavecseseznamem"/>
        <w:numPr>
          <w:ilvl w:val="0"/>
          <w:numId w:val="74"/>
        </w:numPr>
        <w:spacing w:line="276" w:lineRule="auto"/>
      </w:pPr>
      <w:r>
        <w:t>Základní informace –</w:t>
      </w:r>
      <w:r w:rsidRPr="00A83299">
        <w:t xml:space="preserve"> </w:t>
      </w:r>
      <w:r w:rsidR="00E047D2" w:rsidRPr="00E047D2">
        <w:t>referenční období 10 let</w:t>
      </w:r>
      <w:r w:rsidR="00674018">
        <w:t xml:space="preserve"> (sektor „Ostatní“)</w:t>
      </w:r>
      <w:r w:rsidR="00E047D2">
        <w:t>,</w:t>
      </w:r>
      <w:r w:rsidR="00E047D2" w:rsidRPr="00E047D2">
        <w:t xml:space="preserve"> ekonomická analýza (zaškrtávací pole)</w:t>
      </w:r>
      <w:r w:rsidR="00E047D2">
        <w:rPr>
          <w:rStyle w:val="Znakapoznpodarou"/>
        </w:rPr>
        <w:footnoteReference w:id="2"/>
      </w:r>
      <w:r w:rsidR="00E047D2">
        <w:t>,</w:t>
      </w:r>
      <w:r w:rsidR="00E047D2" w:rsidRPr="00E047D2">
        <w:t xml:space="preserve"> </w:t>
      </w:r>
      <w:r w:rsidRPr="00A83299">
        <w:t>rozdílová varianta (zaškrtávací pole), vlastní výpočet zůstatkové hodnoty (zaškrtávací pole)</w:t>
      </w:r>
      <w:r w:rsidR="0093417F">
        <w:rPr>
          <w:rStyle w:val="Znakapoznpodarou"/>
        </w:rPr>
        <w:footnoteReference w:id="3"/>
      </w:r>
      <w:r w:rsidRPr="00A83299">
        <w:t>, celkové</w:t>
      </w:r>
      <w:r>
        <w:t xml:space="preserve"> způsobilé výdaje.</w:t>
      </w:r>
    </w:p>
    <w:p w:rsidR="005B763A" w:rsidRDefault="005B763A" w:rsidP="005B763A">
      <w:pPr>
        <w:pStyle w:val="Odstavecseseznamem"/>
        <w:numPr>
          <w:ilvl w:val="0"/>
          <w:numId w:val="74"/>
        </w:numPr>
        <w:spacing w:line="276" w:lineRule="auto"/>
      </w:pPr>
      <w:r>
        <w:t>Investice a zdroje:</w:t>
      </w:r>
    </w:p>
    <w:p w:rsidR="00DE78A5" w:rsidRDefault="00DE78A5" w:rsidP="00DE78A5">
      <w:pPr>
        <w:pStyle w:val="Odstavecseseznamem"/>
        <w:numPr>
          <w:ilvl w:val="1"/>
          <w:numId w:val="74"/>
        </w:numPr>
        <w:spacing w:line="276" w:lineRule="auto"/>
      </w:pPr>
      <w:r>
        <w:t>celkové investiční náklady (veškeré způsobilé i nezpůsobilé náklady na projekt, investiční i neinvestiční povahy) realizované a zadávané v období realizace projektu,</w:t>
      </w:r>
    </w:p>
    <w:p w:rsidR="00DE78A5" w:rsidRDefault="00DE78A5" w:rsidP="00DE78A5">
      <w:pPr>
        <w:pStyle w:val="Odstavecseseznamem"/>
        <w:numPr>
          <w:ilvl w:val="1"/>
          <w:numId w:val="74"/>
        </w:numPr>
        <w:spacing w:after="0" w:line="276" w:lineRule="auto"/>
      </w:pPr>
      <w:r>
        <w:t>příspěvek unie, soukromé zdroje případně ostatní finanční prostředky zadávané do období realizace projektu, vztahující se pouze k celkovým investičním nákladům.</w:t>
      </w:r>
    </w:p>
    <w:p w:rsidR="00DE78A5" w:rsidRPr="0077127A" w:rsidRDefault="00DE78A5" w:rsidP="00DE78A5">
      <w:pPr>
        <w:numPr>
          <w:ilvl w:val="0"/>
          <w:numId w:val="74"/>
        </w:numPr>
        <w:spacing w:after="0"/>
      </w:pPr>
      <w:r w:rsidRPr="0077127A">
        <w:t>Provozní náklady a výnosy:</w:t>
      </w:r>
    </w:p>
    <w:p w:rsidR="00DE78A5" w:rsidRPr="0077127A" w:rsidRDefault="00DE78A5" w:rsidP="00DE78A5">
      <w:pPr>
        <w:numPr>
          <w:ilvl w:val="1"/>
          <w:numId w:val="74"/>
        </w:numPr>
        <w:spacing w:after="0"/>
      </w:pPr>
      <w:r w:rsidRPr="0077127A">
        <w:t>celkové provozní náklady:</w:t>
      </w:r>
    </w:p>
    <w:p w:rsidR="00DE78A5" w:rsidRPr="0077127A" w:rsidRDefault="00DE78A5" w:rsidP="00DE78A5">
      <w:pPr>
        <w:numPr>
          <w:ilvl w:val="2"/>
          <w:numId w:val="74"/>
        </w:numPr>
        <w:spacing w:after="0"/>
      </w:pPr>
      <w:r w:rsidRPr="0077127A">
        <w:t>příklady provozních nákladů (</w:t>
      </w:r>
      <w:r w:rsidRPr="0077127A">
        <w:rPr>
          <w:i/>
        </w:rPr>
        <w:t>kvůli diskontované metodě CF jen „peněžní odtoky“</w:t>
      </w:r>
      <w:r w:rsidRPr="0077127A">
        <w:t xml:space="preserve">): osobní náklady (mzdové vč. odvodů), materiální náklady (spotřeba materiálu, energie,…), náklady na služby (opravy/údržba, zaplacené nájemné,…), různé poplatky a daně (s výjimkou DPH, z příjmu, spotřební daně), náklady na výměnu krátkodobých aktiv – tzv. reprodukční náklady. </w:t>
      </w:r>
      <w:r w:rsidRPr="0077127A">
        <w:rPr>
          <w:b/>
        </w:rPr>
        <w:t>NE – odpisy a rezervy.</w:t>
      </w:r>
    </w:p>
    <w:p w:rsidR="00DE78A5" w:rsidRPr="0077127A" w:rsidRDefault="00DE78A5" w:rsidP="00DE78A5">
      <w:pPr>
        <w:numPr>
          <w:ilvl w:val="1"/>
          <w:numId w:val="74"/>
        </w:numPr>
        <w:spacing w:after="0"/>
      </w:pPr>
      <w:r w:rsidRPr="0077127A">
        <w:t>Celkové provozní výnosy:</w:t>
      </w:r>
    </w:p>
    <w:p w:rsidR="00DE78A5" w:rsidRPr="0077127A" w:rsidRDefault="00DE78A5" w:rsidP="00DE78A5">
      <w:pPr>
        <w:numPr>
          <w:ilvl w:val="2"/>
          <w:numId w:val="74"/>
        </w:numPr>
        <w:spacing w:after="0"/>
        <w:rPr>
          <w:b/>
        </w:rPr>
      </w:pPr>
      <w:r w:rsidRPr="00AB0DBF">
        <w:t xml:space="preserve">příklady provozních výnosů </w:t>
      </w:r>
      <w:r w:rsidRPr="0077127A">
        <w:t>(</w:t>
      </w:r>
      <w:r w:rsidRPr="0077127A">
        <w:rPr>
          <w:i/>
        </w:rPr>
        <w:t>kvůli diskontované metodě CF jen „peněžní přít</w:t>
      </w:r>
      <w:r>
        <w:rPr>
          <w:i/>
        </w:rPr>
        <w:t xml:space="preserve">oky“): </w:t>
      </w:r>
      <w:r w:rsidRPr="0077127A">
        <w:rPr>
          <w:b/>
        </w:rPr>
        <w:t>NE –</w:t>
      </w:r>
      <w:r>
        <w:rPr>
          <w:b/>
        </w:rPr>
        <w:t xml:space="preserve"> </w:t>
      </w:r>
      <w:r w:rsidRPr="0077127A">
        <w:rPr>
          <w:b/>
        </w:rPr>
        <w:t>smluvní pokuty, transfery a dotace.</w:t>
      </w:r>
    </w:p>
    <w:p w:rsidR="00DE78A5" w:rsidRDefault="00DE78A5" w:rsidP="00DE78A5">
      <w:pPr>
        <w:numPr>
          <w:ilvl w:val="1"/>
          <w:numId w:val="74"/>
        </w:numPr>
        <w:spacing w:after="0"/>
      </w:pPr>
      <w:r w:rsidRPr="0077127A">
        <w:t xml:space="preserve">financování provozní ztráty </w:t>
      </w:r>
    </w:p>
    <w:p w:rsidR="00DE78A5" w:rsidRPr="0077127A" w:rsidRDefault="00DE78A5" w:rsidP="00DE78A5">
      <w:pPr>
        <w:numPr>
          <w:ilvl w:val="2"/>
          <w:numId w:val="74"/>
        </w:numPr>
        <w:spacing w:after="0"/>
      </w:pPr>
      <w:r w:rsidRPr="00AB0DBF">
        <w:lastRenderedPageBreak/>
        <w:t>v případě, že provozní náklady převyšují provozní výnosy, je nutné uvést částku pokrývající tento rozdíl (např. z provozních dotací nebo vlastních zdrojů žadatele)</w:t>
      </w:r>
      <w:r>
        <w:t>.</w:t>
      </w:r>
    </w:p>
    <w:p w:rsidR="00DE78A5" w:rsidRPr="0077127A" w:rsidRDefault="00DE78A5" w:rsidP="00DE78A5">
      <w:pPr>
        <w:numPr>
          <w:ilvl w:val="0"/>
          <w:numId w:val="74"/>
        </w:numPr>
        <w:spacing w:after="0"/>
      </w:pPr>
      <w:r w:rsidRPr="0077127A">
        <w:t>Zůstatková hodnota:</w:t>
      </w:r>
    </w:p>
    <w:p w:rsidR="00FC20A3" w:rsidRPr="00DE78A5" w:rsidRDefault="00DE78A5" w:rsidP="00DE78A5">
      <w:pPr>
        <w:numPr>
          <w:ilvl w:val="1"/>
          <w:numId w:val="74"/>
        </w:numPr>
        <w:spacing w:after="0"/>
      </w:pPr>
      <w:r w:rsidRPr="0077127A">
        <w:t>Žadateli je</w:t>
      </w:r>
      <w:r>
        <w:t xml:space="preserve"> v této výzvě umožněno využít</w:t>
      </w:r>
      <w:r w:rsidRPr="0077127A">
        <w:t xml:space="preserve"> </w:t>
      </w:r>
      <w:r>
        <w:t xml:space="preserve">pouze </w:t>
      </w:r>
      <w:r w:rsidRPr="0077127A">
        <w:t xml:space="preserve">přednastavený způsob výpočtu v modulu </w:t>
      </w:r>
      <w:proofErr w:type="spellStart"/>
      <w:r w:rsidRPr="0077127A">
        <w:t>eCBA</w:t>
      </w:r>
      <w:proofErr w:type="spellEnd"/>
      <w:r>
        <w:t>,</w:t>
      </w:r>
      <w:r w:rsidRPr="0077127A">
        <w:t xml:space="preserve"> </w:t>
      </w:r>
      <w:r>
        <w:t>t</w:t>
      </w:r>
      <w:r w:rsidRPr="0077127A">
        <w:t>zn. hodnot</w:t>
      </w:r>
      <w:r>
        <w:t>u</w:t>
      </w:r>
      <w:r w:rsidRPr="0077127A">
        <w:t xml:space="preserve"> peněžních toků ve zbývajících letech životnosti po </w:t>
      </w:r>
      <w:r>
        <w:t>s</w:t>
      </w:r>
      <w:r w:rsidRPr="0077127A">
        <w:t>končení referenčního období.</w:t>
      </w:r>
      <w:r>
        <w:t xml:space="preserve"> V peněžních tocích, pokud je to relevantní, je potřeba zahrnout i náklady na likvidaci, případně příjmy z prodeje v momentě skončení životnosti projektu.</w:t>
      </w:r>
    </w:p>
    <w:p w:rsidR="0093417F" w:rsidRDefault="0093417F">
      <w:pPr>
        <w:spacing w:line="276" w:lineRule="auto"/>
        <w:jc w:val="left"/>
        <w:rPr>
          <w:rFonts w:eastAsiaTheme="majorEastAsia" w:cstheme="majorBidi"/>
          <w:b/>
          <w:bCs/>
          <w:color w:val="000000" w:themeColor="text1"/>
          <w:sz w:val="36"/>
          <w:szCs w:val="28"/>
        </w:rPr>
      </w:pPr>
      <w:r>
        <w:br w:type="page"/>
      </w:r>
    </w:p>
    <w:p w:rsidR="003E4B50" w:rsidRPr="0089193D" w:rsidRDefault="009769E5" w:rsidP="003E4B50">
      <w:pPr>
        <w:pStyle w:val="Pravidla1"/>
      </w:pPr>
      <w:bookmarkStart w:id="61" w:name="_Toc455143138"/>
      <w:r>
        <w:lastRenderedPageBreak/>
        <w:t>3</w:t>
      </w:r>
      <w:r w:rsidRPr="001E0921">
        <w:t xml:space="preserve">. </w:t>
      </w:r>
      <w:r w:rsidR="00DA1F1F" w:rsidRPr="001E0921">
        <w:tab/>
      </w:r>
      <w:r w:rsidR="003E4B50" w:rsidRPr="001E0921">
        <w:t>Kontaktní míst</w:t>
      </w:r>
      <w:r w:rsidR="000315F5" w:rsidRPr="001E0921">
        <w:t>a</w:t>
      </w:r>
      <w:r w:rsidR="003E4B50" w:rsidRPr="00CC41F3">
        <w:t xml:space="preserve"> pro</w:t>
      </w:r>
      <w:r w:rsidR="003E4B50" w:rsidRPr="0089193D">
        <w:t xml:space="preserve"> poskytování informací</w:t>
      </w:r>
      <w:bookmarkEnd w:id="61"/>
    </w:p>
    <w:p w:rsidR="003E4B50" w:rsidRPr="001E0921" w:rsidRDefault="003E4B50" w:rsidP="003E4B50">
      <w:pPr>
        <w:ind w:left="720"/>
        <w:contextualSpacing/>
      </w:pPr>
    </w:p>
    <w:p w:rsidR="003E4B50" w:rsidRPr="001E0921" w:rsidRDefault="003E4B50" w:rsidP="003E4B50">
      <w:pPr>
        <w:jc w:val="left"/>
        <w:rPr>
          <w:b/>
        </w:rPr>
      </w:pPr>
      <w:r w:rsidRPr="001E0921">
        <w:rPr>
          <w:b/>
        </w:rPr>
        <w:t>Krajská oddělení Centra pro regionální rozvoj České republiky</w:t>
      </w:r>
    </w:p>
    <w:p w:rsidR="003E4B50" w:rsidRPr="00CB13B8" w:rsidRDefault="003E4B50" w:rsidP="003E4B50">
      <w:pPr>
        <w:pStyle w:val="Odstavecseseznamem"/>
        <w:tabs>
          <w:tab w:val="left" w:pos="735"/>
        </w:tabs>
        <w:ind w:left="0"/>
        <w:rPr>
          <w:rFonts w:cs="Arial"/>
        </w:rPr>
      </w:pPr>
      <w:r w:rsidRPr="001E0921">
        <w:rPr>
          <w:rFonts w:cs="Arial"/>
        </w:rPr>
        <w:t>Kontakty jsou využitelné do podání žádosti o podporu v MS2014+.</w:t>
      </w:r>
    </w:p>
    <w:tbl>
      <w:tblPr>
        <w:tblW w:w="9108"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2693"/>
        <w:gridCol w:w="1664"/>
        <w:gridCol w:w="2042"/>
      </w:tblGrid>
      <w:tr w:rsidR="003E4B50" w:rsidRPr="009769E5" w:rsidTr="003E4B50">
        <w:trPr>
          <w:tblHeader/>
        </w:trPr>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FC20A3" w:rsidRDefault="003E4B50" w:rsidP="003E4B50">
            <w:pPr>
              <w:rPr>
                <w:b/>
                <w:lang w:eastAsia="cs-CZ"/>
              </w:rPr>
            </w:pPr>
            <w:r w:rsidRPr="00FC20A3">
              <w:rPr>
                <w:b/>
                <w:lang w:eastAsia="cs-CZ"/>
              </w:rPr>
              <w:t>Kraj (město)</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FC20A3" w:rsidRDefault="003E4B50" w:rsidP="003E4B50">
            <w:pPr>
              <w:rPr>
                <w:b/>
                <w:lang w:eastAsia="cs-CZ"/>
              </w:rPr>
            </w:pPr>
            <w:r w:rsidRPr="00FC20A3">
              <w:rPr>
                <w:b/>
                <w:lang w:eastAsia="cs-CZ"/>
              </w:rPr>
              <w:t xml:space="preserve"> Kontaktní osoba</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FC20A3" w:rsidRDefault="003E4B50" w:rsidP="003E4B50">
            <w:pPr>
              <w:rPr>
                <w:b/>
                <w:lang w:eastAsia="cs-CZ"/>
              </w:rPr>
            </w:pPr>
            <w:r w:rsidRPr="00FC20A3">
              <w:rPr>
                <w:b/>
                <w:lang w:eastAsia="cs-CZ"/>
              </w:rPr>
              <w:t xml:space="preserve"> Mobil</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FC20A3" w:rsidRDefault="003E4B50" w:rsidP="003E4B50">
            <w:pPr>
              <w:rPr>
                <w:b/>
                <w:lang w:eastAsia="cs-CZ"/>
              </w:rPr>
            </w:pPr>
            <w:r w:rsidRPr="00FC20A3">
              <w:rPr>
                <w:b/>
                <w:lang w:eastAsia="cs-CZ"/>
              </w:rPr>
              <w:t xml:space="preserve"> E-mailová adresa</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FC20A3">
            <w:pPr>
              <w:jc w:val="left"/>
              <w:rPr>
                <w:lang w:eastAsia="cs-CZ"/>
              </w:rPr>
            </w:pPr>
            <w:r w:rsidRPr="009769E5">
              <w:rPr>
                <w:lang w:eastAsia="cs-CZ"/>
              </w:rPr>
              <w:t>Jihočeský kraj</w:t>
            </w:r>
            <w:r w:rsidR="00FC20A3">
              <w:rPr>
                <w:lang w:eastAsia="cs-CZ"/>
              </w:rPr>
              <w:t xml:space="preserve"> </w:t>
            </w:r>
            <w:r w:rsidRPr="009769E5">
              <w:rPr>
                <w:lang w:eastAsia="cs-CZ"/>
              </w:rPr>
              <w:t>(České Budějovice)</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Pavla Bártíková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725 793 625</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bartikova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FC20A3">
            <w:pPr>
              <w:jc w:val="left"/>
              <w:rPr>
                <w:lang w:eastAsia="cs-CZ"/>
              </w:rPr>
            </w:pPr>
            <w:r w:rsidRPr="009769E5">
              <w:rPr>
                <w:lang w:eastAsia="cs-CZ"/>
              </w:rPr>
              <w:t>Jihomoravský kraj</w:t>
            </w:r>
            <w:r w:rsidR="00FC20A3">
              <w:rPr>
                <w:lang w:eastAsia="cs-CZ"/>
              </w:rPr>
              <w:t xml:space="preserve"> </w:t>
            </w:r>
            <w:r w:rsidRPr="009769E5">
              <w:rPr>
                <w:lang w:eastAsia="cs-CZ"/>
              </w:rPr>
              <w:t>(Brno)</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Jitka Ondrušková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735 158 118</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ondruskova</w:t>
            </w:r>
            <w:proofErr w:type="spellEnd"/>
            <w:r w:rsidRPr="009769E5">
              <w:rPr>
                <w:lang w:eastAsia="cs-CZ"/>
              </w:rPr>
              <w:t>(</w:t>
            </w:r>
            <w:proofErr w:type="spellStart"/>
            <w:r w:rsidRPr="009769E5">
              <w:rPr>
                <w:lang w:eastAsia="cs-CZ"/>
              </w:rPr>
              <w:t>at</w:t>
            </w:r>
            <w:proofErr w:type="spellEnd"/>
            <w:r w:rsidRPr="009769E5">
              <w:rPr>
                <w:lang w:eastAsia="cs-CZ"/>
              </w:rPr>
              <w:t xml:space="preserve">)crr.cz </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FC20A3">
            <w:pPr>
              <w:jc w:val="left"/>
              <w:rPr>
                <w:lang w:eastAsia="cs-CZ"/>
              </w:rPr>
            </w:pPr>
            <w:r w:rsidRPr="009769E5">
              <w:rPr>
                <w:lang w:eastAsia="cs-CZ"/>
              </w:rPr>
              <w:t>Karlovarský kraj</w:t>
            </w:r>
            <w:r w:rsidR="00FC20A3">
              <w:rPr>
                <w:lang w:eastAsia="cs-CZ"/>
              </w:rPr>
              <w:t xml:space="preserve"> </w:t>
            </w:r>
            <w:r w:rsidRPr="009769E5">
              <w:rPr>
                <w:lang w:eastAsia="cs-CZ"/>
              </w:rPr>
              <w:t>(Karlovy Vary)</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175DF3" w:rsidP="003E4B50">
            <w:pPr>
              <w:rPr>
                <w:lang w:eastAsia="cs-CZ"/>
              </w:rPr>
            </w:pPr>
            <w:r w:rsidRPr="00175DF3">
              <w:rPr>
                <w:lang w:eastAsia="cs-CZ"/>
              </w:rPr>
              <w:t>Ing. Lenka Modrovičová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175DF3" w:rsidP="003E4B50">
            <w:pPr>
              <w:rPr>
                <w:lang w:eastAsia="cs-CZ"/>
              </w:rPr>
            </w:pPr>
            <w:r w:rsidRPr="00175DF3">
              <w:rPr>
                <w:lang w:eastAsia="cs-CZ"/>
              </w:rPr>
              <w:t>731 645 187</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175DF3" w:rsidP="003E4B50">
            <w:pPr>
              <w:rPr>
                <w:lang w:eastAsia="cs-CZ"/>
              </w:rPr>
            </w:pPr>
            <w:proofErr w:type="spellStart"/>
            <w:r w:rsidRPr="00175DF3">
              <w:rPr>
                <w:lang w:eastAsia="cs-CZ"/>
              </w:rPr>
              <w:t>modrovicova</w:t>
            </w:r>
            <w:proofErr w:type="spellEnd"/>
            <w:r w:rsidRPr="00175DF3">
              <w:rPr>
                <w:lang w:eastAsia="cs-CZ"/>
              </w:rPr>
              <w:t>(</w:t>
            </w:r>
            <w:proofErr w:type="spellStart"/>
            <w:r w:rsidRPr="00175DF3">
              <w:rPr>
                <w:lang w:eastAsia="cs-CZ"/>
              </w:rPr>
              <w:t>at</w:t>
            </w:r>
            <w:proofErr w:type="spellEnd"/>
            <w:r w:rsidRPr="00175DF3">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9A21F7" w:rsidP="00FC20A3">
            <w:pPr>
              <w:jc w:val="left"/>
              <w:rPr>
                <w:lang w:eastAsia="cs-CZ"/>
              </w:rPr>
            </w:pPr>
            <w:r>
              <w:rPr>
                <w:lang w:eastAsia="cs-CZ"/>
              </w:rPr>
              <w:t xml:space="preserve">Královéhradecký </w:t>
            </w:r>
            <w:r w:rsidR="003E4B50" w:rsidRPr="009769E5">
              <w:rPr>
                <w:lang w:eastAsia="cs-CZ"/>
              </w:rPr>
              <w:t>kraj (Hradec Králové) </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Michaela Brožová </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735 157 809</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brozova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FC20A3">
            <w:pPr>
              <w:jc w:val="left"/>
              <w:rPr>
                <w:lang w:eastAsia="cs-CZ"/>
              </w:rPr>
            </w:pPr>
            <w:r w:rsidRPr="009769E5">
              <w:rPr>
                <w:lang w:eastAsia="cs-CZ"/>
              </w:rPr>
              <w:t>Liberecký kraj</w:t>
            </w:r>
            <w:r w:rsidR="00FC20A3">
              <w:rPr>
                <w:lang w:eastAsia="cs-CZ"/>
              </w:rPr>
              <w:t xml:space="preserve"> </w:t>
            </w:r>
            <w:r w:rsidRPr="009769E5">
              <w:rPr>
                <w:lang w:eastAsia="cs-CZ"/>
              </w:rPr>
              <w:t>(Liberec)</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Romana Valentová </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731 607 725</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valentova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9A21F7" w:rsidP="00FC20A3">
            <w:pPr>
              <w:jc w:val="left"/>
              <w:rPr>
                <w:lang w:eastAsia="cs-CZ"/>
              </w:rPr>
            </w:pPr>
            <w:r>
              <w:rPr>
                <w:lang w:eastAsia="cs-CZ"/>
              </w:rPr>
              <w:t xml:space="preserve">Moravskoslezský </w:t>
            </w:r>
            <w:r w:rsidR="003E4B50" w:rsidRPr="009769E5">
              <w:rPr>
                <w:lang w:eastAsia="cs-CZ"/>
              </w:rPr>
              <w:t>kraj (Ostrava)</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PhDr. Marie Lichnovská  </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739 320 907</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lichnovska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FC20A3">
            <w:pPr>
              <w:jc w:val="left"/>
              <w:rPr>
                <w:lang w:eastAsia="cs-CZ"/>
              </w:rPr>
            </w:pPr>
            <w:r w:rsidRPr="009769E5">
              <w:rPr>
                <w:lang w:eastAsia="cs-CZ"/>
              </w:rPr>
              <w:t>Olomoucký kraj</w:t>
            </w:r>
            <w:r w:rsidR="00FC20A3">
              <w:rPr>
                <w:lang w:eastAsia="cs-CZ"/>
              </w:rPr>
              <w:t xml:space="preserve"> </w:t>
            </w:r>
            <w:r w:rsidRPr="009769E5">
              <w:rPr>
                <w:lang w:eastAsia="cs-CZ"/>
              </w:rPr>
              <w:t>(Olomouc) </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Veronika Škutová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731 604 727</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skutova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3E4B50" w:rsidRPr="009769E5" w:rsidTr="00DE73CE">
        <w:trPr>
          <w:trHeight w:val="638"/>
        </w:trPr>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FC20A3">
            <w:pPr>
              <w:jc w:val="left"/>
              <w:rPr>
                <w:lang w:eastAsia="cs-CZ"/>
              </w:rPr>
            </w:pPr>
            <w:r w:rsidRPr="009769E5">
              <w:rPr>
                <w:lang w:eastAsia="cs-CZ"/>
              </w:rPr>
              <w:t>Pardubický kraj</w:t>
            </w:r>
            <w:r w:rsidR="00FC20A3">
              <w:rPr>
                <w:lang w:eastAsia="cs-CZ"/>
              </w:rPr>
              <w:t xml:space="preserve"> </w:t>
            </w:r>
            <w:r w:rsidRPr="009769E5">
              <w:rPr>
                <w:lang w:eastAsia="cs-CZ"/>
              </w:rPr>
              <w:t>(Pardubice)</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Ing. Markéta Kupcová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r w:rsidRPr="009769E5">
              <w:rPr>
                <w:lang w:eastAsia="cs-CZ"/>
              </w:rPr>
              <w:t>735 157 810</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gramStart"/>
            <w:r w:rsidRPr="009769E5">
              <w:rPr>
                <w:lang w:eastAsia="cs-CZ"/>
              </w:rPr>
              <w:t>kupcova(</w:t>
            </w:r>
            <w:proofErr w:type="spellStart"/>
            <w:r w:rsidRPr="009769E5">
              <w:rPr>
                <w:lang w:eastAsia="cs-CZ"/>
              </w:rPr>
              <w:t>at</w:t>
            </w:r>
            <w:proofErr w:type="spellEnd"/>
            <w:proofErr w:type="gramEnd"/>
            <w:r w:rsidRPr="009769E5">
              <w:rPr>
                <w:lang w:eastAsia="cs-CZ"/>
              </w:rPr>
              <w:t>)crr.cz</w:t>
            </w:r>
          </w:p>
        </w:tc>
      </w:tr>
      <w:tr w:rsidR="003E4B50"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FC20A3">
            <w:pPr>
              <w:jc w:val="left"/>
              <w:rPr>
                <w:lang w:eastAsia="cs-CZ"/>
              </w:rPr>
            </w:pPr>
            <w:r w:rsidRPr="009769E5">
              <w:rPr>
                <w:lang w:eastAsia="cs-CZ"/>
              </w:rPr>
              <w:t>Plzeňský kraj</w:t>
            </w:r>
            <w:r w:rsidR="00FC20A3">
              <w:rPr>
                <w:lang w:eastAsia="cs-CZ"/>
              </w:rPr>
              <w:t xml:space="preserve"> </w:t>
            </w:r>
            <w:r w:rsidRPr="009769E5">
              <w:rPr>
                <w:lang w:eastAsia="cs-CZ"/>
              </w:rPr>
              <w:t>(Plzeň)</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8445A6" w:rsidP="003E4B50">
            <w:pPr>
              <w:rPr>
                <w:lang w:eastAsia="cs-CZ"/>
              </w:rPr>
            </w:pPr>
            <w:r w:rsidRPr="008445A6">
              <w:rPr>
                <w:lang w:eastAsia="cs-CZ"/>
              </w:rPr>
              <w:t>Mgr. Tereza Slatkovská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175DF3" w:rsidP="003E4B50">
            <w:pPr>
              <w:rPr>
                <w:lang w:eastAsia="cs-CZ"/>
              </w:rPr>
            </w:pPr>
            <w:r w:rsidRPr="00175DF3">
              <w:rPr>
                <w:lang w:eastAsia="cs-CZ"/>
              </w:rPr>
              <w:t>603 550 185</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3E4B50" w:rsidRPr="009769E5" w:rsidRDefault="003E4B50" w:rsidP="003E4B50">
            <w:pPr>
              <w:rPr>
                <w:lang w:eastAsia="cs-CZ"/>
              </w:rPr>
            </w:pPr>
            <w:proofErr w:type="spellStart"/>
            <w:r w:rsidRPr="009769E5">
              <w:rPr>
                <w:lang w:eastAsia="cs-CZ"/>
              </w:rPr>
              <w:t>bartikova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1E3479"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1E3479" w:rsidRPr="009769E5" w:rsidRDefault="001E3479" w:rsidP="00FC20A3">
            <w:pPr>
              <w:jc w:val="left"/>
              <w:rPr>
                <w:lang w:eastAsia="cs-CZ"/>
              </w:rPr>
            </w:pPr>
            <w:r w:rsidRPr="009769E5">
              <w:rPr>
                <w:lang w:eastAsia="cs-CZ"/>
              </w:rPr>
              <w:t>Středočeský kraj</w:t>
            </w:r>
            <w:r>
              <w:rPr>
                <w:lang w:eastAsia="cs-CZ"/>
              </w:rPr>
              <w:t xml:space="preserve"> </w:t>
            </w:r>
            <w:r w:rsidRPr="009769E5">
              <w:rPr>
                <w:lang w:eastAsia="cs-CZ"/>
              </w:rPr>
              <w:t>(Praha)</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1E3479" w:rsidRPr="009769E5" w:rsidRDefault="001E3479" w:rsidP="003E4B50">
            <w:pPr>
              <w:rPr>
                <w:lang w:eastAsia="cs-CZ"/>
              </w:rPr>
            </w:pPr>
            <w:r>
              <w:rPr>
                <w:sz w:val="22"/>
                <w:szCs w:val="22"/>
              </w:rPr>
              <w:t>Mgr. Adéla Hájková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1E3479" w:rsidRPr="009769E5" w:rsidRDefault="001E3479" w:rsidP="003E4B50">
            <w:pPr>
              <w:rPr>
                <w:lang w:eastAsia="cs-CZ"/>
              </w:rPr>
            </w:pPr>
            <w:r w:rsidRPr="00E97A12">
              <w:rPr>
                <w:sz w:val="22"/>
                <w:szCs w:val="22"/>
              </w:rPr>
              <w:t>725 037 963</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1E3479" w:rsidRPr="009769E5" w:rsidRDefault="001E3479" w:rsidP="003E4B50">
            <w:pPr>
              <w:rPr>
                <w:lang w:eastAsia="cs-CZ"/>
              </w:rPr>
            </w:pPr>
            <w:proofErr w:type="spellStart"/>
            <w:r>
              <w:rPr>
                <w:sz w:val="22"/>
                <w:szCs w:val="22"/>
              </w:rPr>
              <w:t>adela.hajkova</w:t>
            </w:r>
            <w:proofErr w:type="spellEnd"/>
            <w:r w:rsidRPr="00E97A12">
              <w:rPr>
                <w:sz w:val="22"/>
                <w:szCs w:val="22"/>
              </w:rPr>
              <w:t>(</w:t>
            </w:r>
            <w:proofErr w:type="spellStart"/>
            <w:r w:rsidRPr="00E97A12">
              <w:rPr>
                <w:sz w:val="22"/>
                <w:szCs w:val="22"/>
              </w:rPr>
              <w:t>at</w:t>
            </w:r>
            <w:proofErr w:type="spellEnd"/>
            <w:r w:rsidRPr="00E97A12">
              <w:rPr>
                <w:sz w:val="22"/>
                <w:szCs w:val="22"/>
              </w:rPr>
              <w:t xml:space="preserve">)crr.cz </w:t>
            </w:r>
          </w:p>
        </w:tc>
      </w:tr>
      <w:tr w:rsidR="00C13906"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C13906" w:rsidRPr="009769E5" w:rsidRDefault="00C13906" w:rsidP="00FC20A3">
            <w:pPr>
              <w:jc w:val="left"/>
              <w:rPr>
                <w:lang w:eastAsia="cs-CZ"/>
              </w:rPr>
            </w:pPr>
            <w:r w:rsidRPr="009769E5">
              <w:rPr>
                <w:lang w:eastAsia="cs-CZ"/>
              </w:rPr>
              <w:t>Ústecký kraj</w:t>
            </w:r>
            <w:r w:rsidR="00FC20A3">
              <w:rPr>
                <w:lang w:eastAsia="cs-CZ"/>
              </w:rPr>
              <w:t xml:space="preserve"> </w:t>
            </w:r>
            <w:r w:rsidRPr="009769E5">
              <w:rPr>
                <w:lang w:eastAsia="cs-CZ"/>
              </w:rPr>
              <w:t>(Ústí nad Labem)</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C13906" w:rsidRPr="009769E5" w:rsidRDefault="00C13906" w:rsidP="003E4B50">
            <w:pPr>
              <w:rPr>
                <w:lang w:eastAsia="cs-CZ"/>
              </w:rPr>
            </w:pPr>
            <w:r w:rsidRPr="009769E5">
              <w:rPr>
                <w:lang w:eastAsia="cs-CZ"/>
              </w:rPr>
              <w:t>Ing. Ivan Palán</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C13906" w:rsidRPr="009769E5" w:rsidRDefault="00C13906" w:rsidP="003E4B50">
            <w:pPr>
              <w:rPr>
                <w:lang w:eastAsia="cs-CZ"/>
              </w:rPr>
            </w:pPr>
            <w:r w:rsidRPr="009769E5">
              <w:rPr>
                <w:lang w:eastAsia="cs-CZ"/>
              </w:rPr>
              <w:t>735 158 119</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C13906" w:rsidRPr="009769E5" w:rsidRDefault="00C13906" w:rsidP="003E4B50">
            <w:pPr>
              <w:rPr>
                <w:lang w:eastAsia="cs-CZ"/>
              </w:rPr>
            </w:pPr>
            <w:proofErr w:type="spellStart"/>
            <w:r w:rsidRPr="009769E5">
              <w:rPr>
                <w:lang w:eastAsia="cs-CZ"/>
              </w:rPr>
              <w:t>palan</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C13906"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C13906" w:rsidRPr="009769E5" w:rsidRDefault="00C13906" w:rsidP="00FC20A3">
            <w:pPr>
              <w:jc w:val="left"/>
              <w:rPr>
                <w:lang w:eastAsia="cs-CZ"/>
              </w:rPr>
            </w:pPr>
            <w:r w:rsidRPr="009769E5">
              <w:rPr>
                <w:lang w:eastAsia="cs-CZ"/>
              </w:rPr>
              <w:t>Kraj Vysočina</w:t>
            </w:r>
            <w:r w:rsidR="00FC20A3">
              <w:rPr>
                <w:lang w:eastAsia="cs-CZ"/>
              </w:rPr>
              <w:t xml:space="preserve"> </w:t>
            </w:r>
            <w:r w:rsidRPr="009769E5">
              <w:rPr>
                <w:lang w:eastAsia="cs-CZ"/>
              </w:rPr>
              <w:t>(Jihlava)</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C13906" w:rsidRPr="009769E5" w:rsidRDefault="00C13906" w:rsidP="003E4B50">
            <w:pPr>
              <w:rPr>
                <w:lang w:eastAsia="cs-CZ"/>
              </w:rPr>
            </w:pPr>
            <w:r w:rsidRPr="009769E5">
              <w:rPr>
                <w:lang w:eastAsia="cs-CZ"/>
              </w:rPr>
              <w:t>Ing. Kristýna Bidlová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C13906" w:rsidRPr="009769E5" w:rsidRDefault="00C13906" w:rsidP="003E4B50">
            <w:pPr>
              <w:rPr>
                <w:lang w:eastAsia="cs-CZ"/>
              </w:rPr>
            </w:pPr>
            <w:r w:rsidRPr="009769E5">
              <w:rPr>
                <w:lang w:eastAsia="cs-CZ"/>
              </w:rPr>
              <w:t>735 158 117</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C13906" w:rsidRPr="009769E5" w:rsidRDefault="00C13906" w:rsidP="003E4B50">
            <w:pPr>
              <w:rPr>
                <w:lang w:eastAsia="cs-CZ"/>
              </w:rPr>
            </w:pPr>
            <w:proofErr w:type="spellStart"/>
            <w:r w:rsidRPr="009769E5">
              <w:rPr>
                <w:lang w:eastAsia="cs-CZ"/>
              </w:rPr>
              <w:t>bidlova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C13906" w:rsidRPr="009769E5" w:rsidTr="003E4B50">
        <w:tc>
          <w:tcPr>
            <w:tcW w:w="2709" w:type="dxa"/>
            <w:tcBorders>
              <w:top w:val="outset" w:sz="6" w:space="0" w:color="auto"/>
              <w:left w:val="outset" w:sz="6" w:space="0" w:color="auto"/>
              <w:bottom w:val="outset" w:sz="6" w:space="0" w:color="auto"/>
              <w:right w:val="outset" w:sz="6" w:space="0" w:color="auto"/>
            </w:tcBorders>
            <w:noWrap/>
            <w:vAlign w:val="center"/>
            <w:hideMark/>
          </w:tcPr>
          <w:p w:rsidR="00C13906" w:rsidRPr="009769E5" w:rsidRDefault="00C13906" w:rsidP="00FC20A3">
            <w:pPr>
              <w:jc w:val="left"/>
              <w:rPr>
                <w:lang w:eastAsia="cs-CZ"/>
              </w:rPr>
            </w:pPr>
            <w:r w:rsidRPr="009769E5">
              <w:rPr>
                <w:lang w:eastAsia="cs-CZ"/>
              </w:rPr>
              <w:t>Zlínský kraj</w:t>
            </w:r>
            <w:r w:rsidR="00FC20A3">
              <w:rPr>
                <w:lang w:eastAsia="cs-CZ"/>
              </w:rPr>
              <w:t xml:space="preserve"> </w:t>
            </w:r>
            <w:r w:rsidRPr="009769E5">
              <w:rPr>
                <w:lang w:eastAsia="cs-CZ"/>
              </w:rPr>
              <w:t>(Zlín)</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C13906" w:rsidRPr="009769E5" w:rsidRDefault="00C13906" w:rsidP="003E4B50">
            <w:pPr>
              <w:rPr>
                <w:lang w:eastAsia="cs-CZ"/>
              </w:rPr>
            </w:pPr>
            <w:r w:rsidRPr="009769E5">
              <w:rPr>
                <w:lang w:eastAsia="cs-CZ"/>
              </w:rPr>
              <w:t>Ing. Lenka Kolářová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C13906" w:rsidRPr="009769E5" w:rsidRDefault="00C13906" w:rsidP="003E4B50">
            <w:pPr>
              <w:rPr>
                <w:lang w:eastAsia="cs-CZ"/>
              </w:rPr>
            </w:pPr>
            <w:r w:rsidRPr="009769E5">
              <w:rPr>
                <w:lang w:eastAsia="cs-CZ"/>
              </w:rPr>
              <w:t>603 565 011</w:t>
            </w:r>
          </w:p>
        </w:tc>
        <w:tc>
          <w:tcPr>
            <w:tcW w:w="2042" w:type="dxa"/>
            <w:tcBorders>
              <w:top w:val="outset" w:sz="6" w:space="0" w:color="auto"/>
              <w:left w:val="outset" w:sz="6" w:space="0" w:color="auto"/>
              <w:bottom w:val="outset" w:sz="6" w:space="0" w:color="auto"/>
              <w:right w:val="outset" w:sz="6" w:space="0" w:color="auto"/>
            </w:tcBorders>
            <w:noWrap/>
            <w:vAlign w:val="center"/>
            <w:hideMark/>
          </w:tcPr>
          <w:p w:rsidR="00C13906" w:rsidRPr="009769E5" w:rsidRDefault="00C13906" w:rsidP="003E4B50">
            <w:pPr>
              <w:rPr>
                <w:lang w:eastAsia="cs-CZ"/>
              </w:rPr>
            </w:pPr>
            <w:proofErr w:type="spellStart"/>
            <w:r w:rsidRPr="009769E5">
              <w:rPr>
                <w:lang w:eastAsia="cs-CZ"/>
              </w:rPr>
              <w:t>kolarova</w:t>
            </w:r>
            <w:proofErr w:type="spellEnd"/>
            <w:r w:rsidRPr="009769E5">
              <w:rPr>
                <w:lang w:eastAsia="cs-CZ"/>
              </w:rPr>
              <w:t>(</w:t>
            </w:r>
            <w:proofErr w:type="spellStart"/>
            <w:r w:rsidRPr="009769E5">
              <w:rPr>
                <w:lang w:eastAsia="cs-CZ"/>
              </w:rPr>
              <w:t>at</w:t>
            </w:r>
            <w:proofErr w:type="spellEnd"/>
            <w:r w:rsidRPr="009769E5">
              <w:rPr>
                <w:lang w:eastAsia="cs-CZ"/>
              </w:rPr>
              <w:t>)crr.cz</w:t>
            </w:r>
          </w:p>
        </w:tc>
      </w:tr>
      <w:tr w:rsidR="008807E3" w:rsidRPr="009769E5" w:rsidTr="00863299">
        <w:tc>
          <w:tcPr>
            <w:tcW w:w="2709" w:type="dxa"/>
            <w:tcBorders>
              <w:top w:val="outset" w:sz="6" w:space="0" w:color="auto"/>
              <w:left w:val="outset" w:sz="6" w:space="0" w:color="auto"/>
              <w:bottom w:val="outset" w:sz="6" w:space="0" w:color="auto"/>
              <w:right w:val="outset" w:sz="6" w:space="0" w:color="auto"/>
            </w:tcBorders>
            <w:noWrap/>
            <w:vAlign w:val="center"/>
          </w:tcPr>
          <w:p w:rsidR="008807E3" w:rsidRPr="009769E5" w:rsidRDefault="00C1244F" w:rsidP="00FC20A3">
            <w:pPr>
              <w:jc w:val="left"/>
              <w:rPr>
                <w:lang w:eastAsia="cs-CZ"/>
              </w:rPr>
            </w:pPr>
            <w:r>
              <w:rPr>
                <w:lang w:eastAsia="cs-CZ"/>
              </w:rPr>
              <w:t>Oddělení pro administraci OSS</w:t>
            </w:r>
          </w:p>
        </w:tc>
        <w:tc>
          <w:tcPr>
            <w:tcW w:w="2693" w:type="dxa"/>
            <w:tcBorders>
              <w:top w:val="outset" w:sz="6" w:space="0" w:color="auto"/>
              <w:left w:val="outset" w:sz="6" w:space="0" w:color="auto"/>
              <w:bottom w:val="outset" w:sz="6" w:space="0" w:color="auto"/>
              <w:right w:val="outset" w:sz="6" w:space="0" w:color="auto"/>
            </w:tcBorders>
            <w:noWrap/>
            <w:vAlign w:val="center"/>
          </w:tcPr>
          <w:p w:rsidR="008807E3" w:rsidRPr="009769E5" w:rsidRDefault="008807E3" w:rsidP="00863299">
            <w:pPr>
              <w:rPr>
                <w:lang w:eastAsia="cs-CZ"/>
              </w:rPr>
            </w:pPr>
            <w:r>
              <w:rPr>
                <w:lang w:eastAsia="cs-CZ"/>
              </w:rPr>
              <w:t>Ing, Bohdan Kadlec</w:t>
            </w:r>
          </w:p>
        </w:tc>
        <w:tc>
          <w:tcPr>
            <w:tcW w:w="1664" w:type="dxa"/>
            <w:tcBorders>
              <w:top w:val="outset" w:sz="6" w:space="0" w:color="auto"/>
              <w:left w:val="outset" w:sz="6" w:space="0" w:color="auto"/>
              <w:bottom w:val="outset" w:sz="6" w:space="0" w:color="auto"/>
              <w:right w:val="outset" w:sz="6" w:space="0" w:color="auto"/>
            </w:tcBorders>
            <w:noWrap/>
            <w:vAlign w:val="center"/>
          </w:tcPr>
          <w:p w:rsidR="008807E3" w:rsidRPr="009769E5" w:rsidRDefault="008807E3" w:rsidP="00863299">
            <w:pPr>
              <w:rPr>
                <w:lang w:eastAsia="cs-CZ"/>
              </w:rPr>
            </w:pPr>
            <w:r>
              <w:rPr>
                <w:lang w:eastAsia="cs-CZ"/>
              </w:rPr>
              <w:t>735 159 462</w:t>
            </w:r>
          </w:p>
        </w:tc>
        <w:tc>
          <w:tcPr>
            <w:tcW w:w="2042" w:type="dxa"/>
            <w:tcBorders>
              <w:top w:val="outset" w:sz="6" w:space="0" w:color="auto"/>
              <w:left w:val="outset" w:sz="6" w:space="0" w:color="auto"/>
              <w:bottom w:val="outset" w:sz="6" w:space="0" w:color="auto"/>
              <w:right w:val="outset" w:sz="6" w:space="0" w:color="auto"/>
            </w:tcBorders>
            <w:noWrap/>
            <w:vAlign w:val="center"/>
          </w:tcPr>
          <w:p w:rsidR="008807E3" w:rsidRPr="009769E5" w:rsidRDefault="008807E3" w:rsidP="00863299">
            <w:pPr>
              <w:rPr>
                <w:lang w:eastAsia="cs-CZ"/>
              </w:rPr>
            </w:pPr>
            <w:proofErr w:type="spellStart"/>
            <w:r>
              <w:rPr>
                <w:lang w:eastAsia="cs-CZ"/>
              </w:rPr>
              <w:t>kadlec</w:t>
            </w:r>
            <w:proofErr w:type="spellEnd"/>
            <w:r>
              <w:rPr>
                <w:lang w:eastAsia="cs-CZ"/>
              </w:rPr>
              <w:t>(</w:t>
            </w:r>
            <w:proofErr w:type="spellStart"/>
            <w:r>
              <w:rPr>
                <w:lang w:eastAsia="cs-CZ"/>
              </w:rPr>
              <w:t>at</w:t>
            </w:r>
            <w:proofErr w:type="spellEnd"/>
            <w:r>
              <w:rPr>
                <w:lang w:eastAsia="cs-CZ"/>
              </w:rPr>
              <w:t>)crr.cz</w:t>
            </w:r>
          </w:p>
        </w:tc>
      </w:tr>
    </w:tbl>
    <w:p w:rsidR="003E4B50" w:rsidRPr="009769E5" w:rsidRDefault="003E4B50" w:rsidP="003E4B50">
      <w:pPr>
        <w:ind w:left="720"/>
        <w:contextualSpacing/>
      </w:pPr>
    </w:p>
    <w:p w:rsidR="000579DD" w:rsidRPr="00CB13B8" w:rsidRDefault="000579DD" w:rsidP="000579DD">
      <w:pPr>
        <w:spacing w:before="240"/>
        <w:rPr>
          <w:rFonts w:cs="Arial"/>
        </w:rPr>
      </w:pPr>
      <w:r w:rsidRPr="00CB13B8">
        <w:rPr>
          <w:rFonts w:cs="Arial"/>
        </w:rPr>
        <w:t xml:space="preserve">Aktuální kontakty jsou k dispozici na webových stránkách </w:t>
      </w:r>
      <w:hyperlink r:id="rId16" w:history="1">
        <w:r w:rsidR="00133764" w:rsidRPr="00FC3C63">
          <w:rPr>
            <w:rStyle w:val="Hypertextovodkaz"/>
          </w:rPr>
          <w:t>http://www.crr.cz/cs/kontakty/kontakty-irop</w:t>
        </w:r>
        <w:r w:rsidRPr="00FC3C63">
          <w:rPr>
            <w:rStyle w:val="Hypertextovodkaz"/>
            <w:rFonts w:cs="Arial"/>
          </w:rPr>
          <w:t>/</w:t>
        </w:r>
      </w:hyperlink>
      <w:r w:rsidR="00192E4C">
        <w:rPr>
          <w:rStyle w:val="Hypertextovodkaz"/>
          <w:rFonts w:cs="Arial"/>
        </w:rPr>
        <w:t xml:space="preserve"> nebo</w:t>
      </w:r>
      <w:r w:rsidRPr="00CB13B8">
        <w:rPr>
          <w:rStyle w:val="Hypertextovodkaz"/>
          <w:rFonts w:cs="Arial"/>
        </w:rPr>
        <w:t xml:space="preserve"> </w:t>
      </w:r>
      <w:hyperlink r:id="rId17" w:history="1">
        <w:r w:rsidRPr="008300E3">
          <w:rPr>
            <w:rStyle w:val="Hypertextovodkaz"/>
            <w:rFonts w:cs="Arial"/>
          </w:rPr>
          <w:t>http://www.dotaceeu.cz/irop</w:t>
        </w:r>
      </w:hyperlink>
      <w:r w:rsidRPr="00CB13B8">
        <w:rPr>
          <w:rStyle w:val="Hypertextovodkaz"/>
          <w:rFonts w:cs="Arial"/>
        </w:rPr>
        <w:t>.</w:t>
      </w:r>
      <w:bookmarkStart w:id="62" w:name="_GoBack"/>
      <w:bookmarkEnd w:id="62"/>
    </w:p>
    <w:p w:rsidR="00517115" w:rsidRPr="008448B1" w:rsidRDefault="000579DD" w:rsidP="003A37F5">
      <w:pPr>
        <w:rPr>
          <w:rFonts w:eastAsiaTheme="majorEastAsia" w:cstheme="majorBidi"/>
          <w:b/>
          <w:bCs/>
          <w:vanish/>
          <w:color w:val="000000" w:themeColor="text1"/>
          <w:sz w:val="36"/>
          <w:szCs w:val="28"/>
        </w:rPr>
      </w:pPr>
      <w:r w:rsidRPr="008448B1">
        <w:rPr>
          <w:rFonts w:cs="Arial"/>
        </w:rPr>
        <w:lastRenderedPageBreak/>
        <w:t xml:space="preserve">Po předložení žádosti o podporu budou žadateli formou depeše v MS2014+ </w:t>
      </w:r>
      <w:r w:rsidRPr="00845814">
        <w:rPr>
          <w:rFonts w:cs="Arial"/>
        </w:rPr>
        <w:t xml:space="preserve">sdělena </w:t>
      </w:r>
      <w:r w:rsidRPr="00351C94">
        <w:rPr>
          <w:rFonts w:cs="Arial"/>
        </w:rPr>
        <w:t>jména administrátorů projektu pro další komunikaci v rámci administrace projektu.</w:t>
      </w:r>
    </w:p>
    <w:p w:rsidR="00517115" w:rsidRPr="00517115" w:rsidRDefault="00517115" w:rsidP="00517115">
      <w:pPr>
        <w:pStyle w:val="Odstavecseseznamem"/>
        <w:numPr>
          <w:ilvl w:val="0"/>
          <w:numId w:val="28"/>
        </w:numPr>
        <w:rPr>
          <w:rFonts w:eastAsiaTheme="majorEastAsia" w:cstheme="majorBidi"/>
          <w:b/>
          <w:bCs/>
          <w:vanish/>
          <w:color w:val="000000" w:themeColor="text1"/>
          <w:sz w:val="36"/>
          <w:szCs w:val="28"/>
        </w:rPr>
      </w:pPr>
    </w:p>
    <w:p w:rsidR="00ED68CF" w:rsidRPr="00EC395C" w:rsidRDefault="002E4B25" w:rsidP="004B2F6E">
      <w:pPr>
        <w:pStyle w:val="Odstavecseseznamem"/>
        <w:numPr>
          <w:ilvl w:val="0"/>
          <w:numId w:val="28"/>
        </w:numPr>
      </w:pPr>
      <w:r>
        <w:rPr>
          <w:rFonts w:eastAsiaTheme="majorEastAsia" w:cstheme="majorBidi"/>
          <w:b/>
          <w:bCs/>
          <w:color w:val="000000" w:themeColor="text1"/>
          <w:sz w:val="36"/>
          <w:szCs w:val="28"/>
        </w:rPr>
        <w:t xml:space="preserve"> </w:t>
      </w:r>
    </w:p>
    <w:p w:rsidR="00EC395C" w:rsidRPr="00106361" w:rsidRDefault="00EC395C" w:rsidP="00EC395C">
      <w:pPr>
        <w:pStyle w:val="Odstavecseseznamem"/>
        <w:ind w:left="360"/>
      </w:pPr>
    </w:p>
    <w:p w:rsidR="005D35E5" w:rsidRPr="00517115" w:rsidRDefault="005D35E5" w:rsidP="004B2F6E">
      <w:pPr>
        <w:pStyle w:val="Odstavecseseznamem"/>
        <w:numPr>
          <w:ilvl w:val="0"/>
          <w:numId w:val="28"/>
        </w:numPr>
      </w:pPr>
      <w:r w:rsidRPr="00517115">
        <w:rPr>
          <w:rFonts w:eastAsiaTheme="majorEastAsia" w:cstheme="majorBidi"/>
          <w:b/>
          <w:bCs/>
          <w:color w:val="000000" w:themeColor="text1"/>
          <w:sz w:val="36"/>
          <w:szCs w:val="28"/>
        </w:rPr>
        <w:t xml:space="preserve">Hodnocení a výběr projektů </w:t>
      </w:r>
    </w:p>
    <w:p w:rsidR="00D57EF2" w:rsidRDefault="007F1DB1" w:rsidP="006B7F53">
      <w:pPr>
        <w:pStyle w:val="Pravidla11"/>
        <w:numPr>
          <w:ilvl w:val="1"/>
          <w:numId w:val="28"/>
        </w:numPr>
        <w:tabs>
          <w:tab w:val="left" w:pos="993"/>
        </w:tabs>
        <w:spacing w:after="0"/>
      </w:pPr>
      <w:bookmarkStart w:id="63" w:name="_Toc455143139"/>
      <w:r>
        <w:t xml:space="preserve">Hodnocení </w:t>
      </w:r>
      <w:r w:rsidR="00517115">
        <w:t xml:space="preserve">žádostí </w:t>
      </w:r>
      <w:r>
        <w:t>o podporu</w:t>
      </w:r>
      <w:bookmarkEnd w:id="63"/>
    </w:p>
    <w:p w:rsidR="00886B75" w:rsidRDefault="00886B75" w:rsidP="00886B75"/>
    <w:p w:rsidR="00886B75" w:rsidRDefault="00886B75" w:rsidP="00886B75">
      <w:r>
        <w:t xml:space="preserve">Hodnocení žádostí o podporu probíhá po ukončení příjmu žádostí o podporu ve stanoveném termínu. </w:t>
      </w:r>
    </w:p>
    <w:p w:rsidR="00886B75" w:rsidRDefault="00886B75" w:rsidP="00886B75">
      <w:r>
        <w:t xml:space="preserve">Kontrola přijatelnosti a formálních náležitostí projektu </w:t>
      </w:r>
    </w:p>
    <w:p w:rsidR="00517115" w:rsidRDefault="00886B75" w:rsidP="00517115">
      <w:pPr>
        <w:tabs>
          <w:tab w:val="left" w:pos="709"/>
        </w:tabs>
        <w:rPr>
          <w:rFonts w:cs="Arial"/>
        </w:rPr>
      </w:pPr>
      <w:r>
        <w:t>Probíhá podle obecných kritérií přijatelnosti a formálních náležitostí a specifických kritérií přijatelnosti pro specifický cíl 2.1. Obecná a specifická kritéria přijatelnosti jsou rozdělena na kritéria napravitelná a nenapravitelná. Kritéria formálních náležitostí jsou vždy napravitelná. V případě nesplnění alespoň jednoho kritéria s příznakem „nenapravitelné“ je žádost o podporu vyloučena z dalšího procesu hodnocení.</w:t>
      </w:r>
    </w:p>
    <w:p w:rsidR="00886B75" w:rsidRPr="001F57E1" w:rsidRDefault="00886B75" w:rsidP="00886B75">
      <w:pPr>
        <w:tabs>
          <w:tab w:val="left" w:pos="709"/>
        </w:tabs>
        <w:rPr>
          <w:rFonts w:ascii="Cambria" w:hAnsi="Cambria" w:cs="Arial"/>
          <w:b/>
        </w:rPr>
      </w:pPr>
      <w:r w:rsidRPr="001F57E1">
        <w:rPr>
          <w:rFonts w:ascii="Cambria" w:hAnsi="Cambria" w:cs="Arial"/>
          <w:b/>
        </w:rPr>
        <w:t>Nenapravitelná kritéria</w:t>
      </w:r>
    </w:p>
    <w:p w:rsidR="00886B75" w:rsidRDefault="00886B75" w:rsidP="003F42DC">
      <w:pPr>
        <w:pStyle w:val="Odstavecseseznamem"/>
        <w:numPr>
          <w:ilvl w:val="0"/>
          <w:numId w:val="83"/>
        </w:numPr>
        <w:tabs>
          <w:tab w:val="left" w:pos="709"/>
        </w:tabs>
        <w:rPr>
          <w:rFonts w:cs="Arial"/>
        </w:rPr>
      </w:pPr>
      <w:r w:rsidRPr="00886B75">
        <w:rPr>
          <w:rFonts w:cs="Arial"/>
        </w:rPr>
        <w:t>Žadatel splňuje definici oprávněného příjemce pro p</w:t>
      </w:r>
      <w:r>
        <w:rPr>
          <w:rFonts w:cs="Arial"/>
        </w:rPr>
        <w:t>říslušný specifický cíl a výzvu</w:t>
      </w:r>
      <w:r w:rsidR="00192E4C">
        <w:rPr>
          <w:rFonts w:cs="Arial"/>
        </w:rPr>
        <w:t>.</w:t>
      </w:r>
    </w:p>
    <w:p w:rsidR="00886B75" w:rsidRPr="00886B75" w:rsidRDefault="00886B75" w:rsidP="00886B75">
      <w:pPr>
        <w:pStyle w:val="Odstavecseseznamem"/>
        <w:numPr>
          <w:ilvl w:val="0"/>
          <w:numId w:val="83"/>
        </w:numPr>
        <w:tabs>
          <w:tab w:val="left" w:pos="709"/>
        </w:tabs>
        <w:rPr>
          <w:rFonts w:cs="Arial"/>
        </w:rPr>
      </w:pPr>
      <w:r w:rsidRPr="00886B75">
        <w:rPr>
          <w:rFonts w:cs="Arial"/>
        </w:rPr>
        <w:t>Projekt je v sou</w:t>
      </w:r>
      <w:r>
        <w:rPr>
          <w:rFonts w:cs="Arial"/>
        </w:rPr>
        <w:t>ladu s pravidly veřejné podpory</w:t>
      </w:r>
      <w:r w:rsidR="00192E4C">
        <w:rPr>
          <w:rFonts w:cs="Arial"/>
        </w:rPr>
        <w:t>.</w:t>
      </w:r>
    </w:p>
    <w:p w:rsidR="00886B75" w:rsidRDefault="00886B75" w:rsidP="003F42DC">
      <w:pPr>
        <w:pStyle w:val="Odstavecseseznamem"/>
        <w:numPr>
          <w:ilvl w:val="0"/>
          <w:numId w:val="83"/>
        </w:numPr>
        <w:tabs>
          <w:tab w:val="left" w:pos="709"/>
        </w:tabs>
        <w:rPr>
          <w:rFonts w:cs="Arial"/>
        </w:rPr>
      </w:pPr>
      <w:r w:rsidRPr="00886B75">
        <w:rPr>
          <w:rFonts w:cs="Arial"/>
        </w:rPr>
        <w:t>Statutární zástupc</w:t>
      </w:r>
      <w:r>
        <w:rPr>
          <w:rFonts w:cs="Arial"/>
        </w:rPr>
        <w:t>e žadatele je trestně bezúhonný</w:t>
      </w:r>
      <w:r w:rsidR="00192E4C">
        <w:rPr>
          <w:rFonts w:cs="Arial"/>
        </w:rPr>
        <w:t>.</w:t>
      </w:r>
    </w:p>
    <w:p w:rsidR="00B44BD3" w:rsidRDefault="00B44BD3" w:rsidP="003F42DC">
      <w:pPr>
        <w:pStyle w:val="Odstavecseseznamem"/>
        <w:numPr>
          <w:ilvl w:val="0"/>
          <w:numId w:val="83"/>
        </w:numPr>
        <w:tabs>
          <w:tab w:val="left" w:pos="709"/>
        </w:tabs>
        <w:rPr>
          <w:rFonts w:cs="Arial"/>
        </w:rPr>
      </w:pPr>
      <w:r w:rsidRPr="00B44BD3">
        <w:rPr>
          <w:rFonts w:cs="Arial"/>
        </w:rPr>
        <w:t>Poskytované služby jsou uvedené v zákoně o sociálních službách.</w:t>
      </w:r>
    </w:p>
    <w:p w:rsidR="00B44BD3" w:rsidRDefault="00B44BD3" w:rsidP="003F42DC">
      <w:pPr>
        <w:pStyle w:val="Odstavecseseznamem"/>
        <w:numPr>
          <w:ilvl w:val="0"/>
          <w:numId w:val="83"/>
        </w:numPr>
        <w:tabs>
          <w:tab w:val="left" w:pos="709"/>
        </w:tabs>
        <w:rPr>
          <w:rFonts w:cs="Arial"/>
        </w:rPr>
      </w:pPr>
      <w:r w:rsidRPr="00B44BD3">
        <w:rPr>
          <w:rFonts w:cs="Arial"/>
        </w:rPr>
        <w:t>Projekt není cílen na poskytování sociálních služeb seniorům jako výhradní, nebo jediné cí</w:t>
      </w:r>
      <w:r>
        <w:rPr>
          <w:rFonts w:cs="Arial"/>
        </w:rPr>
        <w:t>lové skupině</w:t>
      </w:r>
      <w:r w:rsidR="00192E4C">
        <w:rPr>
          <w:rFonts w:cs="Arial"/>
        </w:rPr>
        <w:t>.</w:t>
      </w:r>
    </w:p>
    <w:p w:rsidR="00886B75" w:rsidRPr="003F42DC" w:rsidRDefault="006F236D" w:rsidP="00886B75">
      <w:pPr>
        <w:tabs>
          <w:tab w:val="left" w:pos="709"/>
        </w:tabs>
        <w:rPr>
          <w:rFonts w:cs="Arial"/>
          <w:b/>
        </w:rPr>
      </w:pPr>
      <w:r w:rsidRPr="003F42DC">
        <w:rPr>
          <w:rFonts w:cs="Arial"/>
          <w:b/>
        </w:rPr>
        <w:t>Napravitelná kritéria</w:t>
      </w:r>
    </w:p>
    <w:p w:rsidR="006F236D" w:rsidRPr="006F236D" w:rsidRDefault="006F236D" w:rsidP="003F42DC">
      <w:pPr>
        <w:pStyle w:val="Odstavecseseznamem"/>
        <w:numPr>
          <w:ilvl w:val="0"/>
          <w:numId w:val="84"/>
        </w:numPr>
        <w:tabs>
          <w:tab w:val="left" w:pos="709"/>
        </w:tabs>
        <w:rPr>
          <w:rFonts w:cs="Arial"/>
        </w:rPr>
      </w:pPr>
      <w:r w:rsidRPr="006F236D">
        <w:rPr>
          <w:rFonts w:cs="Arial"/>
        </w:rPr>
        <w:t>Projekt je svým zaměřením v souladu s cíli a podporovanými aktivitami výzvy.</w:t>
      </w:r>
    </w:p>
    <w:p w:rsidR="006F236D" w:rsidRPr="00F76072" w:rsidRDefault="006F236D" w:rsidP="003F42DC">
      <w:pPr>
        <w:pStyle w:val="Odstavecseseznamem"/>
        <w:numPr>
          <w:ilvl w:val="0"/>
          <w:numId w:val="84"/>
        </w:numPr>
        <w:tabs>
          <w:tab w:val="left" w:pos="709"/>
        </w:tabs>
        <w:rPr>
          <w:rFonts w:cs="Arial"/>
        </w:rPr>
      </w:pPr>
      <w:r w:rsidRPr="00F76072">
        <w:rPr>
          <w:rFonts w:cs="Arial"/>
        </w:rPr>
        <w:t>Projekt je v souladu s podmínkami výzvy</w:t>
      </w:r>
    </w:p>
    <w:p w:rsidR="006F236D" w:rsidRPr="008D199D" w:rsidRDefault="006F236D" w:rsidP="003F42DC">
      <w:pPr>
        <w:pStyle w:val="Odstavecseseznamem"/>
        <w:numPr>
          <w:ilvl w:val="0"/>
          <w:numId w:val="84"/>
        </w:numPr>
        <w:tabs>
          <w:tab w:val="left" w:pos="709"/>
        </w:tabs>
        <w:rPr>
          <w:rFonts w:cs="Arial"/>
        </w:rPr>
      </w:pPr>
      <w:r w:rsidRPr="007F70CE">
        <w:rPr>
          <w:rFonts w:cs="Arial"/>
        </w:rPr>
        <w:t>Projekt respektuje minimální a maximální h</w:t>
      </w:r>
      <w:r w:rsidRPr="008D199D">
        <w:rPr>
          <w:rFonts w:cs="Arial"/>
        </w:rPr>
        <w:t>ranici celkových způsobilý</w:t>
      </w:r>
      <w:r w:rsidR="00B44BD3">
        <w:rPr>
          <w:rFonts w:cs="Arial"/>
        </w:rPr>
        <w:t>ch výdajů, pokud jsou stanoveny</w:t>
      </w:r>
      <w:r w:rsidR="00192E4C">
        <w:rPr>
          <w:rFonts w:cs="Arial"/>
        </w:rPr>
        <w:t>.</w:t>
      </w:r>
    </w:p>
    <w:p w:rsidR="006F236D" w:rsidRPr="008D199D" w:rsidRDefault="006F236D" w:rsidP="003F42DC">
      <w:pPr>
        <w:pStyle w:val="Odstavecseseznamem"/>
        <w:numPr>
          <w:ilvl w:val="0"/>
          <w:numId w:val="84"/>
        </w:numPr>
        <w:tabs>
          <w:tab w:val="left" w:pos="709"/>
        </w:tabs>
        <w:rPr>
          <w:rFonts w:cs="Arial"/>
        </w:rPr>
      </w:pPr>
      <w:r w:rsidRPr="004C739E">
        <w:rPr>
          <w:rFonts w:cs="Arial"/>
        </w:rPr>
        <w:t>Projekt respektuje limity způsobilý</w:t>
      </w:r>
      <w:r w:rsidR="00B44BD3">
        <w:rPr>
          <w:rFonts w:cs="Arial"/>
        </w:rPr>
        <w:t>ch výdajů, pokud jsou stanoveny</w:t>
      </w:r>
      <w:r w:rsidR="00192E4C">
        <w:rPr>
          <w:rFonts w:cs="Arial"/>
        </w:rPr>
        <w:t>.</w:t>
      </w:r>
    </w:p>
    <w:p w:rsidR="006F236D" w:rsidRPr="008D199D" w:rsidRDefault="006F236D" w:rsidP="003F42DC">
      <w:pPr>
        <w:pStyle w:val="Odstavecseseznamem"/>
        <w:numPr>
          <w:ilvl w:val="0"/>
          <w:numId w:val="84"/>
        </w:numPr>
        <w:tabs>
          <w:tab w:val="left" w:pos="709"/>
        </w:tabs>
        <w:rPr>
          <w:rFonts w:cs="Arial"/>
        </w:rPr>
      </w:pPr>
      <w:r w:rsidRPr="004C739E">
        <w:rPr>
          <w:rFonts w:cs="Arial"/>
        </w:rPr>
        <w:t>Výs</w:t>
      </w:r>
      <w:r w:rsidR="00B44BD3">
        <w:rPr>
          <w:rFonts w:cs="Arial"/>
        </w:rPr>
        <w:t>ledky projektu jsou udržitelné</w:t>
      </w:r>
      <w:r w:rsidR="00192E4C">
        <w:rPr>
          <w:rFonts w:cs="Arial"/>
        </w:rPr>
        <w:t>.</w:t>
      </w:r>
    </w:p>
    <w:p w:rsidR="006F236D" w:rsidRPr="005130F1" w:rsidRDefault="006F236D" w:rsidP="003F42DC">
      <w:pPr>
        <w:pStyle w:val="Odstavecseseznamem"/>
        <w:numPr>
          <w:ilvl w:val="0"/>
          <w:numId w:val="84"/>
        </w:numPr>
        <w:tabs>
          <w:tab w:val="left" w:pos="709"/>
        </w:tabs>
        <w:rPr>
          <w:rFonts w:cs="Arial"/>
        </w:rPr>
      </w:pPr>
      <w:r w:rsidRPr="004C739E">
        <w:rPr>
          <w:rFonts w:cs="Arial"/>
        </w:rPr>
        <w:t xml:space="preserve">Projekt nemá negativní vliv na žádnou z horizontálních </w:t>
      </w:r>
      <w:r w:rsidRPr="005130F1">
        <w:rPr>
          <w:rFonts w:cs="Arial"/>
        </w:rPr>
        <w:t xml:space="preserve">priorit IROP (udržitelný rozvoj, rovné příležitosti a zákaz diskriminace, rovnost mužů a žen). </w:t>
      </w:r>
    </w:p>
    <w:p w:rsidR="006F236D" w:rsidRDefault="006F236D" w:rsidP="003F42DC">
      <w:pPr>
        <w:pStyle w:val="Odstavecseseznamem"/>
        <w:numPr>
          <w:ilvl w:val="0"/>
          <w:numId w:val="84"/>
        </w:numPr>
        <w:tabs>
          <w:tab w:val="left" w:pos="709"/>
        </w:tabs>
        <w:rPr>
          <w:rFonts w:cs="Arial"/>
        </w:rPr>
      </w:pPr>
      <w:r w:rsidRPr="00556A85">
        <w:rPr>
          <w:rFonts w:cs="Arial"/>
        </w:rPr>
        <w:t>Potřebnost realizace projektu je odůvodněná</w:t>
      </w:r>
      <w:r w:rsidR="00192E4C">
        <w:rPr>
          <w:rFonts w:cs="Arial"/>
        </w:rPr>
        <w:t>.</w:t>
      </w:r>
    </w:p>
    <w:p w:rsidR="00B44BD3" w:rsidRPr="00B44BD3" w:rsidRDefault="00B44BD3" w:rsidP="00B44BD3">
      <w:pPr>
        <w:pStyle w:val="Odstavecseseznamem"/>
        <w:numPr>
          <w:ilvl w:val="0"/>
          <w:numId w:val="84"/>
        </w:numPr>
        <w:tabs>
          <w:tab w:val="left" w:pos="709"/>
        </w:tabs>
        <w:rPr>
          <w:rFonts w:cs="Arial"/>
        </w:rPr>
      </w:pPr>
      <w:r w:rsidRPr="00B44BD3">
        <w:rPr>
          <w:rFonts w:cs="Arial"/>
        </w:rPr>
        <w:t xml:space="preserve">Projekt je v souladu se Strategií sociálního začleňování 2014-2020. </w:t>
      </w:r>
    </w:p>
    <w:p w:rsidR="00B44BD3" w:rsidRPr="00B44BD3" w:rsidRDefault="00B44BD3" w:rsidP="00B44BD3">
      <w:pPr>
        <w:pStyle w:val="Odstavecseseznamem"/>
        <w:numPr>
          <w:ilvl w:val="0"/>
          <w:numId w:val="84"/>
        </w:numPr>
        <w:tabs>
          <w:tab w:val="left" w:pos="709"/>
        </w:tabs>
        <w:rPr>
          <w:rFonts w:cs="Arial"/>
        </w:rPr>
      </w:pPr>
      <w:r w:rsidRPr="00B44BD3">
        <w:rPr>
          <w:rFonts w:cs="Arial"/>
        </w:rPr>
        <w:t>Projekt je v souladu s Národní strategií rozvoje sociálních služeb.</w:t>
      </w:r>
    </w:p>
    <w:p w:rsidR="00B44BD3" w:rsidRPr="00B44BD3" w:rsidRDefault="00B44BD3" w:rsidP="00B44BD3">
      <w:pPr>
        <w:pStyle w:val="Odstavecseseznamem"/>
        <w:numPr>
          <w:ilvl w:val="0"/>
          <w:numId w:val="84"/>
        </w:numPr>
        <w:tabs>
          <w:tab w:val="left" w:pos="709"/>
        </w:tabs>
        <w:rPr>
          <w:rFonts w:cs="Arial"/>
        </w:rPr>
      </w:pPr>
      <w:r w:rsidRPr="00B44BD3">
        <w:rPr>
          <w:rFonts w:cs="Arial"/>
        </w:rPr>
        <w:t>Projekt je v souladu se strategickým plánem sociálního začleňování nebo s komunitním plánem nebo s krajským střednědobým plánem rozvoje sociálních služeb.</w:t>
      </w:r>
    </w:p>
    <w:p w:rsidR="00B44BD3" w:rsidRPr="00B44BD3" w:rsidRDefault="00B44BD3" w:rsidP="00B44BD3">
      <w:pPr>
        <w:pStyle w:val="Odstavecseseznamem"/>
        <w:numPr>
          <w:ilvl w:val="0"/>
          <w:numId w:val="84"/>
        </w:numPr>
        <w:tabs>
          <w:tab w:val="left" w:pos="709"/>
        </w:tabs>
        <w:rPr>
          <w:rFonts w:cs="Arial"/>
        </w:rPr>
      </w:pPr>
      <w:r w:rsidRPr="00B44BD3">
        <w:rPr>
          <w:rFonts w:cs="Arial"/>
        </w:rPr>
        <w:t>Žadatel má zajištěnou administrativní, finanční a provozní kapacitu k realizaci a udržitelnosti projektu.</w:t>
      </w:r>
    </w:p>
    <w:p w:rsidR="00B44BD3" w:rsidRPr="00B44BD3" w:rsidRDefault="00B44BD3" w:rsidP="00B44BD3">
      <w:pPr>
        <w:pStyle w:val="Odstavecseseznamem"/>
        <w:numPr>
          <w:ilvl w:val="0"/>
          <w:numId w:val="84"/>
        </w:numPr>
        <w:tabs>
          <w:tab w:val="left" w:pos="709"/>
        </w:tabs>
        <w:rPr>
          <w:rFonts w:cs="Arial"/>
        </w:rPr>
      </w:pPr>
      <w:r w:rsidRPr="00B44BD3">
        <w:rPr>
          <w:rFonts w:cs="Arial"/>
        </w:rPr>
        <w:t>Výdaje na hlavní aktivity v rozpočtu projektu odpovídají tržním cenám.</w:t>
      </w:r>
    </w:p>
    <w:p w:rsidR="00B44BD3" w:rsidRPr="00B44BD3" w:rsidRDefault="00B44BD3" w:rsidP="00B44BD3">
      <w:pPr>
        <w:pStyle w:val="Odstavecseseznamem"/>
        <w:numPr>
          <w:ilvl w:val="0"/>
          <w:numId w:val="84"/>
        </w:numPr>
        <w:tabs>
          <w:tab w:val="left" w:pos="709"/>
        </w:tabs>
        <w:rPr>
          <w:rFonts w:cs="Arial"/>
        </w:rPr>
      </w:pPr>
      <w:r w:rsidRPr="00B44BD3">
        <w:rPr>
          <w:rFonts w:cs="Arial"/>
        </w:rPr>
        <w:lastRenderedPageBreak/>
        <w:t>Minimálně 85 % způsobilých výdajů projektu je zaměřeno na hlavní aktivity projektu.</w:t>
      </w:r>
    </w:p>
    <w:p w:rsidR="00B44BD3" w:rsidRPr="00B44BD3" w:rsidRDefault="00B44BD3" w:rsidP="00B44BD3">
      <w:pPr>
        <w:pStyle w:val="Odstavecseseznamem"/>
        <w:numPr>
          <w:ilvl w:val="0"/>
          <w:numId w:val="84"/>
        </w:numPr>
        <w:tabs>
          <w:tab w:val="left" w:pos="709"/>
        </w:tabs>
        <w:rPr>
          <w:rFonts w:cs="Arial"/>
        </w:rPr>
      </w:pPr>
      <w:r>
        <w:rPr>
          <w:rFonts w:cs="Arial"/>
        </w:rPr>
        <w:t>p</w:t>
      </w:r>
      <w:r w:rsidRPr="00B44BD3">
        <w:rPr>
          <w:rFonts w:cs="Arial"/>
        </w:rPr>
        <w:t>rojekt s vazbou na schválenou strategii Koordinovaného přístupu k sociálně vyloučeným lokalitám je v souladu s cíli této strategie.</w:t>
      </w:r>
    </w:p>
    <w:p w:rsidR="00B44BD3" w:rsidRPr="00B44BD3" w:rsidRDefault="00B44BD3" w:rsidP="00B44BD3">
      <w:pPr>
        <w:pStyle w:val="Odstavecseseznamem"/>
        <w:numPr>
          <w:ilvl w:val="0"/>
          <w:numId w:val="84"/>
        </w:numPr>
        <w:tabs>
          <w:tab w:val="left" w:pos="709"/>
        </w:tabs>
        <w:rPr>
          <w:rFonts w:cs="Arial"/>
        </w:rPr>
      </w:pPr>
      <w:r w:rsidRPr="00B44BD3">
        <w:rPr>
          <w:rFonts w:cs="Arial"/>
        </w:rPr>
        <w:t>Cílové hodnoty indikátorů odpovídají cílům projektu.</w:t>
      </w:r>
    </w:p>
    <w:p w:rsidR="00B44BD3" w:rsidRDefault="00B44BD3" w:rsidP="003F42DC">
      <w:pPr>
        <w:pStyle w:val="Odstavecseseznamem"/>
        <w:numPr>
          <w:ilvl w:val="0"/>
          <w:numId w:val="84"/>
        </w:numPr>
        <w:tabs>
          <w:tab w:val="left" w:pos="709"/>
        </w:tabs>
        <w:rPr>
          <w:rFonts w:cs="Arial"/>
        </w:rPr>
      </w:pPr>
      <w:r w:rsidRPr="00B44BD3">
        <w:rPr>
          <w:rFonts w:cs="Arial"/>
        </w:rPr>
        <w:t xml:space="preserve">V hodnocení </w:t>
      </w:r>
      <w:proofErr w:type="spellStart"/>
      <w:r w:rsidRPr="00B44BD3">
        <w:rPr>
          <w:rFonts w:cs="Arial"/>
        </w:rPr>
        <w:t>eCBA</w:t>
      </w:r>
      <w:proofErr w:type="spellEnd"/>
      <w:r w:rsidRPr="00B44BD3">
        <w:rPr>
          <w:rFonts w:cs="Arial"/>
        </w:rPr>
        <w:t>/finanční analýze projekt dosáhne minimálně stanovené hodnoty ukazatelů.</w:t>
      </w:r>
    </w:p>
    <w:p w:rsidR="006F236D" w:rsidRDefault="006F236D" w:rsidP="006F236D">
      <w:pPr>
        <w:tabs>
          <w:tab w:val="left" w:pos="709"/>
        </w:tabs>
        <w:rPr>
          <w:rFonts w:cs="Arial"/>
        </w:rPr>
      </w:pPr>
    </w:p>
    <w:p w:rsidR="006F236D" w:rsidRDefault="006F236D" w:rsidP="006F236D">
      <w:pPr>
        <w:tabs>
          <w:tab w:val="left" w:pos="709"/>
        </w:tabs>
        <w:rPr>
          <w:rFonts w:cs="Arial"/>
          <w:b/>
        </w:rPr>
      </w:pPr>
      <w:r w:rsidRPr="004149DB">
        <w:rPr>
          <w:rFonts w:cs="Arial"/>
          <w:b/>
        </w:rPr>
        <w:t>Souhrn všech kritérií pro tuto výzvu:</w:t>
      </w:r>
    </w:p>
    <w:tbl>
      <w:tblPr>
        <w:tblStyle w:val="Mkatabulky1"/>
        <w:tblW w:w="0" w:type="auto"/>
        <w:tblLook w:val="04A0" w:firstRow="1" w:lastRow="0" w:firstColumn="1" w:lastColumn="0" w:noHBand="0" w:noVBand="1"/>
      </w:tblPr>
      <w:tblGrid>
        <w:gridCol w:w="9216"/>
      </w:tblGrid>
      <w:tr w:rsidR="00F76072" w:rsidRPr="00F76072" w:rsidTr="000E2780">
        <w:trPr>
          <w:trHeight w:val="567"/>
        </w:trPr>
        <w:tc>
          <w:tcPr>
            <w:tcW w:w="9216" w:type="dxa"/>
            <w:shd w:val="clear" w:color="auto" w:fill="D9D9D9" w:themeFill="background1" w:themeFillShade="D9"/>
            <w:vAlign w:val="center"/>
          </w:tcPr>
          <w:p w:rsidR="00F76072" w:rsidRPr="00F76072" w:rsidRDefault="00F76072" w:rsidP="00F76072">
            <w:pPr>
              <w:suppressAutoHyphens/>
              <w:spacing w:before="120" w:after="120"/>
              <w:jc w:val="center"/>
              <w:rPr>
                <w:rFonts w:ascii="Arial" w:eastAsia="Batang" w:hAnsi="Arial" w:cs="Arial"/>
                <w:color w:val="000000"/>
                <w:sz w:val="22"/>
                <w:szCs w:val="22"/>
                <w:lang w:eastAsia="en-US"/>
              </w:rPr>
            </w:pPr>
            <w:proofErr w:type="spellStart"/>
            <w:r w:rsidRPr="00F76072">
              <w:rPr>
                <w:rFonts w:eastAsia="Batang" w:cs="Arial"/>
                <w:b/>
                <w:bCs/>
                <w:color w:val="000000"/>
                <w:sz w:val="22"/>
                <w:szCs w:val="22"/>
                <w:lang w:eastAsia="en-US"/>
              </w:rPr>
              <w:t>Kritéria</w:t>
            </w:r>
            <w:proofErr w:type="spellEnd"/>
            <w:r w:rsidRPr="00F76072">
              <w:rPr>
                <w:rFonts w:eastAsia="Batang" w:cs="Arial"/>
                <w:b/>
                <w:bCs/>
                <w:color w:val="000000"/>
                <w:sz w:val="22"/>
                <w:szCs w:val="22"/>
                <w:lang w:eastAsia="en-US"/>
              </w:rPr>
              <w:t xml:space="preserve"> </w:t>
            </w:r>
            <w:proofErr w:type="spellStart"/>
            <w:r w:rsidRPr="00F76072">
              <w:rPr>
                <w:rFonts w:eastAsia="Batang" w:cs="Arial"/>
                <w:b/>
                <w:bCs/>
                <w:color w:val="000000"/>
                <w:sz w:val="22"/>
                <w:szCs w:val="22"/>
                <w:lang w:eastAsia="en-US"/>
              </w:rPr>
              <w:t>formálních</w:t>
            </w:r>
            <w:proofErr w:type="spellEnd"/>
            <w:r w:rsidRPr="00F76072">
              <w:rPr>
                <w:rFonts w:eastAsia="Batang" w:cs="Arial"/>
                <w:b/>
                <w:bCs/>
                <w:color w:val="000000"/>
                <w:sz w:val="22"/>
                <w:szCs w:val="22"/>
                <w:lang w:eastAsia="en-US"/>
              </w:rPr>
              <w:t xml:space="preserve"> </w:t>
            </w:r>
            <w:proofErr w:type="spellStart"/>
            <w:r w:rsidRPr="00F76072">
              <w:rPr>
                <w:rFonts w:eastAsia="Batang" w:cs="Arial"/>
                <w:b/>
                <w:bCs/>
                <w:color w:val="000000"/>
                <w:sz w:val="22"/>
                <w:szCs w:val="22"/>
                <w:lang w:eastAsia="en-US"/>
              </w:rPr>
              <w:t>náležitostí</w:t>
            </w:r>
            <w:proofErr w:type="spellEnd"/>
          </w:p>
        </w:tc>
      </w:tr>
      <w:tr w:rsidR="00F76072" w:rsidRPr="00EC395C" w:rsidTr="000E2780">
        <w:trPr>
          <w:trHeight w:val="567"/>
        </w:trPr>
        <w:tc>
          <w:tcPr>
            <w:tcW w:w="9216" w:type="dxa"/>
            <w:vAlign w:val="center"/>
          </w:tcPr>
          <w:p w:rsidR="00F76072" w:rsidRPr="00EC395C" w:rsidRDefault="00F76072" w:rsidP="00F76072">
            <w:pPr>
              <w:jc w:val="left"/>
              <w:rPr>
                <w:rFonts w:ascii="Cambria" w:hAnsi="Cambria"/>
                <w:sz w:val="22"/>
                <w:szCs w:val="22"/>
                <w:lang w:val="cs-CZ"/>
              </w:rPr>
            </w:pPr>
            <w:r w:rsidRPr="00EC395C">
              <w:rPr>
                <w:rFonts w:ascii="Cambria" w:hAnsi="Cambria"/>
                <w:sz w:val="22"/>
                <w:szCs w:val="22"/>
                <w:lang w:val="cs-CZ"/>
              </w:rPr>
              <w:t>Žádost o podporu je podána v předepsané formě.</w:t>
            </w:r>
          </w:p>
        </w:tc>
      </w:tr>
      <w:tr w:rsidR="00F76072" w:rsidRPr="00EC395C" w:rsidTr="000E2780">
        <w:trPr>
          <w:trHeight w:val="567"/>
        </w:trPr>
        <w:tc>
          <w:tcPr>
            <w:tcW w:w="9216" w:type="dxa"/>
            <w:vAlign w:val="center"/>
          </w:tcPr>
          <w:p w:rsidR="00F76072" w:rsidRPr="00EC395C" w:rsidRDefault="00F76072" w:rsidP="00F76072">
            <w:pPr>
              <w:jc w:val="left"/>
              <w:rPr>
                <w:rFonts w:ascii="Cambria" w:hAnsi="Cambria"/>
                <w:sz w:val="22"/>
                <w:szCs w:val="22"/>
                <w:lang w:val="cs-CZ"/>
              </w:rPr>
            </w:pPr>
            <w:r w:rsidRPr="00EC395C">
              <w:rPr>
                <w:rFonts w:ascii="Cambria" w:hAnsi="Cambria"/>
                <w:sz w:val="22"/>
                <w:szCs w:val="22"/>
                <w:lang w:val="cs-CZ"/>
              </w:rPr>
              <w:t>Žádost o podporu je podepsána oprávněným zástupcem žadatele.</w:t>
            </w:r>
          </w:p>
        </w:tc>
      </w:tr>
      <w:tr w:rsidR="00F76072" w:rsidRPr="00EC395C" w:rsidTr="000E2780">
        <w:trPr>
          <w:trHeight w:val="567"/>
        </w:trPr>
        <w:tc>
          <w:tcPr>
            <w:tcW w:w="9216" w:type="dxa"/>
            <w:vAlign w:val="center"/>
          </w:tcPr>
          <w:p w:rsidR="00F76072" w:rsidRPr="00EC395C" w:rsidRDefault="00F76072" w:rsidP="00F76072">
            <w:pPr>
              <w:jc w:val="left"/>
              <w:rPr>
                <w:rFonts w:ascii="Cambria" w:hAnsi="Cambria"/>
                <w:sz w:val="22"/>
                <w:szCs w:val="22"/>
                <w:lang w:val="cs-CZ"/>
              </w:rPr>
            </w:pPr>
            <w:r w:rsidRPr="00EC395C">
              <w:rPr>
                <w:rFonts w:ascii="Cambria" w:hAnsi="Cambria"/>
                <w:sz w:val="22"/>
                <w:szCs w:val="22"/>
                <w:lang w:val="cs-CZ"/>
              </w:rPr>
              <w:t>Jsou doloženy všechny povinné přílohy a obsahově splňují náležitosti, požadované v dokumentaci k výzvě.</w:t>
            </w:r>
          </w:p>
        </w:tc>
      </w:tr>
    </w:tbl>
    <w:p w:rsidR="00F76072" w:rsidRPr="00EC395C" w:rsidRDefault="00F76072" w:rsidP="006F236D">
      <w:pPr>
        <w:tabs>
          <w:tab w:val="left" w:pos="709"/>
        </w:tabs>
        <w:rPr>
          <w:rFonts w:cs="Arial"/>
          <w:b/>
        </w:rPr>
      </w:pPr>
    </w:p>
    <w:tbl>
      <w:tblPr>
        <w:tblStyle w:val="Mkatabulky2"/>
        <w:tblW w:w="0" w:type="auto"/>
        <w:tblLook w:val="04A0" w:firstRow="1" w:lastRow="0" w:firstColumn="1" w:lastColumn="0" w:noHBand="0" w:noVBand="1"/>
      </w:tblPr>
      <w:tblGrid>
        <w:gridCol w:w="9216"/>
      </w:tblGrid>
      <w:tr w:rsidR="00F76072" w:rsidRPr="00EC395C" w:rsidTr="000E2780">
        <w:trPr>
          <w:trHeight w:val="567"/>
        </w:trPr>
        <w:tc>
          <w:tcPr>
            <w:tcW w:w="9216" w:type="dxa"/>
            <w:shd w:val="clear" w:color="auto" w:fill="D9D9D9" w:themeFill="background1" w:themeFillShade="D9"/>
            <w:vAlign w:val="center"/>
          </w:tcPr>
          <w:p w:rsidR="00F76072" w:rsidRPr="00EC395C" w:rsidRDefault="00F76072" w:rsidP="00F76072">
            <w:pPr>
              <w:suppressAutoHyphens/>
              <w:spacing w:before="120" w:after="120"/>
              <w:jc w:val="center"/>
              <w:rPr>
                <w:rFonts w:ascii="Arial" w:eastAsia="Batang" w:hAnsi="Arial" w:cs="Arial"/>
                <w:color w:val="000000"/>
                <w:sz w:val="22"/>
                <w:szCs w:val="22"/>
                <w:lang w:val="cs-CZ" w:eastAsia="en-US"/>
              </w:rPr>
            </w:pPr>
            <w:r w:rsidRPr="00EC395C">
              <w:rPr>
                <w:rFonts w:eastAsia="Batang" w:cs="Arial"/>
                <w:b/>
                <w:bCs/>
                <w:color w:val="000000"/>
                <w:sz w:val="22"/>
                <w:szCs w:val="22"/>
                <w:lang w:val="cs-CZ" w:eastAsia="en-US"/>
              </w:rPr>
              <w:t>Obecná kritéria přijatelnosti</w:t>
            </w:r>
          </w:p>
        </w:tc>
      </w:tr>
      <w:tr w:rsidR="00F76072" w:rsidRPr="00EC395C" w:rsidTr="000E2780">
        <w:trPr>
          <w:trHeight w:val="567"/>
        </w:trPr>
        <w:tc>
          <w:tcPr>
            <w:tcW w:w="9216" w:type="dxa"/>
            <w:shd w:val="clear" w:color="auto" w:fill="auto"/>
            <w:vAlign w:val="center"/>
          </w:tcPr>
          <w:p w:rsidR="00F76072" w:rsidRPr="00EC395C" w:rsidRDefault="00F76072" w:rsidP="00F76072">
            <w:pPr>
              <w:jc w:val="left"/>
              <w:rPr>
                <w:rFonts w:ascii="Cambria" w:hAnsi="Cambria"/>
                <w:sz w:val="22"/>
                <w:szCs w:val="22"/>
                <w:lang w:val="cs-CZ"/>
              </w:rPr>
            </w:pPr>
            <w:r w:rsidRPr="00EC395C">
              <w:rPr>
                <w:rFonts w:ascii="Cambria" w:hAnsi="Cambria"/>
                <w:sz w:val="22"/>
                <w:szCs w:val="22"/>
                <w:lang w:val="cs-CZ"/>
              </w:rPr>
              <w:t>Projekt je svým zaměřením v souladu s cíli a podporovanými aktivitami výzvy.</w:t>
            </w:r>
          </w:p>
        </w:tc>
      </w:tr>
      <w:tr w:rsidR="00F76072" w:rsidRPr="00EC395C" w:rsidTr="000E2780">
        <w:trPr>
          <w:trHeight w:val="567"/>
        </w:trPr>
        <w:tc>
          <w:tcPr>
            <w:tcW w:w="9216" w:type="dxa"/>
            <w:shd w:val="clear" w:color="auto" w:fill="auto"/>
            <w:vAlign w:val="center"/>
          </w:tcPr>
          <w:p w:rsidR="00F76072" w:rsidRPr="00EC395C" w:rsidRDefault="00F76072" w:rsidP="00F76072">
            <w:pPr>
              <w:jc w:val="left"/>
              <w:rPr>
                <w:rFonts w:ascii="Cambria" w:hAnsi="Cambria"/>
                <w:sz w:val="22"/>
                <w:szCs w:val="22"/>
                <w:lang w:val="cs-CZ"/>
              </w:rPr>
            </w:pPr>
            <w:r w:rsidRPr="00EC395C">
              <w:rPr>
                <w:rFonts w:ascii="Cambria" w:hAnsi="Cambria"/>
                <w:sz w:val="22"/>
                <w:szCs w:val="22"/>
                <w:lang w:val="cs-CZ"/>
              </w:rPr>
              <w:t>Projekt je v souladu s podmínkami výzvy.</w:t>
            </w:r>
          </w:p>
        </w:tc>
      </w:tr>
      <w:tr w:rsidR="00F76072" w:rsidRPr="00EC395C" w:rsidTr="000E2780">
        <w:trPr>
          <w:trHeight w:val="567"/>
        </w:trPr>
        <w:tc>
          <w:tcPr>
            <w:tcW w:w="9216" w:type="dxa"/>
            <w:shd w:val="clear" w:color="auto" w:fill="auto"/>
            <w:vAlign w:val="center"/>
          </w:tcPr>
          <w:p w:rsidR="00F76072" w:rsidRPr="00EC395C" w:rsidRDefault="00F76072" w:rsidP="00F76072">
            <w:pPr>
              <w:jc w:val="left"/>
              <w:rPr>
                <w:rFonts w:ascii="Cambria" w:hAnsi="Cambria"/>
                <w:sz w:val="22"/>
                <w:szCs w:val="22"/>
                <w:lang w:val="cs-CZ"/>
              </w:rPr>
            </w:pPr>
            <w:r w:rsidRPr="00EC395C">
              <w:rPr>
                <w:rFonts w:ascii="Cambria" w:hAnsi="Cambria"/>
                <w:sz w:val="22"/>
                <w:szCs w:val="22"/>
                <w:lang w:val="cs-CZ"/>
              </w:rPr>
              <w:t>Žadatel splňuje definici oprávněného příjemce pro příslušný specifický cíl a výzvu.</w:t>
            </w:r>
          </w:p>
        </w:tc>
      </w:tr>
      <w:tr w:rsidR="00F76072" w:rsidRPr="00EC395C" w:rsidTr="000E2780">
        <w:trPr>
          <w:trHeight w:val="567"/>
        </w:trPr>
        <w:tc>
          <w:tcPr>
            <w:tcW w:w="9216" w:type="dxa"/>
            <w:shd w:val="clear" w:color="auto" w:fill="auto"/>
            <w:vAlign w:val="center"/>
          </w:tcPr>
          <w:p w:rsidR="00F76072" w:rsidRPr="00EC395C" w:rsidRDefault="00F76072" w:rsidP="00F76072">
            <w:pPr>
              <w:jc w:val="left"/>
              <w:rPr>
                <w:rFonts w:ascii="Cambria" w:hAnsi="Cambria"/>
                <w:sz w:val="22"/>
                <w:szCs w:val="22"/>
                <w:lang w:val="cs-CZ"/>
              </w:rPr>
            </w:pPr>
            <w:r w:rsidRPr="00EC395C">
              <w:rPr>
                <w:rFonts w:ascii="Cambria" w:hAnsi="Cambria"/>
                <w:sz w:val="22"/>
                <w:szCs w:val="22"/>
                <w:lang w:val="cs-CZ"/>
              </w:rPr>
              <w:t>Projekt respektuje minimální a maximální hranici celkových způsobilých výdajů, pokud jsou stanoveny.</w:t>
            </w:r>
          </w:p>
        </w:tc>
      </w:tr>
      <w:tr w:rsidR="00F76072" w:rsidRPr="00EC395C" w:rsidTr="000E2780">
        <w:trPr>
          <w:trHeight w:val="567"/>
        </w:trPr>
        <w:tc>
          <w:tcPr>
            <w:tcW w:w="9216" w:type="dxa"/>
            <w:shd w:val="clear" w:color="auto" w:fill="auto"/>
            <w:vAlign w:val="center"/>
          </w:tcPr>
          <w:p w:rsidR="00F76072" w:rsidRPr="00EC395C" w:rsidRDefault="00F76072" w:rsidP="00F76072">
            <w:pPr>
              <w:jc w:val="left"/>
              <w:rPr>
                <w:rFonts w:ascii="Cambria" w:hAnsi="Cambria"/>
                <w:sz w:val="22"/>
                <w:szCs w:val="22"/>
                <w:lang w:val="cs-CZ"/>
              </w:rPr>
            </w:pPr>
            <w:r w:rsidRPr="00EC395C">
              <w:rPr>
                <w:rFonts w:ascii="Cambria" w:hAnsi="Cambria"/>
                <w:sz w:val="22"/>
                <w:szCs w:val="22"/>
                <w:lang w:val="cs-CZ"/>
              </w:rPr>
              <w:t>Projekt respektuje limity způsobilých výdajů, pokud jsou stanoveny.</w:t>
            </w:r>
          </w:p>
        </w:tc>
      </w:tr>
      <w:tr w:rsidR="00F76072" w:rsidRPr="00EC395C" w:rsidTr="000E2780">
        <w:trPr>
          <w:trHeight w:val="567"/>
        </w:trPr>
        <w:tc>
          <w:tcPr>
            <w:tcW w:w="9216" w:type="dxa"/>
            <w:shd w:val="clear" w:color="auto" w:fill="auto"/>
            <w:vAlign w:val="center"/>
          </w:tcPr>
          <w:p w:rsidR="00F76072" w:rsidRPr="00EC395C" w:rsidRDefault="00F76072" w:rsidP="00F76072">
            <w:pPr>
              <w:jc w:val="left"/>
              <w:rPr>
                <w:rFonts w:ascii="Cambria" w:hAnsi="Cambria"/>
                <w:sz w:val="22"/>
                <w:szCs w:val="22"/>
                <w:lang w:val="cs-CZ"/>
              </w:rPr>
            </w:pPr>
            <w:r w:rsidRPr="00EC395C">
              <w:rPr>
                <w:rFonts w:ascii="Cambria" w:hAnsi="Cambria"/>
                <w:sz w:val="22"/>
                <w:szCs w:val="22"/>
                <w:lang w:val="cs-CZ"/>
              </w:rPr>
              <w:t>Výsledky projektu jsou udržitelné.</w:t>
            </w:r>
          </w:p>
        </w:tc>
      </w:tr>
      <w:tr w:rsidR="00F76072" w:rsidRPr="00EC395C" w:rsidTr="000E2780">
        <w:trPr>
          <w:trHeight w:val="567"/>
        </w:trPr>
        <w:tc>
          <w:tcPr>
            <w:tcW w:w="9216" w:type="dxa"/>
            <w:shd w:val="clear" w:color="auto" w:fill="auto"/>
            <w:vAlign w:val="center"/>
          </w:tcPr>
          <w:p w:rsidR="00F76072" w:rsidRPr="00EC395C" w:rsidRDefault="00F76072" w:rsidP="00F76072">
            <w:pPr>
              <w:jc w:val="left"/>
              <w:rPr>
                <w:rFonts w:ascii="Cambria" w:hAnsi="Cambria"/>
                <w:sz w:val="22"/>
                <w:szCs w:val="22"/>
                <w:lang w:val="cs-CZ"/>
              </w:rPr>
            </w:pPr>
            <w:r w:rsidRPr="00EC395C">
              <w:rPr>
                <w:rFonts w:ascii="Cambria" w:hAnsi="Cambria"/>
                <w:sz w:val="22"/>
                <w:szCs w:val="22"/>
                <w:lang w:val="cs-CZ"/>
              </w:rPr>
              <w:t>Projekt nemá negativní vliv na žádnou z horizontálních priorit IROP (udržitelný rozvoj, rovné příležitosti a zákaz diskriminace, rovnost mužů a žen).</w:t>
            </w:r>
          </w:p>
        </w:tc>
      </w:tr>
      <w:tr w:rsidR="00F76072" w:rsidRPr="00EC395C" w:rsidTr="000E2780">
        <w:trPr>
          <w:trHeight w:val="567"/>
        </w:trPr>
        <w:tc>
          <w:tcPr>
            <w:tcW w:w="9216" w:type="dxa"/>
            <w:shd w:val="clear" w:color="auto" w:fill="auto"/>
            <w:vAlign w:val="center"/>
          </w:tcPr>
          <w:p w:rsidR="00F76072" w:rsidRPr="00EC395C" w:rsidRDefault="00F76072" w:rsidP="00F76072">
            <w:pPr>
              <w:jc w:val="left"/>
              <w:rPr>
                <w:rFonts w:ascii="Cambria" w:hAnsi="Cambria"/>
                <w:sz w:val="22"/>
                <w:szCs w:val="22"/>
                <w:lang w:val="cs-CZ"/>
              </w:rPr>
            </w:pPr>
            <w:r w:rsidRPr="00EC395C">
              <w:rPr>
                <w:rFonts w:ascii="Cambria" w:hAnsi="Cambria"/>
                <w:sz w:val="22"/>
                <w:szCs w:val="22"/>
                <w:lang w:val="cs-CZ"/>
              </w:rPr>
              <w:t>Potřebnost realizace projektu je odůvodněná.</w:t>
            </w:r>
          </w:p>
        </w:tc>
      </w:tr>
      <w:tr w:rsidR="00F76072" w:rsidRPr="00EC395C" w:rsidTr="000E2780">
        <w:trPr>
          <w:trHeight w:val="567"/>
        </w:trPr>
        <w:tc>
          <w:tcPr>
            <w:tcW w:w="9216" w:type="dxa"/>
            <w:shd w:val="clear" w:color="auto" w:fill="auto"/>
            <w:vAlign w:val="center"/>
          </w:tcPr>
          <w:p w:rsidR="00F76072" w:rsidRPr="00EC395C" w:rsidRDefault="00F76072" w:rsidP="00F76072">
            <w:pPr>
              <w:jc w:val="left"/>
              <w:rPr>
                <w:b/>
                <w:bCs/>
                <w:sz w:val="22"/>
                <w:szCs w:val="22"/>
                <w:lang w:val="cs-CZ"/>
              </w:rPr>
            </w:pPr>
            <w:r w:rsidRPr="00EC395C">
              <w:rPr>
                <w:rFonts w:ascii="Cambria" w:hAnsi="Cambria"/>
                <w:sz w:val="22"/>
                <w:szCs w:val="22"/>
                <w:lang w:val="cs-CZ"/>
              </w:rPr>
              <w:t>Projekt je v souladu s pravidly veřejné podpory.</w:t>
            </w:r>
          </w:p>
        </w:tc>
      </w:tr>
      <w:tr w:rsidR="00F76072" w:rsidRPr="00EC395C" w:rsidTr="000E2780">
        <w:trPr>
          <w:trHeight w:val="567"/>
        </w:trPr>
        <w:tc>
          <w:tcPr>
            <w:tcW w:w="9216" w:type="dxa"/>
            <w:shd w:val="clear" w:color="auto" w:fill="auto"/>
            <w:vAlign w:val="center"/>
          </w:tcPr>
          <w:p w:rsidR="00F76072" w:rsidRPr="00EC395C" w:rsidRDefault="00F76072" w:rsidP="00F76072">
            <w:pPr>
              <w:jc w:val="left"/>
              <w:rPr>
                <w:rFonts w:ascii="Cambria" w:hAnsi="Cambria"/>
                <w:sz w:val="22"/>
                <w:szCs w:val="22"/>
                <w:lang w:val="cs-CZ"/>
              </w:rPr>
            </w:pPr>
            <w:r w:rsidRPr="00EC395C">
              <w:rPr>
                <w:rFonts w:ascii="Cambria" w:hAnsi="Cambria"/>
                <w:sz w:val="22"/>
                <w:szCs w:val="22"/>
                <w:lang w:val="cs-CZ"/>
              </w:rPr>
              <w:t>Statutární zástupce žadatele je trestně bezúhonný.</w:t>
            </w:r>
          </w:p>
        </w:tc>
      </w:tr>
    </w:tbl>
    <w:p w:rsidR="006F236D" w:rsidRDefault="006F236D" w:rsidP="006F236D">
      <w:pPr>
        <w:tabs>
          <w:tab w:val="left" w:pos="709"/>
        </w:tabs>
        <w:rPr>
          <w:rFonts w:cs="Arial"/>
        </w:rPr>
      </w:pPr>
    </w:p>
    <w:p w:rsidR="00EC395C" w:rsidRDefault="00EC395C" w:rsidP="006F236D">
      <w:pPr>
        <w:tabs>
          <w:tab w:val="left" w:pos="709"/>
        </w:tabs>
        <w:rPr>
          <w:rFonts w:cs="Arial"/>
        </w:rPr>
      </w:pPr>
    </w:p>
    <w:p w:rsidR="00EC395C" w:rsidRPr="006F236D" w:rsidRDefault="00EC395C" w:rsidP="006F236D">
      <w:pPr>
        <w:tabs>
          <w:tab w:val="left" w:pos="709"/>
        </w:tabs>
        <w:rPr>
          <w:rFonts w:cs="Arial"/>
        </w:rPr>
      </w:pP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3419"/>
        <w:gridCol w:w="5791"/>
      </w:tblGrid>
      <w:tr w:rsidR="004F1FF1" w:rsidRPr="0095042D" w:rsidTr="00F1297F">
        <w:trPr>
          <w:trHeight w:val="248"/>
        </w:trPr>
        <w:tc>
          <w:tcPr>
            <w:tcW w:w="3419"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4F1FF1" w:rsidRPr="008807E3" w:rsidRDefault="004F1FF1" w:rsidP="008807E3">
            <w:pPr>
              <w:jc w:val="center"/>
              <w:rPr>
                <w:b/>
                <w:sz w:val="22"/>
                <w:szCs w:val="22"/>
                <w:lang w:eastAsia="en-US"/>
              </w:rPr>
            </w:pPr>
            <w:r w:rsidRPr="008807E3">
              <w:rPr>
                <w:b/>
                <w:sz w:val="22"/>
                <w:szCs w:val="22"/>
                <w:lang w:eastAsia="en-US"/>
              </w:rPr>
              <w:lastRenderedPageBreak/>
              <w:t>Specifická kritéria přijatelnosti</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rsidR="004F1FF1" w:rsidRPr="008807E3" w:rsidRDefault="004F1FF1" w:rsidP="008807E3">
            <w:pPr>
              <w:jc w:val="center"/>
              <w:rPr>
                <w:b/>
                <w:sz w:val="22"/>
                <w:szCs w:val="22"/>
                <w:lang w:eastAsia="cs-CZ"/>
              </w:rPr>
            </w:pPr>
            <w:r w:rsidRPr="008807E3">
              <w:rPr>
                <w:b/>
                <w:sz w:val="22"/>
                <w:szCs w:val="22"/>
                <w:lang w:eastAsia="cs-CZ"/>
              </w:rPr>
              <w:t>Hodnocení (ANO/NE)</w:t>
            </w:r>
          </w:p>
        </w:tc>
      </w:tr>
      <w:tr w:rsidR="004F1FF1" w:rsidRPr="0095042D" w:rsidTr="00F1297F">
        <w:trPr>
          <w:trHeight w:val="248"/>
        </w:trPr>
        <w:tc>
          <w:tcPr>
            <w:tcW w:w="3419"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4F1FF1" w:rsidRPr="008D6974" w:rsidRDefault="00EA6435" w:rsidP="009878E4">
            <w:pPr>
              <w:jc w:val="left"/>
              <w:rPr>
                <w:sz w:val="22"/>
                <w:szCs w:val="22"/>
                <w:lang w:eastAsia="en-US"/>
              </w:rPr>
            </w:pPr>
            <w:r w:rsidRPr="008D6974">
              <w:rPr>
                <w:rFonts w:cs="Arial"/>
                <w:bCs/>
                <w:sz w:val="22"/>
                <w:szCs w:val="22"/>
              </w:rPr>
              <w:t>Projekt je v souladu se Strategií sociálního začleňování 2014-2020.</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rsidR="00EA6435" w:rsidRPr="008D6974" w:rsidRDefault="00EA6435" w:rsidP="00EA6435">
            <w:pPr>
              <w:jc w:val="left"/>
              <w:rPr>
                <w:sz w:val="22"/>
                <w:szCs w:val="22"/>
              </w:rPr>
            </w:pPr>
            <w:r w:rsidRPr="008D6974">
              <w:rPr>
                <w:sz w:val="22"/>
                <w:szCs w:val="22"/>
              </w:rPr>
              <w:t>ANO - Ve studii proveditelnosti je uvedena vazba na ustanovení Strategie sociálního začleňování 2014-2020.</w:t>
            </w:r>
          </w:p>
          <w:p w:rsidR="004F1FF1" w:rsidRPr="008807E3" w:rsidRDefault="00EA6435" w:rsidP="009878E4">
            <w:pPr>
              <w:jc w:val="left"/>
              <w:rPr>
                <w:sz w:val="22"/>
                <w:szCs w:val="22"/>
                <w:lang w:eastAsia="cs-CZ"/>
              </w:rPr>
            </w:pPr>
            <w:r w:rsidRPr="008D6974">
              <w:rPr>
                <w:sz w:val="22"/>
                <w:szCs w:val="22"/>
              </w:rPr>
              <w:t>NE - Ve studii proveditelnosti chybí, není zřejmá nebo je chybná vazba projektu na Strategii sociálního začleňování 2014-2020.</w:t>
            </w:r>
          </w:p>
        </w:tc>
      </w:tr>
      <w:tr w:rsidR="004F1FF1" w:rsidRPr="0095042D" w:rsidTr="00F1297F">
        <w:trPr>
          <w:trHeight w:val="248"/>
        </w:trPr>
        <w:tc>
          <w:tcPr>
            <w:tcW w:w="3419"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4F1FF1" w:rsidRPr="008D6974" w:rsidRDefault="00EA6435" w:rsidP="009878E4">
            <w:pPr>
              <w:jc w:val="left"/>
              <w:rPr>
                <w:sz w:val="22"/>
                <w:szCs w:val="22"/>
                <w:lang w:eastAsia="en-US"/>
              </w:rPr>
            </w:pPr>
            <w:r w:rsidRPr="008D6974">
              <w:rPr>
                <w:rFonts w:cs="Arial"/>
                <w:bCs/>
                <w:sz w:val="22"/>
                <w:szCs w:val="22"/>
              </w:rPr>
              <w:t>Projekt je v souladu s Národní strategií rozvoje sociálních služeb.</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rsidR="00EA6435" w:rsidRPr="00F1297F" w:rsidRDefault="00EA6435" w:rsidP="00EA6435">
            <w:pPr>
              <w:jc w:val="left"/>
              <w:rPr>
                <w:color w:val="000000" w:themeColor="text1"/>
                <w:sz w:val="22"/>
                <w:szCs w:val="22"/>
              </w:rPr>
            </w:pPr>
            <w:r w:rsidRPr="00F1297F">
              <w:rPr>
                <w:color w:val="000000" w:themeColor="text1"/>
                <w:sz w:val="22"/>
                <w:szCs w:val="22"/>
              </w:rPr>
              <w:t>ANO – Ve studii proveditelnosti je uvedena vazba na ustanovení Národní strategie rozvoje sociálních služeb pro rok 2015, nebo na aktuální národní strategii v oblasti sociálních služeb.</w:t>
            </w:r>
          </w:p>
          <w:p w:rsidR="004F1FF1" w:rsidRPr="008807E3" w:rsidDel="004741D5" w:rsidRDefault="00EA6435" w:rsidP="009878E4">
            <w:pPr>
              <w:jc w:val="left"/>
              <w:rPr>
                <w:sz w:val="22"/>
                <w:szCs w:val="22"/>
                <w:lang w:eastAsia="cs-CZ"/>
              </w:rPr>
            </w:pPr>
            <w:r w:rsidRPr="00F1297F">
              <w:rPr>
                <w:color w:val="000000" w:themeColor="text1"/>
                <w:sz w:val="22"/>
                <w:szCs w:val="22"/>
              </w:rPr>
              <w:t>NE -  Ve studii proveditelnosti chybí, nebo není zřejmá vazba projektu na Národní strategii rozvoje sociálních služeb pro rok 2015, nebo na aktuální národní strategii v oblasti sociálních služeb.</w:t>
            </w:r>
          </w:p>
        </w:tc>
      </w:tr>
      <w:tr w:rsidR="004F1FF1" w:rsidRPr="0095042D" w:rsidTr="00F1297F">
        <w:trPr>
          <w:trHeight w:val="248"/>
        </w:trPr>
        <w:tc>
          <w:tcPr>
            <w:tcW w:w="3419" w:type="dxa"/>
            <w:tcBorders>
              <w:top w:val="single" w:sz="4" w:space="0" w:color="auto"/>
              <w:left w:val="single" w:sz="8" w:space="0" w:color="auto"/>
              <w:bottom w:val="single" w:sz="4" w:space="0" w:color="auto"/>
              <w:right w:val="single" w:sz="4" w:space="0" w:color="auto"/>
            </w:tcBorders>
            <w:shd w:val="clear" w:color="auto" w:fill="auto"/>
            <w:vAlign w:val="center"/>
          </w:tcPr>
          <w:p w:rsidR="004F1FF1" w:rsidRPr="008D6974" w:rsidRDefault="00EA6435" w:rsidP="009878E4">
            <w:pPr>
              <w:jc w:val="left"/>
              <w:rPr>
                <w:sz w:val="22"/>
                <w:szCs w:val="22"/>
                <w:lang w:eastAsia="en-US"/>
              </w:rPr>
            </w:pPr>
            <w:r w:rsidRPr="008D6974">
              <w:rPr>
                <w:rFonts w:cs="Arial"/>
                <w:bCs/>
                <w:sz w:val="22"/>
                <w:szCs w:val="22"/>
              </w:rPr>
              <w:t>Projekt je v souladu se strategickým plánem sociálního začleňování nebo s komunitním plánem nebo s krajským střednědobým plánem rozvoje sociálních služeb.</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rsidR="00EA6435" w:rsidRPr="008D6974" w:rsidRDefault="00EA6435" w:rsidP="00EA6435">
            <w:pPr>
              <w:jc w:val="left"/>
              <w:rPr>
                <w:sz w:val="22"/>
                <w:szCs w:val="22"/>
              </w:rPr>
            </w:pPr>
            <w:r w:rsidRPr="008D6974">
              <w:rPr>
                <w:sz w:val="22"/>
                <w:szCs w:val="22"/>
              </w:rPr>
              <w:t>ANO - Projekt je v souladu se strategickým plánem sociálního začleňování nebo s komunitním plánem nebo s krajským střednědobým plánem rozvoje sociálních služeb.</w:t>
            </w:r>
          </w:p>
          <w:p w:rsidR="004F1FF1" w:rsidRPr="008807E3" w:rsidRDefault="00EA6435" w:rsidP="009878E4">
            <w:pPr>
              <w:jc w:val="left"/>
              <w:rPr>
                <w:sz w:val="22"/>
                <w:szCs w:val="22"/>
                <w:lang w:eastAsia="cs-CZ"/>
              </w:rPr>
            </w:pPr>
            <w:r w:rsidRPr="008D6974">
              <w:rPr>
                <w:sz w:val="22"/>
                <w:szCs w:val="22"/>
              </w:rPr>
              <w:t>NE - Projekt není v souladu se strategickým plánem sociálního začleňování ani s komunitním plánem ani s krajským střednědobým plánem rozvoje sociálních služeb.</w:t>
            </w:r>
          </w:p>
        </w:tc>
      </w:tr>
      <w:tr w:rsidR="004F1FF1" w:rsidRPr="0095042D" w:rsidTr="00F1297F">
        <w:trPr>
          <w:trHeight w:val="248"/>
        </w:trPr>
        <w:tc>
          <w:tcPr>
            <w:tcW w:w="3419" w:type="dxa"/>
            <w:tcBorders>
              <w:top w:val="single" w:sz="4" w:space="0" w:color="auto"/>
              <w:left w:val="single" w:sz="8" w:space="0" w:color="auto"/>
              <w:bottom w:val="single" w:sz="4" w:space="0" w:color="auto"/>
              <w:right w:val="single" w:sz="4" w:space="0" w:color="auto"/>
            </w:tcBorders>
            <w:shd w:val="clear" w:color="auto" w:fill="auto"/>
            <w:vAlign w:val="center"/>
          </w:tcPr>
          <w:p w:rsidR="004F1FF1" w:rsidRPr="008D6974" w:rsidRDefault="00EA6435" w:rsidP="009878E4">
            <w:pPr>
              <w:jc w:val="left"/>
              <w:rPr>
                <w:sz w:val="22"/>
                <w:szCs w:val="22"/>
                <w:lang w:eastAsia="en-US"/>
              </w:rPr>
            </w:pPr>
            <w:r w:rsidRPr="008D6974">
              <w:rPr>
                <w:rFonts w:cs="Arial"/>
                <w:bCs/>
                <w:sz w:val="22"/>
                <w:szCs w:val="22"/>
              </w:rPr>
              <w:t>Poskytované služby jsou uvedené v zákoně o sociálních službách.</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rsidR="00EA6435" w:rsidRPr="008D6974" w:rsidRDefault="00EA6435" w:rsidP="00EA6435">
            <w:pPr>
              <w:jc w:val="left"/>
              <w:rPr>
                <w:color w:val="000000" w:themeColor="text1"/>
                <w:sz w:val="22"/>
                <w:szCs w:val="22"/>
              </w:rPr>
            </w:pPr>
            <w:r w:rsidRPr="008D6974">
              <w:rPr>
                <w:color w:val="000000" w:themeColor="text1"/>
                <w:sz w:val="22"/>
                <w:szCs w:val="22"/>
              </w:rPr>
              <w:t>ANO - Poskytované služby jsou uvedené v účinném zákoně o sociálních službách.</w:t>
            </w:r>
          </w:p>
          <w:p w:rsidR="00EA6435" w:rsidRPr="008D6974" w:rsidRDefault="00EA6435" w:rsidP="00EA6435">
            <w:pPr>
              <w:jc w:val="left"/>
              <w:rPr>
                <w:color w:val="000000" w:themeColor="text1"/>
                <w:sz w:val="22"/>
                <w:szCs w:val="22"/>
              </w:rPr>
            </w:pPr>
            <w:r w:rsidRPr="008D6974">
              <w:rPr>
                <w:color w:val="000000" w:themeColor="text1"/>
                <w:sz w:val="22"/>
                <w:szCs w:val="22"/>
              </w:rPr>
              <w:t>NE - Poskytované služby nejsou uvedené v účinném zákoně o sociálních službách.</w:t>
            </w:r>
          </w:p>
          <w:p w:rsidR="004F1FF1" w:rsidRPr="008D6974" w:rsidDel="004741D5" w:rsidRDefault="004F1FF1" w:rsidP="009878E4">
            <w:pPr>
              <w:jc w:val="left"/>
              <w:rPr>
                <w:sz w:val="22"/>
                <w:szCs w:val="22"/>
                <w:lang w:eastAsia="cs-CZ"/>
              </w:rPr>
            </w:pPr>
          </w:p>
        </w:tc>
      </w:tr>
      <w:tr w:rsidR="004F1FF1" w:rsidRPr="0095042D" w:rsidTr="00F1297F">
        <w:trPr>
          <w:trHeight w:val="248"/>
        </w:trPr>
        <w:tc>
          <w:tcPr>
            <w:tcW w:w="3419" w:type="dxa"/>
            <w:tcBorders>
              <w:top w:val="single" w:sz="4" w:space="0" w:color="auto"/>
              <w:left w:val="single" w:sz="8" w:space="0" w:color="auto"/>
              <w:bottom w:val="single" w:sz="4" w:space="0" w:color="auto"/>
              <w:right w:val="single" w:sz="4" w:space="0" w:color="auto"/>
            </w:tcBorders>
            <w:shd w:val="clear" w:color="auto" w:fill="auto"/>
            <w:vAlign w:val="center"/>
          </w:tcPr>
          <w:p w:rsidR="004F1FF1" w:rsidRPr="008807E3" w:rsidRDefault="004F1FF1" w:rsidP="009878E4">
            <w:pPr>
              <w:jc w:val="left"/>
              <w:rPr>
                <w:sz w:val="22"/>
                <w:szCs w:val="22"/>
                <w:lang w:eastAsia="en-US"/>
              </w:rPr>
            </w:pPr>
            <w:r w:rsidRPr="008807E3">
              <w:rPr>
                <w:sz w:val="22"/>
                <w:szCs w:val="22"/>
                <w:lang w:eastAsia="en-US"/>
              </w:rPr>
              <w:t>Žadatel má zajištěnou administrativní, finanční a provozní kapacitu k realizaci a udržitelnosti projektu.</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rsidR="004F1FF1" w:rsidRPr="008807E3" w:rsidRDefault="004F1FF1" w:rsidP="009878E4">
            <w:pPr>
              <w:jc w:val="left"/>
              <w:rPr>
                <w:sz w:val="22"/>
                <w:szCs w:val="22"/>
                <w:lang w:eastAsia="cs-CZ"/>
              </w:rPr>
            </w:pPr>
            <w:r w:rsidRPr="008807E3">
              <w:rPr>
                <w:sz w:val="22"/>
                <w:szCs w:val="22"/>
                <w:lang w:eastAsia="cs-CZ"/>
              </w:rPr>
              <w:t>ANO - Žadatel má zajištěnou administrativní, finanční a provozní kapacitu k realizaci a udržitelnosti projektu.</w:t>
            </w:r>
          </w:p>
          <w:p w:rsidR="004F1FF1" w:rsidRPr="008807E3" w:rsidRDefault="004F1FF1" w:rsidP="009878E4">
            <w:pPr>
              <w:jc w:val="left"/>
              <w:rPr>
                <w:sz w:val="22"/>
                <w:szCs w:val="22"/>
                <w:lang w:eastAsia="cs-CZ"/>
              </w:rPr>
            </w:pPr>
            <w:r w:rsidRPr="008807E3">
              <w:rPr>
                <w:sz w:val="22"/>
                <w:szCs w:val="22"/>
                <w:lang w:eastAsia="cs-CZ"/>
              </w:rPr>
              <w:t>NE - Žadatel nemá zajištěnou administrativní, finanční a provozní kapacitu k realizaci a udržitelnosti projektu.</w:t>
            </w:r>
          </w:p>
        </w:tc>
      </w:tr>
      <w:tr w:rsidR="004F1FF1" w:rsidRPr="0095042D" w:rsidTr="00F1297F">
        <w:trPr>
          <w:trHeight w:val="248"/>
        </w:trPr>
        <w:tc>
          <w:tcPr>
            <w:tcW w:w="3419" w:type="dxa"/>
            <w:tcBorders>
              <w:top w:val="single" w:sz="4" w:space="0" w:color="auto"/>
              <w:left w:val="single" w:sz="8" w:space="0" w:color="auto"/>
              <w:bottom w:val="single" w:sz="4" w:space="0" w:color="auto"/>
              <w:right w:val="single" w:sz="4" w:space="0" w:color="auto"/>
            </w:tcBorders>
            <w:shd w:val="clear" w:color="auto" w:fill="auto"/>
            <w:vAlign w:val="center"/>
          </w:tcPr>
          <w:p w:rsidR="004F1FF1" w:rsidRPr="008807E3" w:rsidRDefault="004F1FF1" w:rsidP="009878E4">
            <w:pPr>
              <w:jc w:val="left"/>
              <w:rPr>
                <w:sz w:val="22"/>
                <w:szCs w:val="22"/>
                <w:lang w:eastAsia="cs-CZ"/>
              </w:rPr>
            </w:pPr>
          </w:p>
          <w:p w:rsidR="004F1FF1" w:rsidRPr="008807E3" w:rsidRDefault="004F1FF1" w:rsidP="009878E4">
            <w:pPr>
              <w:jc w:val="left"/>
              <w:rPr>
                <w:sz w:val="22"/>
                <w:szCs w:val="22"/>
                <w:lang w:eastAsia="cs-CZ"/>
              </w:rPr>
            </w:pPr>
            <w:r w:rsidRPr="008807E3">
              <w:rPr>
                <w:sz w:val="22"/>
                <w:szCs w:val="22"/>
                <w:lang w:eastAsia="cs-CZ"/>
              </w:rPr>
              <w:t>Výdaje na hlavní aktivity v rozpočtu projektu odpovídají tržním cenám.</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rsidR="004F1FF1" w:rsidRPr="008807E3" w:rsidRDefault="004F1FF1" w:rsidP="009878E4">
            <w:pPr>
              <w:jc w:val="left"/>
              <w:rPr>
                <w:sz w:val="22"/>
                <w:szCs w:val="22"/>
                <w:lang w:eastAsia="cs-CZ"/>
              </w:rPr>
            </w:pPr>
            <w:r w:rsidRPr="008807E3">
              <w:rPr>
                <w:sz w:val="22"/>
                <w:szCs w:val="22"/>
                <w:lang w:eastAsia="cs-CZ"/>
              </w:rPr>
              <w:t>ANO - Výdaje na aktivity v rozpočtu projektu odpovídají tržním cenám.</w:t>
            </w:r>
          </w:p>
          <w:p w:rsidR="004F1FF1" w:rsidRPr="008807E3" w:rsidRDefault="004F1FF1" w:rsidP="009878E4">
            <w:pPr>
              <w:jc w:val="left"/>
              <w:rPr>
                <w:sz w:val="22"/>
                <w:szCs w:val="22"/>
                <w:lang w:eastAsia="cs-CZ"/>
              </w:rPr>
            </w:pPr>
            <w:r w:rsidRPr="008807E3">
              <w:rPr>
                <w:sz w:val="22"/>
                <w:szCs w:val="22"/>
                <w:lang w:eastAsia="cs-CZ"/>
              </w:rPr>
              <w:t>NE - Výdaje na aktivity v rozpočtu projektu neodpovídají tržním cenám.</w:t>
            </w:r>
          </w:p>
        </w:tc>
      </w:tr>
      <w:tr w:rsidR="004F1FF1" w:rsidRPr="0095042D" w:rsidTr="00F1297F">
        <w:trPr>
          <w:trHeight w:val="248"/>
        </w:trPr>
        <w:tc>
          <w:tcPr>
            <w:tcW w:w="3419" w:type="dxa"/>
            <w:tcBorders>
              <w:top w:val="single" w:sz="4" w:space="0" w:color="auto"/>
              <w:left w:val="single" w:sz="8" w:space="0" w:color="auto"/>
              <w:bottom w:val="single" w:sz="4" w:space="0" w:color="auto"/>
              <w:right w:val="single" w:sz="4" w:space="0" w:color="auto"/>
            </w:tcBorders>
            <w:shd w:val="clear" w:color="auto" w:fill="auto"/>
            <w:vAlign w:val="center"/>
          </w:tcPr>
          <w:p w:rsidR="004F1FF1" w:rsidRPr="008807E3" w:rsidRDefault="004F1FF1" w:rsidP="009878E4">
            <w:pPr>
              <w:jc w:val="left"/>
              <w:rPr>
                <w:sz w:val="22"/>
                <w:szCs w:val="22"/>
                <w:lang w:eastAsia="cs-CZ"/>
              </w:rPr>
            </w:pPr>
            <w:r w:rsidRPr="008807E3">
              <w:rPr>
                <w:sz w:val="22"/>
                <w:szCs w:val="22"/>
                <w:lang w:eastAsia="cs-CZ"/>
              </w:rPr>
              <w:t>Minimálně 85 % způsobilých výdajů projektu je zaměřeno na hlavní aktivity projektu.</w:t>
            </w:r>
          </w:p>
          <w:p w:rsidR="004F1FF1" w:rsidRPr="008807E3" w:rsidRDefault="004F1FF1" w:rsidP="009878E4">
            <w:pPr>
              <w:jc w:val="left"/>
              <w:rPr>
                <w:sz w:val="22"/>
                <w:szCs w:val="22"/>
                <w:lang w:eastAsia="en-US"/>
              </w:rPr>
            </w:pPr>
            <w:r w:rsidRPr="008807E3">
              <w:rPr>
                <w:sz w:val="22"/>
                <w:szCs w:val="22"/>
                <w:lang w:eastAsia="en-US"/>
              </w:rPr>
              <w:tab/>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rsidR="004F1FF1" w:rsidRPr="008807E3" w:rsidRDefault="004F1FF1" w:rsidP="009878E4">
            <w:pPr>
              <w:jc w:val="left"/>
              <w:rPr>
                <w:sz w:val="22"/>
                <w:szCs w:val="22"/>
                <w:lang w:eastAsia="cs-CZ"/>
              </w:rPr>
            </w:pPr>
            <w:r w:rsidRPr="008807E3">
              <w:rPr>
                <w:sz w:val="22"/>
                <w:szCs w:val="22"/>
                <w:lang w:eastAsia="cs-CZ"/>
              </w:rPr>
              <w:t>ANO - Z rozpočtu projektu je zřejmé, že minimálně 85 % způsobilých výdajů je zaměřeno na hlavní aktivity projektu.</w:t>
            </w:r>
          </w:p>
          <w:p w:rsidR="004F1FF1" w:rsidRPr="008807E3" w:rsidRDefault="004F1FF1" w:rsidP="009878E4">
            <w:pPr>
              <w:jc w:val="left"/>
              <w:rPr>
                <w:sz w:val="22"/>
                <w:szCs w:val="22"/>
                <w:lang w:eastAsia="cs-CZ"/>
              </w:rPr>
            </w:pPr>
            <w:r w:rsidRPr="008807E3">
              <w:rPr>
                <w:sz w:val="22"/>
                <w:szCs w:val="22"/>
                <w:lang w:eastAsia="cs-CZ"/>
              </w:rPr>
              <w:t>Ne - Rozpočet projektu nemá minimálně 85 % způsobilých výdajů zaměřených na hlavní aktivity projektu.</w:t>
            </w:r>
          </w:p>
        </w:tc>
      </w:tr>
      <w:tr w:rsidR="00EA6435" w:rsidRPr="0095042D" w:rsidTr="00F1297F">
        <w:trPr>
          <w:trHeight w:val="248"/>
        </w:trPr>
        <w:tc>
          <w:tcPr>
            <w:tcW w:w="3419" w:type="dxa"/>
            <w:tcBorders>
              <w:top w:val="single" w:sz="4" w:space="0" w:color="auto"/>
              <w:left w:val="single" w:sz="8" w:space="0" w:color="auto"/>
              <w:bottom w:val="single" w:sz="4" w:space="0" w:color="auto"/>
              <w:right w:val="single" w:sz="4" w:space="0" w:color="auto"/>
            </w:tcBorders>
            <w:shd w:val="clear" w:color="auto" w:fill="auto"/>
            <w:vAlign w:val="center"/>
          </w:tcPr>
          <w:p w:rsidR="00EA6435" w:rsidRPr="00F1297F" w:rsidRDefault="00EA6435" w:rsidP="009878E4">
            <w:pPr>
              <w:jc w:val="left"/>
              <w:rPr>
                <w:sz w:val="22"/>
                <w:szCs w:val="22"/>
                <w:lang w:eastAsia="cs-CZ"/>
              </w:rPr>
            </w:pPr>
            <w:r w:rsidRPr="00F1297F">
              <w:rPr>
                <w:sz w:val="22"/>
                <w:szCs w:val="22"/>
              </w:rPr>
              <w:t xml:space="preserve">Projekt s vazbou na schválenou strategii Koordinovaného přístupu k sociálně vyloučeným lokalitám je </w:t>
            </w:r>
            <w:r w:rsidRPr="00F1297F">
              <w:rPr>
                <w:sz w:val="22"/>
                <w:szCs w:val="22"/>
              </w:rPr>
              <w:lastRenderedPageBreak/>
              <w:t>v souladu s cíli této strategie.</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rsidR="00EA6435" w:rsidRPr="00F1297F" w:rsidRDefault="00EA6435" w:rsidP="00EA6435">
            <w:pPr>
              <w:jc w:val="left"/>
              <w:rPr>
                <w:sz w:val="22"/>
                <w:szCs w:val="22"/>
              </w:rPr>
            </w:pPr>
            <w:r w:rsidRPr="00F1297F">
              <w:rPr>
                <w:sz w:val="22"/>
                <w:szCs w:val="22"/>
              </w:rPr>
              <w:lastRenderedPageBreak/>
              <w:t xml:space="preserve">ANO – Projekt s vazbou na schválenou strategii Koordinovaného přístupu k sociálně vyloučeným lokalitám je v souladu s cíli této strategie. </w:t>
            </w:r>
          </w:p>
          <w:p w:rsidR="00EA6435" w:rsidRPr="00F1297F" w:rsidRDefault="00EA6435" w:rsidP="00EA6435">
            <w:pPr>
              <w:jc w:val="left"/>
              <w:rPr>
                <w:sz w:val="22"/>
                <w:szCs w:val="22"/>
              </w:rPr>
            </w:pPr>
            <w:r w:rsidRPr="00F1297F">
              <w:rPr>
                <w:sz w:val="22"/>
                <w:szCs w:val="22"/>
              </w:rPr>
              <w:lastRenderedPageBreak/>
              <w:t>NE -   Projekt s vazbou na schválenou strategii, Koordinovaného přístupu k sociálně vyloučeným lokalitám není v souladu s cíli této strategie.</w:t>
            </w:r>
          </w:p>
          <w:p w:rsidR="00EA6435" w:rsidRPr="008807E3" w:rsidRDefault="00EA6435" w:rsidP="00EA6435">
            <w:pPr>
              <w:jc w:val="left"/>
              <w:rPr>
                <w:sz w:val="22"/>
                <w:szCs w:val="22"/>
                <w:lang w:eastAsia="cs-CZ"/>
              </w:rPr>
            </w:pPr>
            <w:r w:rsidRPr="00F1297F">
              <w:rPr>
                <w:sz w:val="22"/>
                <w:szCs w:val="22"/>
              </w:rPr>
              <w:t>NERELEVANTNÍ -  Projekt nemá vazbu na schválenou strategii KPSVL.</w:t>
            </w:r>
          </w:p>
        </w:tc>
      </w:tr>
      <w:tr w:rsidR="004F1FF1" w:rsidRPr="0095042D" w:rsidTr="00F1297F">
        <w:trPr>
          <w:trHeight w:val="248"/>
        </w:trPr>
        <w:tc>
          <w:tcPr>
            <w:tcW w:w="3419" w:type="dxa"/>
            <w:tcBorders>
              <w:top w:val="single" w:sz="4" w:space="0" w:color="auto"/>
              <w:left w:val="single" w:sz="8" w:space="0" w:color="auto"/>
              <w:bottom w:val="single" w:sz="4" w:space="0" w:color="auto"/>
              <w:right w:val="single" w:sz="4" w:space="0" w:color="auto"/>
            </w:tcBorders>
            <w:shd w:val="clear" w:color="auto" w:fill="auto"/>
            <w:vAlign w:val="center"/>
          </w:tcPr>
          <w:p w:rsidR="004F1FF1" w:rsidRPr="008807E3" w:rsidRDefault="004F1FF1" w:rsidP="009878E4">
            <w:pPr>
              <w:jc w:val="left"/>
              <w:rPr>
                <w:sz w:val="22"/>
                <w:szCs w:val="22"/>
                <w:lang w:eastAsia="en-US"/>
              </w:rPr>
            </w:pPr>
            <w:r w:rsidRPr="008807E3">
              <w:rPr>
                <w:sz w:val="22"/>
                <w:szCs w:val="22"/>
                <w:lang w:eastAsia="en-US"/>
              </w:rPr>
              <w:lastRenderedPageBreak/>
              <w:t>Cílové hodnoty monitorovacích indikátorů odpovídají cílům projektu.</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rsidR="004F1FF1" w:rsidRPr="008807E3" w:rsidRDefault="004F1FF1" w:rsidP="009878E4">
            <w:pPr>
              <w:jc w:val="left"/>
              <w:rPr>
                <w:sz w:val="22"/>
                <w:szCs w:val="22"/>
                <w:lang w:eastAsia="cs-CZ"/>
              </w:rPr>
            </w:pPr>
            <w:r w:rsidRPr="008807E3">
              <w:rPr>
                <w:sz w:val="22"/>
                <w:szCs w:val="22"/>
                <w:lang w:eastAsia="cs-CZ"/>
              </w:rPr>
              <w:t>ANO - Cílové hodnoty monitorovacích indikátorů odpovídají cílům projektu.</w:t>
            </w:r>
          </w:p>
          <w:p w:rsidR="004F1FF1" w:rsidRPr="008807E3" w:rsidRDefault="004F1FF1" w:rsidP="009878E4">
            <w:pPr>
              <w:jc w:val="left"/>
              <w:rPr>
                <w:sz w:val="22"/>
                <w:szCs w:val="22"/>
                <w:lang w:eastAsia="cs-CZ"/>
              </w:rPr>
            </w:pPr>
            <w:r w:rsidRPr="008807E3">
              <w:rPr>
                <w:sz w:val="22"/>
                <w:szCs w:val="22"/>
                <w:lang w:eastAsia="cs-CZ"/>
              </w:rPr>
              <w:t>NE - Cílové hodnoty monitorovacích indikátorů neodpovídají cílům projektu.</w:t>
            </w:r>
          </w:p>
        </w:tc>
      </w:tr>
      <w:tr w:rsidR="004F1FF1" w:rsidRPr="0095042D" w:rsidTr="00F1297F">
        <w:trPr>
          <w:trHeight w:val="248"/>
        </w:trPr>
        <w:tc>
          <w:tcPr>
            <w:tcW w:w="3419" w:type="dxa"/>
            <w:tcBorders>
              <w:top w:val="single" w:sz="4" w:space="0" w:color="auto"/>
              <w:left w:val="single" w:sz="8" w:space="0" w:color="auto"/>
              <w:bottom w:val="single" w:sz="4" w:space="0" w:color="auto"/>
              <w:right w:val="single" w:sz="4" w:space="0" w:color="auto"/>
            </w:tcBorders>
            <w:shd w:val="clear" w:color="auto" w:fill="auto"/>
            <w:vAlign w:val="center"/>
          </w:tcPr>
          <w:p w:rsidR="004F1FF1" w:rsidRPr="008807E3" w:rsidRDefault="004F1FF1" w:rsidP="009878E4">
            <w:pPr>
              <w:jc w:val="left"/>
              <w:rPr>
                <w:bCs/>
                <w:sz w:val="22"/>
                <w:szCs w:val="22"/>
                <w:lang w:eastAsia="en-US"/>
              </w:rPr>
            </w:pPr>
            <w:r w:rsidRPr="008807E3">
              <w:rPr>
                <w:sz w:val="22"/>
                <w:szCs w:val="22"/>
                <w:lang w:eastAsia="en-US"/>
              </w:rPr>
              <w:t xml:space="preserve">V hodnocení </w:t>
            </w:r>
            <w:proofErr w:type="spellStart"/>
            <w:r w:rsidRPr="008807E3">
              <w:rPr>
                <w:sz w:val="22"/>
                <w:szCs w:val="22"/>
                <w:lang w:eastAsia="en-US"/>
              </w:rPr>
              <w:t>eCBA</w:t>
            </w:r>
            <w:proofErr w:type="spellEnd"/>
            <w:r w:rsidRPr="008807E3">
              <w:rPr>
                <w:sz w:val="22"/>
                <w:szCs w:val="22"/>
                <w:lang w:eastAsia="en-US"/>
              </w:rPr>
              <w:t>/finanční analýze projekt dosáhne minimálně hodnoty ukazatelů, stanovené ve výzvě.</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rsidR="004F1FF1" w:rsidRPr="008807E3" w:rsidRDefault="004F1FF1" w:rsidP="009878E4">
            <w:pPr>
              <w:jc w:val="left"/>
              <w:rPr>
                <w:sz w:val="22"/>
                <w:szCs w:val="22"/>
                <w:lang w:val="de-LU" w:eastAsia="cs-CZ"/>
              </w:rPr>
            </w:pPr>
            <w:r w:rsidRPr="008807E3">
              <w:rPr>
                <w:sz w:val="22"/>
                <w:szCs w:val="22"/>
                <w:lang w:eastAsia="cs-CZ"/>
              </w:rPr>
              <w:t xml:space="preserve">ANO - Projekt dosáhl min. hodnoty ukazatelů. </w:t>
            </w:r>
          </w:p>
          <w:p w:rsidR="004F1FF1" w:rsidRPr="008807E3" w:rsidRDefault="004F1FF1" w:rsidP="009878E4">
            <w:pPr>
              <w:jc w:val="left"/>
              <w:rPr>
                <w:sz w:val="22"/>
                <w:szCs w:val="22"/>
                <w:lang w:eastAsia="cs-CZ"/>
              </w:rPr>
            </w:pPr>
            <w:r w:rsidRPr="008807E3">
              <w:rPr>
                <w:sz w:val="22"/>
                <w:szCs w:val="22"/>
                <w:lang w:eastAsia="cs-CZ"/>
              </w:rPr>
              <w:t xml:space="preserve">NE - Projekt nedosáhl min. hodnoty ukazatelů. </w:t>
            </w:r>
          </w:p>
          <w:p w:rsidR="004F1FF1" w:rsidRPr="008807E3" w:rsidRDefault="004F1FF1" w:rsidP="009878E4">
            <w:pPr>
              <w:jc w:val="left"/>
              <w:rPr>
                <w:sz w:val="22"/>
                <w:szCs w:val="22"/>
                <w:lang w:eastAsia="cs-CZ"/>
              </w:rPr>
            </w:pPr>
            <w:r w:rsidRPr="008807E3">
              <w:rPr>
                <w:sz w:val="22"/>
                <w:szCs w:val="22"/>
                <w:lang w:eastAsia="cs-CZ"/>
              </w:rPr>
              <w:t>NERELEVANTNÍ – Nemusí se provádět.</w:t>
            </w:r>
          </w:p>
        </w:tc>
      </w:tr>
      <w:tr w:rsidR="00914C16" w:rsidRPr="0095042D" w:rsidTr="00F1297F">
        <w:trPr>
          <w:trHeight w:val="248"/>
        </w:trPr>
        <w:tc>
          <w:tcPr>
            <w:tcW w:w="3419" w:type="dxa"/>
            <w:tcBorders>
              <w:top w:val="single" w:sz="4" w:space="0" w:color="auto"/>
              <w:left w:val="single" w:sz="8" w:space="0" w:color="auto"/>
              <w:bottom w:val="single" w:sz="4" w:space="0" w:color="auto"/>
              <w:right w:val="single" w:sz="4" w:space="0" w:color="auto"/>
            </w:tcBorders>
            <w:shd w:val="clear" w:color="auto" w:fill="auto"/>
            <w:vAlign w:val="center"/>
          </w:tcPr>
          <w:p w:rsidR="00914C16" w:rsidRPr="00F1297F" w:rsidRDefault="00914C16" w:rsidP="009878E4">
            <w:pPr>
              <w:jc w:val="left"/>
              <w:rPr>
                <w:sz w:val="22"/>
                <w:szCs w:val="22"/>
                <w:lang w:eastAsia="en-US"/>
              </w:rPr>
            </w:pPr>
            <w:r w:rsidRPr="00F1297F">
              <w:rPr>
                <w:rFonts w:cs="Arial"/>
                <w:sz w:val="22"/>
                <w:szCs w:val="22"/>
              </w:rPr>
              <w:t>Projekt není cílen na poskytování sociálních služeb seniorům jako výhradní, nebo jediné cílové skupině.</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rsidR="00914C16" w:rsidRPr="00F1297F" w:rsidRDefault="00914C16" w:rsidP="00914C16">
            <w:pPr>
              <w:jc w:val="left"/>
              <w:rPr>
                <w:sz w:val="22"/>
                <w:szCs w:val="22"/>
              </w:rPr>
            </w:pPr>
            <w:r w:rsidRPr="00F1297F">
              <w:rPr>
                <w:sz w:val="22"/>
                <w:szCs w:val="22"/>
              </w:rPr>
              <w:t>ANO -  Projekt není cílen na poskytování sociálních služeb seniorům jako výhradní cílové skupině.</w:t>
            </w:r>
          </w:p>
          <w:p w:rsidR="00914C16" w:rsidRPr="008807E3" w:rsidRDefault="00914C16" w:rsidP="00914C16">
            <w:pPr>
              <w:jc w:val="left"/>
              <w:rPr>
                <w:sz w:val="22"/>
                <w:szCs w:val="22"/>
                <w:lang w:eastAsia="cs-CZ"/>
              </w:rPr>
            </w:pPr>
            <w:r w:rsidRPr="00F1297F">
              <w:rPr>
                <w:sz w:val="22"/>
                <w:szCs w:val="22"/>
              </w:rPr>
              <w:t>NE -  Projekt je cílen na poskytování sociálních služeb seniorům jako výhradní cílové skupině.</w:t>
            </w:r>
          </w:p>
        </w:tc>
      </w:tr>
    </w:tbl>
    <w:p w:rsidR="000354DE" w:rsidRDefault="000354DE" w:rsidP="00EA3680"/>
    <w:p w:rsidR="00E31C3A" w:rsidRPr="00401481" w:rsidRDefault="00E31C3A" w:rsidP="00401481">
      <w:pPr>
        <w:spacing w:after="0"/>
        <w:rPr>
          <w:b/>
        </w:rPr>
      </w:pPr>
      <w:r w:rsidRPr="00401481">
        <w:rPr>
          <w:b/>
        </w:rPr>
        <w:t>Věcné hodnocení projektu</w:t>
      </w:r>
    </w:p>
    <w:p w:rsidR="00E31C3A" w:rsidRDefault="00E31C3A" w:rsidP="00E14764">
      <w:pPr>
        <w:spacing w:after="40"/>
      </w:pPr>
      <w:r>
        <w:t>Probíhá v souladu s kap. 3.3 Obecných pravidel podle následujících kritérií věcného hodnocení.</w:t>
      </w:r>
    </w:p>
    <w:tbl>
      <w:tblPr>
        <w:tblW w:w="0" w:type="auto"/>
        <w:tblCellMar>
          <w:left w:w="70" w:type="dxa"/>
          <w:right w:w="70" w:type="dxa"/>
        </w:tblCellMar>
        <w:tblLook w:val="04A0" w:firstRow="1" w:lastRow="0" w:firstColumn="1" w:lastColumn="0" w:noHBand="0" w:noVBand="1"/>
      </w:tblPr>
      <w:tblGrid>
        <w:gridCol w:w="4202"/>
        <w:gridCol w:w="5008"/>
      </w:tblGrid>
      <w:tr w:rsidR="004F1FF1" w:rsidRPr="00CD21D7" w:rsidTr="00E14764">
        <w:trPr>
          <w:trHeight w:val="554"/>
        </w:trPr>
        <w:tc>
          <w:tcPr>
            <w:tcW w:w="0" w:type="auto"/>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rsidR="004F1FF1" w:rsidRPr="00FC20A3" w:rsidRDefault="00FC20A3" w:rsidP="00E14764">
            <w:pPr>
              <w:jc w:val="left"/>
              <w:rPr>
                <w:b/>
                <w:sz w:val="22"/>
                <w:lang w:eastAsia="cs-CZ"/>
              </w:rPr>
            </w:pPr>
            <w:r w:rsidRPr="00FC20A3">
              <w:rPr>
                <w:b/>
                <w:sz w:val="22"/>
                <w:lang w:eastAsia="cs-CZ"/>
              </w:rPr>
              <w:t>Název kritéria</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1FF1" w:rsidRPr="00FC20A3" w:rsidRDefault="004F1FF1" w:rsidP="00E14764">
            <w:pPr>
              <w:jc w:val="left"/>
              <w:rPr>
                <w:b/>
                <w:sz w:val="22"/>
                <w:lang w:eastAsia="cs-CZ"/>
              </w:rPr>
            </w:pPr>
            <w:r w:rsidRPr="00FC20A3">
              <w:rPr>
                <w:b/>
                <w:sz w:val="22"/>
                <w:lang w:eastAsia="cs-CZ"/>
              </w:rPr>
              <w:t>Hodnocení (b</w:t>
            </w:r>
            <w:r w:rsidR="00FC20A3" w:rsidRPr="00FC20A3">
              <w:rPr>
                <w:b/>
                <w:sz w:val="22"/>
                <w:lang w:eastAsia="cs-CZ"/>
              </w:rPr>
              <w:t>odovací škála)</w:t>
            </w:r>
          </w:p>
        </w:tc>
      </w:tr>
      <w:tr w:rsidR="004F1FF1" w:rsidRPr="00CD21D7" w:rsidDel="00DA0859" w:rsidTr="00E14764">
        <w:trPr>
          <w:trHeight w:val="86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4F1FF1" w:rsidRPr="004B2F6E" w:rsidRDefault="004F1FF1" w:rsidP="00E14764">
            <w:pPr>
              <w:jc w:val="left"/>
              <w:rPr>
                <w:sz w:val="22"/>
                <w:lang w:eastAsia="cs-CZ"/>
              </w:rPr>
            </w:pPr>
            <w:r w:rsidRPr="004B2F6E">
              <w:rPr>
                <w:sz w:val="22"/>
                <w:lang w:eastAsia="cs-CZ"/>
              </w:rPr>
              <w:t>Harmonogram realizace projektu je reálný a proveditelný.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1FF1" w:rsidRPr="004B2F6E" w:rsidRDefault="004F1FF1" w:rsidP="00E14764">
            <w:pPr>
              <w:jc w:val="left"/>
              <w:rPr>
                <w:sz w:val="22"/>
                <w:lang w:eastAsia="cs-CZ"/>
              </w:rPr>
            </w:pPr>
            <w:r w:rsidRPr="004B2F6E">
              <w:rPr>
                <w:sz w:val="22"/>
                <w:lang w:eastAsia="cs-CZ"/>
              </w:rPr>
              <w:t>10 bodů - Harmonogram realizace je reálný a proveditelný.</w:t>
            </w:r>
          </w:p>
          <w:p w:rsidR="004F1FF1" w:rsidRPr="004B2F6E" w:rsidRDefault="004F1FF1" w:rsidP="00E14764">
            <w:pPr>
              <w:jc w:val="left"/>
              <w:rPr>
                <w:sz w:val="22"/>
                <w:lang w:eastAsia="cs-CZ"/>
              </w:rPr>
            </w:pPr>
            <w:r w:rsidRPr="004B2F6E">
              <w:rPr>
                <w:sz w:val="22"/>
                <w:lang w:eastAsia="cs-CZ"/>
              </w:rPr>
              <w:t xml:space="preserve"> 0 bodů – Harmonogram realizace projektu není reálný a proveditelný.</w:t>
            </w:r>
          </w:p>
        </w:tc>
      </w:tr>
      <w:tr w:rsidR="004F1FF1" w:rsidRPr="00CD21D7" w:rsidDel="00DA0859" w:rsidTr="00E14764">
        <w:trPr>
          <w:trHeight w:val="55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4F1FF1" w:rsidRPr="004B2F6E" w:rsidDel="00DA0859" w:rsidRDefault="004F1FF1">
            <w:pPr>
              <w:jc w:val="left"/>
              <w:rPr>
                <w:sz w:val="22"/>
                <w:lang w:eastAsia="cs-CZ"/>
              </w:rPr>
            </w:pPr>
            <w:r w:rsidRPr="004B2F6E">
              <w:rPr>
                <w:sz w:val="22"/>
                <w:lang w:eastAsia="cs-CZ"/>
              </w:rPr>
              <w:t>V projektu je jasně vymezena cílová skupina.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1FF1" w:rsidRPr="004B2F6E" w:rsidRDefault="004F1FF1" w:rsidP="00E14764">
            <w:pPr>
              <w:jc w:val="left"/>
              <w:rPr>
                <w:sz w:val="22"/>
                <w:lang w:eastAsia="cs-CZ"/>
              </w:rPr>
            </w:pPr>
            <w:r w:rsidRPr="004B2F6E">
              <w:rPr>
                <w:sz w:val="22"/>
                <w:lang w:eastAsia="cs-CZ"/>
              </w:rPr>
              <w:t>10 bodů -   V projektu je jasně vymezená cílová skupina</w:t>
            </w:r>
            <w:r w:rsidR="008039E1">
              <w:rPr>
                <w:sz w:val="22"/>
                <w:lang w:eastAsia="cs-CZ"/>
              </w:rPr>
              <w:t>.</w:t>
            </w:r>
            <w:r w:rsidRPr="004B2F6E">
              <w:rPr>
                <w:sz w:val="22"/>
                <w:lang w:eastAsia="cs-CZ"/>
              </w:rPr>
              <w:t xml:space="preserve"> </w:t>
            </w:r>
          </w:p>
          <w:p w:rsidR="004F1FF1" w:rsidRPr="004B2F6E" w:rsidDel="00DA0859" w:rsidRDefault="004F1FF1" w:rsidP="008039E1">
            <w:pPr>
              <w:jc w:val="left"/>
              <w:rPr>
                <w:sz w:val="22"/>
                <w:lang w:eastAsia="cs-CZ"/>
              </w:rPr>
            </w:pPr>
            <w:r w:rsidRPr="004B2F6E">
              <w:rPr>
                <w:sz w:val="22"/>
                <w:lang w:eastAsia="cs-CZ"/>
              </w:rPr>
              <w:t>0 bodů - V projektu není jasně vymezena cílová skupina</w:t>
            </w:r>
            <w:r w:rsidR="008039E1">
              <w:rPr>
                <w:sz w:val="22"/>
                <w:lang w:eastAsia="cs-CZ"/>
              </w:rPr>
              <w:t>.</w:t>
            </w:r>
            <w:r w:rsidRPr="004B2F6E">
              <w:rPr>
                <w:sz w:val="22"/>
                <w:lang w:eastAsia="cs-CZ"/>
              </w:rPr>
              <w:t xml:space="preserve"> </w:t>
            </w:r>
          </w:p>
        </w:tc>
      </w:tr>
      <w:tr w:rsidR="004F1FF1" w:rsidRPr="00CD21D7" w:rsidDel="00DA0859" w:rsidTr="00E14764">
        <w:trPr>
          <w:trHeight w:val="55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4F1FF1" w:rsidRPr="004B2F6E" w:rsidRDefault="004F1FF1" w:rsidP="00E14764">
            <w:pPr>
              <w:jc w:val="left"/>
              <w:rPr>
                <w:bCs/>
                <w:sz w:val="22"/>
                <w:lang w:eastAsia="cs-CZ"/>
              </w:rPr>
            </w:pPr>
            <w:r w:rsidRPr="004B2F6E">
              <w:rPr>
                <w:sz w:val="22"/>
                <w:lang w:eastAsia="cs-CZ"/>
              </w:rPr>
              <w:t>V projektu je popsán pozitivní dopad plánovaných aktivit na začleňování cílové skupiny do společnosti.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1FF1" w:rsidRPr="004B2F6E" w:rsidRDefault="004F1FF1" w:rsidP="00E14764">
            <w:pPr>
              <w:jc w:val="left"/>
              <w:rPr>
                <w:sz w:val="22"/>
                <w:lang w:eastAsia="cs-CZ"/>
              </w:rPr>
            </w:pPr>
            <w:r w:rsidRPr="004B2F6E">
              <w:rPr>
                <w:sz w:val="22"/>
                <w:lang w:eastAsia="cs-CZ"/>
              </w:rPr>
              <w:t>10 bodů - V projektu je popsán pozitivní dopad plánovaných aktivit na začleňování cílové skupiny do společnosti.</w:t>
            </w:r>
          </w:p>
          <w:p w:rsidR="004F1FF1" w:rsidRPr="004B2F6E" w:rsidRDefault="004F1FF1" w:rsidP="00E14764">
            <w:pPr>
              <w:jc w:val="left"/>
              <w:rPr>
                <w:sz w:val="22"/>
                <w:lang w:eastAsia="cs-CZ"/>
              </w:rPr>
            </w:pPr>
            <w:r w:rsidRPr="004B2F6E">
              <w:rPr>
                <w:sz w:val="22"/>
                <w:lang w:eastAsia="cs-CZ"/>
              </w:rPr>
              <w:t>0 bodů - V projektu není popsán pozitivní dopad plánovaných aktivit na začleňování cílové skupiny do společnosti.</w:t>
            </w:r>
          </w:p>
        </w:tc>
      </w:tr>
      <w:tr w:rsidR="004F1FF1" w:rsidRPr="00CD21D7" w:rsidTr="00E14764">
        <w:trPr>
          <w:trHeight w:val="55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4F1FF1" w:rsidRPr="004B2F6E" w:rsidRDefault="004F1FF1" w:rsidP="00E14764">
            <w:pPr>
              <w:jc w:val="left"/>
              <w:rPr>
                <w:sz w:val="22"/>
                <w:lang w:eastAsia="cs-CZ"/>
              </w:rPr>
            </w:pPr>
            <w:r w:rsidRPr="004B2F6E">
              <w:rPr>
                <w:sz w:val="22"/>
                <w:lang w:eastAsia="cs-CZ"/>
              </w:rPr>
              <w:t>V projektu jsou uvedena hlavní rizika v realizační fázi i ve fázi udržitelnosti a způsoby jejich eliminace.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1FF1" w:rsidRPr="004B2F6E" w:rsidRDefault="004F1FF1" w:rsidP="00E14764">
            <w:pPr>
              <w:jc w:val="left"/>
              <w:rPr>
                <w:sz w:val="22"/>
                <w:lang w:eastAsia="cs-CZ"/>
              </w:rPr>
            </w:pPr>
            <w:r w:rsidRPr="004B2F6E">
              <w:rPr>
                <w:sz w:val="22"/>
                <w:lang w:eastAsia="cs-CZ"/>
              </w:rPr>
              <w:t>5 bodů - V projektu jsou uvedena hlavní rizika v realizační fázi i ve fázi udržitelnosti a jsou uvedeny způsoby jejich eliminace.</w:t>
            </w:r>
          </w:p>
          <w:p w:rsidR="004F1FF1" w:rsidRPr="004B2F6E" w:rsidRDefault="004F1FF1" w:rsidP="00E14764">
            <w:pPr>
              <w:jc w:val="left"/>
              <w:rPr>
                <w:sz w:val="22"/>
                <w:lang w:eastAsia="cs-CZ"/>
              </w:rPr>
            </w:pPr>
            <w:r w:rsidRPr="004B2F6E">
              <w:rPr>
                <w:sz w:val="22"/>
                <w:lang w:eastAsia="cs-CZ"/>
              </w:rPr>
              <w:lastRenderedPageBreak/>
              <w:t>3 body - V projektu jsou hlavní rizika v realizační fázi i ve fázi udržitelnosti, ale nejsou uvedeny způsoby jejich eliminace.</w:t>
            </w:r>
          </w:p>
          <w:p w:rsidR="004F1FF1" w:rsidRPr="004B2F6E" w:rsidRDefault="004F1FF1" w:rsidP="00E14764">
            <w:pPr>
              <w:jc w:val="left"/>
              <w:rPr>
                <w:sz w:val="22"/>
                <w:lang w:eastAsia="cs-CZ"/>
              </w:rPr>
            </w:pPr>
            <w:r w:rsidRPr="004B2F6E">
              <w:rPr>
                <w:sz w:val="22"/>
                <w:lang w:eastAsia="cs-CZ"/>
              </w:rPr>
              <w:t>0 bodů - V projektu nejsou uvedena hlavní rizika v realizační fázi i ve fázi udržitelnosti a nejsou uvedeny způsoby jejich eliminace.</w:t>
            </w:r>
          </w:p>
        </w:tc>
      </w:tr>
      <w:tr w:rsidR="00914C16" w:rsidRPr="00CD21D7" w:rsidTr="00E14764">
        <w:trPr>
          <w:trHeight w:val="55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914C16" w:rsidRPr="00F1297F" w:rsidRDefault="00914C16" w:rsidP="00E14764">
            <w:pPr>
              <w:jc w:val="left"/>
              <w:rPr>
                <w:sz w:val="22"/>
                <w:szCs w:val="22"/>
                <w:lang w:eastAsia="cs-CZ"/>
              </w:rPr>
            </w:pPr>
            <w:r w:rsidRPr="00F1297F">
              <w:rPr>
                <w:bCs/>
                <w:sz w:val="22"/>
                <w:szCs w:val="22"/>
              </w:rPr>
              <w:lastRenderedPageBreak/>
              <w:t>Projekt prokazatelně řeší nedostatek dané sociální služby v území.</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14C16" w:rsidRPr="00F1297F" w:rsidRDefault="00914C16" w:rsidP="00914C16">
            <w:pPr>
              <w:jc w:val="left"/>
              <w:rPr>
                <w:sz w:val="22"/>
                <w:szCs w:val="22"/>
              </w:rPr>
            </w:pPr>
            <w:r w:rsidRPr="00F1297F">
              <w:rPr>
                <w:sz w:val="22"/>
                <w:szCs w:val="22"/>
              </w:rPr>
              <w:t>5 bodů -  Projekt prokazatelně řeší nedostatek dané sociální služby v území.</w:t>
            </w:r>
          </w:p>
          <w:p w:rsidR="00914C16" w:rsidRPr="004B2F6E" w:rsidRDefault="00914C16" w:rsidP="00914C16">
            <w:pPr>
              <w:jc w:val="left"/>
              <w:rPr>
                <w:sz w:val="22"/>
                <w:lang w:eastAsia="cs-CZ"/>
              </w:rPr>
            </w:pPr>
            <w:r w:rsidRPr="00F1297F">
              <w:rPr>
                <w:sz w:val="22"/>
                <w:szCs w:val="22"/>
              </w:rPr>
              <w:t>0 bodů  - Projekt neřeší nedostatek dané sociální služby v území.</w:t>
            </w:r>
          </w:p>
        </w:tc>
      </w:tr>
    </w:tbl>
    <w:p w:rsidR="00796B69" w:rsidRDefault="00796B69" w:rsidP="00EA3680"/>
    <w:p w:rsidR="00E31C3A" w:rsidRPr="004B2F6E" w:rsidRDefault="00E31C3A" w:rsidP="00E31C3A">
      <w:pPr>
        <w:rPr>
          <w:b/>
        </w:rPr>
      </w:pPr>
      <w:r w:rsidRPr="004B2F6E">
        <w:rPr>
          <w:b/>
        </w:rPr>
        <w:t xml:space="preserve">Minimální počet bodů, kterého musí žádost ve věcném hodnocení dosáhnout, je </w:t>
      </w:r>
      <w:r w:rsidR="00B812DE">
        <w:rPr>
          <w:b/>
        </w:rPr>
        <w:t>2</w:t>
      </w:r>
      <w:r w:rsidRPr="004B2F6E">
        <w:rPr>
          <w:b/>
        </w:rPr>
        <w:t>5 z</w:t>
      </w:r>
      <w:r w:rsidR="00382D68">
        <w:rPr>
          <w:b/>
        </w:rPr>
        <w:t>e</w:t>
      </w:r>
      <w:r w:rsidRPr="004B2F6E">
        <w:rPr>
          <w:b/>
        </w:rPr>
        <w:t> </w:t>
      </w:r>
      <w:r w:rsidR="007A7D2A">
        <w:rPr>
          <w:b/>
        </w:rPr>
        <w:t>40</w:t>
      </w:r>
      <w:r w:rsidRPr="004B2F6E">
        <w:rPr>
          <w:b/>
        </w:rPr>
        <w:t>.</w:t>
      </w:r>
    </w:p>
    <w:p w:rsidR="00D57EF2" w:rsidRPr="00401481" w:rsidRDefault="00E838A0" w:rsidP="00401481">
      <w:pPr>
        <w:spacing w:after="0"/>
        <w:rPr>
          <w:b/>
        </w:rPr>
      </w:pPr>
      <w:bookmarkStart w:id="64" w:name="_Toc426029758"/>
      <w:r w:rsidRPr="00401481">
        <w:rPr>
          <w:b/>
        </w:rPr>
        <w:t>Ex-</w:t>
      </w:r>
      <w:r w:rsidR="002806D7" w:rsidRPr="00401481">
        <w:rPr>
          <w:b/>
        </w:rPr>
        <w:t>ante analýza rizik</w:t>
      </w:r>
    </w:p>
    <w:p w:rsidR="004C1E25" w:rsidRPr="00574832" w:rsidRDefault="004C1E25" w:rsidP="00EA3680">
      <w:pPr>
        <w:rPr>
          <w:rFonts w:cs="Arial"/>
          <w:b/>
        </w:rPr>
      </w:pPr>
      <w:r w:rsidRPr="00574832">
        <w:t>Pro projekty, které prošly úspěšně hodnocením</w:t>
      </w:r>
      <w:r w:rsidR="00DB4906" w:rsidRPr="00574832">
        <w:t>,</w:t>
      </w:r>
      <w:r w:rsidRPr="00574832">
        <w:t xml:space="preserve"> provádí CRR analýzu rizik. Na základě jejího výsledku provede u vybra</w:t>
      </w:r>
      <w:r w:rsidR="007F34A7">
        <w:t>ných projektů ex-ante  kontrolu.</w:t>
      </w:r>
    </w:p>
    <w:p w:rsidR="002806D7" w:rsidRPr="00574832" w:rsidRDefault="002806D7" w:rsidP="009878E4">
      <w:r w:rsidRPr="00574832">
        <w:t>Probíhá podle následujících kritérií pro specifický cíl 2.1.</w:t>
      </w:r>
    </w:p>
    <w:tbl>
      <w:tblPr>
        <w:tblW w:w="0" w:type="auto"/>
        <w:tblInd w:w="55" w:type="dxa"/>
        <w:tblLayout w:type="fixed"/>
        <w:tblCellMar>
          <w:left w:w="70" w:type="dxa"/>
          <w:right w:w="70" w:type="dxa"/>
        </w:tblCellMar>
        <w:tblLook w:val="04A0" w:firstRow="1" w:lastRow="0" w:firstColumn="1" w:lastColumn="0" w:noHBand="0" w:noVBand="1"/>
      </w:tblPr>
      <w:tblGrid>
        <w:gridCol w:w="9157"/>
      </w:tblGrid>
      <w:tr w:rsidR="002806D7" w:rsidRPr="00CD21D7" w:rsidTr="00F07C89">
        <w:trPr>
          <w:trHeight w:val="637"/>
        </w:trPr>
        <w:tc>
          <w:tcPr>
            <w:tcW w:w="9157" w:type="dxa"/>
            <w:tcBorders>
              <w:top w:val="single" w:sz="8" w:space="0" w:color="auto"/>
              <w:left w:val="single" w:sz="8" w:space="0" w:color="auto"/>
              <w:right w:val="single" w:sz="8" w:space="0" w:color="auto"/>
            </w:tcBorders>
            <w:shd w:val="clear" w:color="auto" w:fill="BFBFBF" w:themeFill="background1" w:themeFillShade="BF"/>
            <w:vAlign w:val="center"/>
          </w:tcPr>
          <w:p w:rsidR="002806D7" w:rsidRPr="008807E3" w:rsidRDefault="002806D7" w:rsidP="00D41C75">
            <w:pPr>
              <w:pStyle w:val="Odstavecseseznamem"/>
              <w:ind w:left="229"/>
              <w:jc w:val="left"/>
              <w:rPr>
                <w:b/>
                <w:bCs/>
                <w:sz w:val="22"/>
                <w:szCs w:val="22"/>
              </w:rPr>
            </w:pPr>
            <w:r w:rsidRPr="008807E3">
              <w:rPr>
                <w:b/>
                <w:sz w:val="22"/>
                <w:szCs w:val="22"/>
              </w:rPr>
              <w:t xml:space="preserve">Kritéria ex-ante analýzy rizik </w:t>
            </w:r>
          </w:p>
        </w:tc>
      </w:tr>
      <w:tr w:rsidR="002806D7" w:rsidRPr="00CD21D7" w:rsidTr="00F07C89">
        <w:trPr>
          <w:trHeight w:val="543"/>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4B2F6E" w:rsidRDefault="002806D7" w:rsidP="009A1622">
            <w:pPr>
              <w:pStyle w:val="Odstavecseseznamem"/>
              <w:ind w:left="229"/>
              <w:jc w:val="left"/>
              <w:rPr>
                <w:sz w:val="22"/>
                <w:szCs w:val="22"/>
              </w:rPr>
            </w:pPr>
            <w:r w:rsidRPr="004B2F6E">
              <w:rPr>
                <w:sz w:val="22"/>
                <w:szCs w:val="22"/>
              </w:rPr>
              <w:t>Riziko nedosažení výstupů a realizace projektu v předloženém harmonogramu</w:t>
            </w:r>
          </w:p>
        </w:tc>
      </w:tr>
      <w:tr w:rsidR="002806D7" w:rsidRPr="00CD21D7" w:rsidTr="00F07C89">
        <w:trPr>
          <w:trHeight w:val="374"/>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4B2F6E" w:rsidRDefault="002806D7" w:rsidP="00A043A3">
            <w:pPr>
              <w:pStyle w:val="Odstavecseseznamem"/>
              <w:ind w:left="229"/>
              <w:jc w:val="left"/>
              <w:rPr>
                <w:sz w:val="22"/>
                <w:szCs w:val="22"/>
              </w:rPr>
            </w:pPr>
            <w:r w:rsidRPr="004B2F6E">
              <w:rPr>
                <w:sz w:val="22"/>
                <w:szCs w:val="22"/>
              </w:rPr>
              <w:t xml:space="preserve">Riziko nesouladu realizace projektu s Podmínkami právního aktu a dalšími závaznými postupy a pokyny pro příjemce </w:t>
            </w:r>
          </w:p>
        </w:tc>
      </w:tr>
      <w:tr w:rsidR="002806D7" w:rsidRPr="00CD21D7" w:rsidTr="00F07C89">
        <w:trPr>
          <w:trHeight w:val="422"/>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4B2F6E" w:rsidRDefault="002806D7" w:rsidP="009A1622">
            <w:pPr>
              <w:pStyle w:val="Odstavecseseznamem"/>
              <w:ind w:left="229"/>
              <w:jc w:val="left"/>
              <w:rPr>
                <w:sz w:val="22"/>
                <w:szCs w:val="22"/>
              </w:rPr>
            </w:pPr>
            <w:r w:rsidRPr="004B2F6E">
              <w:rPr>
                <w:sz w:val="22"/>
                <w:szCs w:val="22"/>
              </w:rPr>
              <w:t xml:space="preserve">Riziko nedodržení podmínek </w:t>
            </w:r>
            <w:r w:rsidR="00705F40" w:rsidRPr="004B2F6E">
              <w:rPr>
                <w:sz w:val="22"/>
                <w:szCs w:val="22"/>
              </w:rPr>
              <w:t>zadávacího</w:t>
            </w:r>
            <w:r w:rsidRPr="004B2F6E">
              <w:rPr>
                <w:sz w:val="22"/>
                <w:szCs w:val="22"/>
              </w:rPr>
              <w:t xml:space="preserve"> řízení </w:t>
            </w:r>
            <w:r w:rsidR="00705F40" w:rsidRPr="004B2F6E">
              <w:rPr>
                <w:sz w:val="22"/>
                <w:szCs w:val="22"/>
              </w:rPr>
              <w:t>podle</w:t>
            </w:r>
            <w:r w:rsidRPr="004B2F6E">
              <w:rPr>
                <w:sz w:val="22"/>
                <w:szCs w:val="22"/>
              </w:rPr>
              <w:t xml:space="preserve"> platn</w:t>
            </w:r>
            <w:r w:rsidR="00705F40" w:rsidRPr="004B2F6E">
              <w:rPr>
                <w:sz w:val="22"/>
                <w:szCs w:val="22"/>
              </w:rPr>
              <w:t>ého</w:t>
            </w:r>
            <w:r w:rsidRPr="004B2F6E">
              <w:rPr>
                <w:sz w:val="22"/>
                <w:szCs w:val="22"/>
              </w:rPr>
              <w:t xml:space="preserve"> zákon</w:t>
            </w:r>
            <w:r w:rsidR="00705F40" w:rsidRPr="004B2F6E">
              <w:rPr>
                <w:sz w:val="22"/>
                <w:szCs w:val="22"/>
              </w:rPr>
              <w:t>a</w:t>
            </w:r>
            <w:r w:rsidRPr="004B2F6E">
              <w:rPr>
                <w:sz w:val="22"/>
                <w:szCs w:val="22"/>
              </w:rPr>
              <w:t xml:space="preserve"> o veřejných zakázkách</w:t>
            </w:r>
          </w:p>
        </w:tc>
      </w:tr>
      <w:tr w:rsidR="002806D7" w:rsidRPr="00CD21D7" w:rsidTr="00F07C89">
        <w:trPr>
          <w:trHeight w:val="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CD21D7" w:rsidRDefault="002806D7" w:rsidP="00705F40">
            <w:pPr>
              <w:pStyle w:val="Default"/>
              <w:spacing w:before="120" w:after="120"/>
              <w:ind w:left="284"/>
              <w:rPr>
                <w:rFonts w:asciiTheme="majorHAnsi" w:hAnsiTheme="majorHAnsi"/>
                <w:sz w:val="22"/>
                <w:szCs w:val="22"/>
              </w:rPr>
            </w:pPr>
            <w:r w:rsidRPr="00CD21D7">
              <w:rPr>
                <w:rFonts w:asciiTheme="majorHAnsi" w:hAnsiTheme="majorHAnsi"/>
                <w:sz w:val="22"/>
                <w:szCs w:val="22"/>
              </w:rPr>
              <w:t xml:space="preserve">Riziko vzniku nezpůsobilých výdajů </w:t>
            </w:r>
            <w:r w:rsidR="00705F40" w:rsidRPr="00CD21D7">
              <w:rPr>
                <w:rFonts w:asciiTheme="majorHAnsi" w:hAnsiTheme="majorHAnsi"/>
                <w:sz w:val="22"/>
                <w:szCs w:val="22"/>
              </w:rPr>
              <w:t>př</w:t>
            </w:r>
            <w:r w:rsidR="00632933" w:rsidRPr="00CD21D7">
              <w:rPr>
                <w:rFonts w:asciiTheme="majorHAnsi" w:hAnsiTheme="majorHAnsi"/>
                <w:sz w:val="22"/>
                <w:szCs w:val="22"/>
              </w:rPr>
              <w:t xml:space="preserve">i realizace projektu </w:t>
            </w:r>
          </w:p>
        </w:tc>
      </w:tr>
      <w:tr w:rsidR="002806D7" w:rsidRPr="00CD21D7" w:rsidTr="00F07C89">
        <w:trPr>
          <w:trHeight w:val="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CD21D7" w:rsidRDefault="002806D7" w:rsidP="00A043A3">
            <w:pPr>
              <w:pStyle w:val="Default"/>
              <w:spacing w:before="120" w:after="120"/>
              <w:ind w:left="284"/>
              <w:rPr>
                <w:rFonts w:asciiTheme="majorHAnsi" w:hAnsiTheme="majorHAnsi"/>
                <w:sz w:val="22"/>
                <w:szCs w:val="22"/>
              </w:rPr>
            </w:pPr>
            <w:r w:rsidRPr="00CD21D7">
              <w:rPr>
                <w:rFonts w:asciiTheme="majorHAnsi" w:hAnsiTheme="majorHAnsi"/>
                <w:sz w:val="22"/>
                <w:szCs w:val="22"/>
              </w:rPr>
              <w:t xml:space="preserve">Riziko vzniku dvojího financování projektu </w:t>
            </w:r>
          </w:p>
        </w:tc>
      </w:tr>
      <w:tr w:rsidR="002806D7" w:rsidRPr="00CD21D7" w:rsidTr="00F07C89">
        <w:trPr>
          <w:trHeight w:val="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CD21D7" w:rsidRDefault="002806D7" w:rsidP="00F07C89">
            <w:pPr>
              <w:pStyle w:val="Default"/>
              <w:spacing w:before="120" w:after="120"/>
              <w:ind w:left="284"/>
              <w:rPr>
                <w:rFonts w:asciiTheme="majorHAnsi" w:hAnsiTheme="majorHAnsi"/>
                <w:sz w:val="22"/>
                <w:szCs w:val="22"/>
              </w:rPr>
            </w:pPr>
            <w:r w:rsidRPr="00CD21D7">
              <w:rPr>
                <w:rFonts w:asciiTheme="majorHAnsi" w:hAnsiTheme="majorHAnsi"/>
                <w:sz w:val="22"/>
                <w:szCs w:val="22"/>
              </w:rPr>
              <w:t>Riziko nenaplnění udržitelnosti projektu</w:t>
            </w:r>
          </w:p>
        </w:tc>
      </w:tr>
      <w:tr w:rsidR="002806D7" w:rsidRPr="00CD21D7" w:rsidTr="00F07C89">
        <w:trPr>
          <w:trHeight w:val="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CD21D7" w:rsidRDefault="002806D7" w:rsidP="00F07C89">
            <w:pPr>
              <w:pStyle w:val="Default"/>
              <w:spacing w:before="120" w:after="120"/>
              <w:ind w:left="284"/>
              <w:rPr>
                <w:rFonts w:asciiTheme="majorHAnsi" w:hAnsiTheme="majorHAnsi"/>
                <w:sz w:val="22"/>
                <w:szCs w:val="22"/>
              </w:rPr>
            </w:pPr>
            <w:r w:rsidRPr="00CD21D7">
              <w:rPr>
                <w:rFonts w:asciiTheme="majorHAnsi" w:hAnsiTheme="majorHAnsi"/>
                <w:sz w:val="22"/>
                <w:szCs w:val="22"/>
              </w:rPr>
              <w:t>Riziko nedosažení plánovaných indikátorů</w:t>
            </w:r>
          </w:p>
        </w:tc>
      </w:tr>
      <w:tr w:rsidR="002806D7" w:rsidRPr="00CD21D7" w:rsidTr="00F07C89">
        <w:trPr>
          <w:trHeight w:val="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CD21D7" w:rsidRDefault="002806D7" w:rsidP="00F07C89">
            <w:pPr>
              <w:pStyle w:val="Default"/>
              <w:spacing w:before="120" w:after="120"/>
              <w:ind w:left="284"/>
              <w:rPr>
                <w:rFonts w:asciiTheme="majorHAnsi" w:hAnsiTheme="majorHAnsi"/>
                <w:sz w:val="22"/>
                <w:szCs w:val="22"/>
              </w:rPr>
            </w:pPr>
            <w:r w:rsidRPr="00CD21D7">
              <w:rPr>
                <w:rFonts w:asciiTheme="majorHAnsi" w:hAnsiTheme="majorHAnsi"/>
                <w:sz w:val="22"/>
                <w:szCs w:val="22"/>
              </w:rPr>
              <w:t>Riziko podvodu a korupčního jednání</w:t>
            </w:r>
          </w:p>
        </w:tc>
      </w:tr>
      <w:tr w:rsidR="002806D7" w:rsidRPr="00CD21D7" w:rsidTr="00F07C89">
        <w:trPr>
          <w:trHeight w:val="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806D7" w:rsidRPr="00CD21D7" w:rsidRDefault="002806D7" w:rsidP="00F07C89">
            <w:pPr>
              <w:pStyle w:val="Default"/>
              <w:spacing w:before="120" w:after="120"/>
              <w:ind w:left="284"/>
              <w:rPr>
                <w:rFonts w:asciiTheme="majorHAnsi" w:hAnsiTheme="majorHAnsi"/>
                <w:sz w:val="22"/>
                <w:szCs w:val="22"/>
              </w:rPr>
            </w:pPr>
            <w:r w:rsidRPr="00CD21D7">
              <w:rPr>
                <w:rFonts w:asciiTheme="majorHAnsi" w:hAnsiTheme="majorHAnsi"/>
                <w:sz w:val="22"/>
                <w:szCs w:val="22"/>
              </w:rPr>
              <w:t>Riziko nehospodárnosti a neefektivnosti</w:t>
            </w:r>
          </w:p>
        </w:tc>
      </w:tr>
      <w:tr w:rsidR="007218BA" w:rsidRPr="00CD21D7" w:rsidTr="00F07C89">
        <w:trPr>
          <w:trHeight w:val="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7218BA" w:rsidRPr="00CD21D7" w:rsidRDefault="007218BA" w:rsidP="00F07C89">
            <w:pPr>
              <w:pStyle w:val="Default"/>
              <w:spacing w:before="120" w:after="120"/>
              <w:ind w:left="284"/>
              <w:rPr>
                <w:rFonts w:asciiTheme="majorHAnsi" w:hAnsiTheme="majorHAnsi"/>
                <w:sz w:val="22"/>
                <w:szCs w:val="22"/>
              </w:rPr>
            </w:pPr>
            <w:r>
              <w:rPr>
                <w:rFonts w:asciiTheme="majorHAnsi" w:hAnsiTheme="majorHAnsi"/>
                <w:sz w:val="22"/>
                <w:szCs w:val="22"/>
              </w:rPr>
              <w:t>Riziko nedovolené veřejné podpory</w:t>
            </w:r>
          </w:p>
        </w:tc>
      </w:tr>
    </w:tbl>
    <w:p w:rsidR="007218BA" w:rsidRDefault="007218BA" w:rsidP="009A1622">
      <w:pPr>
        <w:rPr>
          <w:b/>
        </w:rPr>
      </w:pPr>
      <w:bookmarkStart w:id="65" w:name="_Toc426029757"/>
    </w:p>
    <w:p w:rsidR="00DB4906" w:rsidRPr="009A1622" w:rsidRDefault="00DB4906" w:rsidP="009A1622">
      <w:pPr>
        <w:rPr>
          <w:b/>
        </w:rPr>
      </w:pPr>
      <w:r w:rsidRPr="009A1622">
        <w:rPr>
          <w:b/>
        </w:rPr>
        <w:t xml:space="preserve">Výstupem analýzy rizik je doporučení, nebo nedoporučení k provedení ex-ante kontroly. </w:t>
      </w:r>
    </w:p>
    <w:p w:rsidR="00EC395C" w:rsidRDefault="00EC395C" w:rsidP="00401481">
      <w:pPr>
        <w:spacing w:after="0"/>
        <w:rPr>
          <w:b/>
        </w:rPr>
      </w:pPr>
    </w:p>
    <w:p w:rsidR="002806D7" w:rsidRPr="00401481" w:rsidRDefault="002806D7" w:rsidP="00401481">
      <w:pPr>
        <w:spacing w:after="0"/>
        <w:rPr>
          <w:b/>
        </w:rPr>
      </w:pPr>
      <w:r w:rsidRPr="00401481">
        <w:rPr>
          <w:b/>
        </w:rPr>
        <w:lastRenderedPageBreak/>
        <w:t>Ex-ante kontrola</w:t>
      </w:r>
      <w:bookmarkEnd w:id="65"/>
    </w:p>
    <w:p w:rsidR="002806D7" w:rsidRDefault="002806D7" w:rsidP="009878E4">
      <w:r>
        <w:t xml:space="preserve">Probíhá u projektů vybraných na základě výsledků ex-ante analýzy rizik v souladu s kapitolou </w:t>
      </w:r>
      <w:r w:rsidR="00C23ADA">
        <w:t>3.7</w:t>
      </w:r>
      <w:r>
        <w:t xml:space="preserve"> Obecných pravidel.</w:t>
      </w:r>
      <w:r w:rsidR="00DB4906">
        <w:t xml:space="preserve"> </w:t>
      </w:r>
    </w:p>
    <w:p w:rsidR="00E31C3A" w:rsidRPr="00E31C3A" w:rsidRDefault="00E31C3A" w:rsidP="00E31C3A">
      <w:pPr>
        <w:pStyle w:val="Odstavecseseznamem"/>
        <w:keepNext/>
        <w:keepLines/>
        <w:numPr>
          <w:ilvl w:val="0"/>
          <w:numId w:val="46"/>
        </w:numPr>
        <w:spacing w:before="480" w:after="240"/>
        <w:contextualSpacing w:val="0"/>
        <w:outlineLvl w:val="0"/>
        <w:rPr>
          <w:rFonts w:eastAsiaTheme="majorEastAsia" w:cs="Arial"/>
          <w:b/>
          <w:bCs/>
          <w:vanish/>
          <w:color w:val="000000" w:themeColor="text1"/>
          <w:sz w:val="28"/>
          <w:szCs w:val="28"/>
        </w:rPr>
      </w:pPr>
      <w:bookmarkStart w:id="66" w:name="_Toc431375996"/>
      <w:bookmarkStart w:id="67" w:name="_Toc431376037"/>
      <w:bookmarkStart w:id="68" w:name="_Toc431376076"/>
      <w:bookmarkStart w:id="69" w:name="_Toc431376136"/>
      <w:bookmarkStart w:id="70" w:name="_Toc431376171"/>
      <w:bookmarkStart w:id="71" w:name="_Toc431376205"/>
      <w:bookmarkStart w:id="72" w:name="_Toc431376879"/>
      <w:bookmarkStart w:id="73" w:name="_Toc431377266"/>
      <w:bookmarkStart w:id="74" w:name="_Toc436755615"/>
      <w:bookmarkStart w:id="75" w:name="_Toc448322881"/>
      <w:bookmarkStart w:id="76" w:name="_Toc448322923"/>
      <w:bookmarkStart w:id="77" w:name="_Toc448322963"/>
      <w:bookmarkStart w:id="78" w:name="_Toc448323002"/>
      <w:bookmarkStart w:id="79" w:name="_Toc448323039"/>
      <w:bookmarkStart w:id="80" w:name="_Toc448323073"/>
      <w:bookmarkStart w:id="81" w:name="_Toc448323107"/>
      <w:bookmarkStart w:id="82" w:name="_Toc448323139"/>
      <w:bookmarkStart w:id="83" w:name="_Toc448401940"/>
      <w:bookmarkStart w:id="84" w:name="_Toc449699268"/>
      <w:bookmarkStart w:id="85" w:name="_Toc449699303"/>
      <w:bookmarkStart w:id="86" w:name="_Toc45514314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31C3A" w:rsidRPr="00E31C3A" w:rsidRDefault="00E31C3A" w:rsidP="00E31C3A">
      <w:pPr>
        <w:pStyle w:val="Odstavecseseznamem"/>
        <w:keepNext/>
        <w:keepLines/>
        <w:numPr>
          <w:ilvl w:val="0"/>
          <w:numId w:val="46"/>
        </w:numPr>
        <w:spacing w:before="480" w:after="240"/>
        <w:contextualSpacing w:val="0"/>
        <w:outlineLvl w:val="0"/>
        <w:rPr>
          <w:rFonts w:eastAsiaTheme="majorEastAsia" w:cs="Arial"/>
          <w:b/>
          <w:bCs/>
          <w:vanish/>
          <w:color w:val="000000" w:themeColor="text1"/>
          <w:sz w:val="28"/>
          <w:szCs w:val="28"/>
        </w:rPr>
      </w:pPr>
      <w:bookmarkStart w:id="87" w:name="_Toc431375997"/>
      <w:bookmarkStart w:id="88" w:name="_Toc431376038"/>
      <w:bookmarkStart w:id="89" w:name="_Toc431376077"/>
      <w:bookmarkStart w:id="90" w:name="_Toc431376137"/>
      <w:bookmarkStart w:id="91" w:name="_Toc431376172"/>
      <w:bookmarkStart w:id="92" w:name="_Toc431376206"/>
      <w:bookmarkStart w:id="93" w:name="_Toc431376880"/>
      <w:bookmarkStart w:id="94" w:name="_Toc431377267"/>
      <w:bookmarkStart w:id="95" w:name="_Toc436755616"/>
      <w:bookmarkStart w:id="96" w:name="_Toc448322882"/>
      <w:bookmarkStart w:id="97" w:name="_Toc448322924"/>
      <w:bookmarkStart w:id="98" w:name="_Toc448322964"/>
      <w:bookmarkStart w:id="99" w:name="_Toc448323003"/>
      <w:bookmarkStart w:id="100" w:name="_Toc448323040"/>
      <w:bookmarkStart w:id="101" w:name="_Toc448323074"/>
      <w:bookmarkStart w:id="102" w:name="_Toc448323108"/>
      <w:bookmarkStart w:id="103" w:name="_Toc448323140"/>
      <w:bookmarkStart w:id="104" w:name="_Toc448401941"/>
      <w:bookmarkStart w:id="105" w:name="_Toc449699269"/>
      <w:bookmarkStart w:id="106" w:name="_Toc449699304"/>
      <w:bookmarkStart w:id="107" w:name="_Toc45514314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E31C3A" w:rsidRPr="00E31C3A" w:rsidRDefault="00E31C3A" w:rsidP="00E31C3A">
      <w:pPr>
        <w:pStyle w:val="Odstavecseseznamem"/>
        <w:keepNext/>
        <w:keepLines/>
        <w:numPr>
          <w:ilvl w:val="0"/>
          <w:numId w:val="46"/>
        </w:numPr>
        <w:spacing w:before="480" w:after="240"/>
        <w:contextualSpacing w:val="0"/>
        <w:outlineLvl w:val="0"/>
        <w:rPr>
          <w:rFonts w:eastAsiaTheme="majorEastAsia" w:cs="Arial"/>
          <w:b/>
          <w:bCs/>
          <w:vanish/>
          <w:color w:val="000000" w:themeColor="text1"/>
          <w:sz w:val="28"/>
          <w:szCs w:val="28"/>
        </w:rPr>
      </w:pPr>
      <w:bookmarkStart w:id="108" w:name="_Toc431375998"/>
      <w:bookmarkStart w:id="109" w:name="_Toc431376039"/>
      <w:bookmarkStart w:id="110" w:name="_Toc431376078"/>
      <w:bookmarkStart w:id="111" w:name="_Toc431376138"/>
      <w:bookmarkStart w:id="112" w:name="_Toc431376173"/>
      <w:bookmarkStart w:id="113" w:name="_Toc431376207"/>
      <w:bookmarkStart w:id="114" w:name="_Toc431376881"/>
      <w:bookmarkStart w:id="115" w:name="_Toc431377268"/>
      <w:bookmarkStart w:id="116" w:name="_Toc436755617"/>
      <w:bookmarkStart w:id="117" w:name="_Toc448322883"/>
      <w:bookmarkStart w:id="118" w:name="_Toc448322925"/>
      <w:bookmarkStart w:id="119" w:name="_Toc448322965"/>
      <w:bookmarkStart w:id="120" w:name="_Toc448323004"/>
      <w:bookmarkStart w:id="121" w:name="_Toc448323041"/>
      <w:bookmarkStart w:id="122" w:name="_Toc448323075"/>
      <w:bookmarkStart w:id="123" w:name="_Toc448323109"/>
      <w:bookmarkStart w:id="124" w:name="_Toc448323141"/>
      <w:bookmarkStart w:id="125" w:name="_Toc448401942"/>
      <w:bookmarkStart w:id="126" w:name="_Toc449699270"/>
      <w:bookmarkStart w:id="127" w:name="_Toc449699305"/>
      <w:bookmarkStart w:id="128" w:name="_Toc45514314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E31C3A" w:rsidRPr="00E31C3A" w:rsidRDefault="00E31C3A" w:rsidP="00E31C3A">
      <w:pPr>
        <w:pStyle w:val="Odstavecseseznamem"/>
        <w:keepNext/>
        <w:keepLines/>
        <w:numPr>
          <w:ilvl w:val="0"/>
          <w:numId w:val="46"/>
        </w:numPr>
        <w:spacing w:before="480" w:after="240"/>
        <w:contextualSpacing w:val="0"/>
        <w:outlineLvl w:val="0"/>
        <w:rPr>
          <w:rFonts w:eastAsiaTheme="majorEastAsia" w:cs="Arial"/>
          <w:b/>
          <w:bCs/>
          <w:vanish/>
          <w:color w:val="000000" w:themeColor="text1"/>
          <w:sz w:val="28"/>
          <w:szCs w:val="28"/>
        </w:rPr>
      </w:pPr>
      <w:bookmarkStart w:id="129" w:name="_Toc431375999"/>
      <w:bookmarkStart w:id="130" w:name="_Toc431376040"/>
      <w:bookmarkStart w:id="131" w:name="_Toc431376079"/>
      <w:bookmarkStart w:id="132" w:name="_Toc431376139"/>
      <w:bookmarkStart w:id="133" w:name="_Toc431376174"/>
      <w:bookmarkStart w:id="134" w:name="_Toc431376208"/>
      <w:bookmarkStart w:id="135" w:name="_Toc431376882"/>
      <w:bookmarkStart w:id="136" w:name="_Toc431377269"/>
      <w:bookmarkStart w:id="137" w:name="_Toc436755618"/>
      <w:bookmarkStart w:id="138" w:name="_Toc448322884"/>
      <w:bookmarkStart w:id="139" w:name="_Toc448322926"/>
      <w:bookmarkStart w:id="140" w:name="_Toc448322966"/>
      <w:bookmarkStart w:id="141" w:name="_Toc448323005"/>
      <w:bookmarkStart w:id="142" w:name="_Toc448323042"/>
      <w:bookmarkStart w:id="143" w:name="_Toc448323076"/>
      <w:bookmarkStart w:id="144" w:name="_Toc448323110"/>
      <w:bookmarkStart w:id="145" w:name="_Toc448323142"/>
      <w:bookmarkStart w:id="146" w:name="_Toc448401943"/>
      <w:bookmarkStart w:id="147" w:name="_Toc449699271"/>
      <w:bookmarkStart w:id="148" w:name="_Toc449699306"/>
      <w:bookmarkStart w:id="149" w:name="_Toc45514314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E31C3A" w:rsidRPr="00E31C3A" w:rsidRDefault="00E31C3A" w:rsidP="00E31C3A">
      <w:pPr>
        <w:pStyle w:val="Odstavecseseznamem"/>
        <w:keepNext/>
        <w:keepLines/>
        <w:numPr>
          <w:ilvl w:val="1"/>
          <w:numId w:val="46"/>
        </w:numPr>
        <w:spacing w:before="480" w:after="240"/>
        <w:contextualSpacing w:val="0"/>
        <w:outlineLvl w:val="0"/>
        <w:rPr>
          <w:rFonts w:eastAsiaTheme="majorEastAsia" w:cs="Arial"/>
          <w:b/>
          <w:bCs/>
          <w:vanish/>
          <w:color w:val="000000" w:themeColor="text1"/>
          <w:sz w:val="28"/>
          <w:szCs w:val="28"/>
        </w:rPr>
      </w:pPr>
      <w:bookmarkStart w:id="150" w:name="_Toc431376000"/>
      <w:bookmarkStart w:id="151" w:name="_Toc431376041"/>
      <w:bookmarkStart w:id="152" w:name="_Toc431376080"/>
      <w:bookmarkStart w:id="153" w:name="_Toc431376140"/>
      <w:bookmarkStart w:id="154" w:name="_Toc431376175"/>
      <w:bookmarkStart w:id="155" w:name="_Toc431376209"/>
      <w:bookmarkStart w:id="156" w:name="_Toc431376883"/>
      <w:bookmarkStart w:id="157" w:name="_Toc431377270"/>
      <w:bookmarkStart w:id="158" w:name="_Toc436755619"/>
      <w:bookmarkStart w:id="159" w:name="_Toc448322885"/>
      <w:bookmarkStart w:id="160" w:name="_Toc448322927"/>
      <w:bookmarkStart w:id="161" w:name="_Toc448322967"/>
      <w:bookmarkStart w:id="162" w:name="_Toc448323006"/>
      <w:bookmarkStart w:id="163" w:name="_Toc448323043"/>
      <w:bookmarkStart w:id="164" w:name="_Toc448323077"/>
      <w:bookmarkStart w:id="165" w:name="_Toc448323111"/>
      <w:bookmarkStart w:id="166" w:name="_Toc448323143"/>
      <w:bookmarkStart w:id="167" w:name="_Toc448401944"/>
      <w:bookmarkStart w:id="168" w:name="_Toc449699272"/>
      <w:bookmarkStart w:id="169" w:name="_Toc449699307"/>
      <w:bookmarkStart w:id="170" w:name="_Toc45514314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2D601A" w:rsidRPr="009A1622" w:rsidRDefault="002D601A" w:rsidP="006B7F53">
      <w:pPr>
        <w:pStyle w:val="Pravidla11"/>
        <w:numPr>
          <w:ilvl w:val="1"/>
          <w:numId w:val="46"/>
        </w:numPr>
        <w:tabs>
          <w:tab w:val="left" w:pos="993"/>
        </w:tabs>
        <w:spacing w:after="0"/>
      </w:pPr>
      <w:bookmarkStart w:id="171" w:name="_Toc455143145"/>
      <w:r w:rsidRPr="009A1622">
        <w:t>Výběr projektů</w:t>
      </w:r>
      <w:bookmarkEnd w:id="64"/>
      <w:bookmarkEnd w:id="171"/>
    </w:p>
    <w:p w:rsidR="00A4459D" w:rsidRPr="00401481" w:rsidRDefault="002D601A" w:rsidP="00401481">
      <w:pPr>
        <w:spacing w:after="0"/>
        <w:rPr>
          <w:b/>
        </w:rPr>
      </w:pPr>
      <w:bookmarkStart w:id="172" w:name="_Toc426029759"/>
      <w:r w:rsidRPr="00401481">
        <w:rPr>
          <w:b/>
        </w:rPr>
        <w:t xml:space="preserve">Výběr projektů a příprava a vydání </w:t>
      </w:r>
      <w:bookmarkEnd w:id="172"/>
      <w:r w:rsidR="00FC20A3" w:rsidRPr="00401481">
        <w:rPr>
          <w:b/>
        </w:rPr>
        <w:t>Rozhodnutí/Stanovení výdajů</w:t>
      </w:r>
    </w:p>
    <w:p w:rsidR="002D601A" w:rsidRDefault="002D601A" w:rsidP="00EA3680">
      <w:r w:rsidRPr="00A4459D">
        <w:t xml:space="preserve">Probíhá v souladu s kapitolami </w:t>
      </w:r>
      <w:r w:rsidR="00C23ADA">
        <w:t xml:space="preserve">3.8 </w:t>
      </w:r>
      <w:r w:rsidRPr="00A4459D">
        <w:t xml:space="preserve">až </w:t>
      </w:r>
      <w:r w:rsidR="00C23ADA">
        <w:t xml:space="preserve">3.10 </w:t>
      </w:r>
      <w:r w:rsidRPr="00A4459D">
        <w:t>Obecných pravidel u žádostí, které úspěšně prošly předchozími fázemi hodnocení.</w:t>
      </w:r>
    </w:p>
    <w:p w:rsidR="00E31C3A" w:rsidRDefault="00E31C3A">
      <w:pPr>
        <w:spacing w:line="276" w:lineRule="auto"/>
        <w:jc w:val="left"/>
      </w:pPr>
      <w:r>
        <w:br w:type="page"/>
      </w:r>
    </w:p>
    <w:p w:rsidR="002D601A" w:rsidRDefault="002D601A" w:rsidP="006B7F53">
      <w:pPr>
        <w:pStyle w:val="Pravidla1"/>
        <w:numPr>
          <w:ilvl w:val="0"/>
          <w:numId w:val="27"/>
        </w:numPr>
        <w:spacing w:after="240"/>
      </w:pPr>
      <w:bookmarkStart w:id="173" w:name="_Toc425438195"/>
      <w:bookmarkStart w:id="174" w:name="_Toc425438257"/>
      <w:bookmarkStart w:id="175" w:name="_Toc425438322"/>
      <w:bookmarkStart w:id="176" w:name="_Toc425438196"/>
      <w:bookmarkStart w:id="177" w:name="_Toc425438258"/>
      <w:bookmarkStart w:id="178" w:name="_Toc425438323"/>
      <w:bookmarkStart w:id="179" w:name="_Toc426029760"/>
      <w:bookmarkStart w:id="180" w:name="_Toc455143146"/>
      <w:bookmarkEnd w:id="173"/>
      <w:bookmarkEnd w:id="174"/>
      <w:bookmarkEnd w:id="175"/>
      <w:bookmarkEnd w:id="176"/>
      <w:bookmarkEnd w:id="177"/>
      <w:bookmarkEnd w:id="178"/>
      <w:r>
        <w:lastRenderedPageBreak/>
        <w:t>Monitorování projektů</w:t>
      </w:r>
      <w:bookmarkEnd w:id="179"/>
      <w:bookmarkEnd w:id="180"/>
    </w:p>
    <w:p w:rsidR="002D601A" w:rsidRDefault="002D601A" w:rsidP="00EA3680">
      <w:r>
        <w:t>Monitorování postupu projektů se uskutečňuje prostřednictvím:</w:t>
      </w:r>
    </w:p>
    <w:p w:rsidR="002D601A" w:rsidRDefault="002D601A" w:rsidP="00EA3680">
      <w:pPr>
        <w:pStyle w:val="Odstavecseseznamem"/>
        <w:numPr>
          <w:ilvl w:val="0"/>
          <w:numId w:val="21"/>
        </w:numPr>
      </w:pPr>
      <w:r>
        <w:t>Zpráv o realizaci projektu (dále jen „Zpráva“ nebo „</w:t>
      </w:r>
      <w:proofErr w:type="spellStart"/>
      <w:r>
        <w:t>ZoR</w:t>
      </w:r>
      <w:proofErr w:type="spellEnd"/>
      <w:r>
        <w:t>“</w:t>
      </w:r>
      <w:r w:rsidR="00CD21D7">
        <w:t xml:space="preserve"> projektu</w:t>
      </w:r>
      <w:r>
        <w:t>),</w:t>
      </w:r>
    </w:p>
    <w:p w:rsidR="002D601A" w:rsidRDefault="002D601A" w:rsidP="00EA3680">
      <w:pPr>
        <w:pStyle w:val="Odstavecseseznamem"/>
        <w:numPr>
          <w:ilvl w:val="0"/>
          <w:numId w:val="21"/>
        </w:numPr>
      </w:pPr>
      <w:r>
        <w:t>Zpráv o udržitelnosti projektu (dále jen „Zpráva“ nebo „</w:t>
      </w:r>
      <w:proofErr w:type="spellStart"/>
      <w:r>
        <w:t>ZoU</w:t>
      </w:r>
      <w:proofErr w:type="spellEnd"/>
      <w:r>
        <w:t>“</w:t>
      </w:r>
      <w:r w:rsidR="00CD21D7">
        <w:t xml:space="preserve"> projektu</w:t>
      </w:r>
      <w:r>
        <w:t>).</w:t>
      </w:r>
    </w:p>
    <w:p w:rsidR="002D601A" w:rsidRDefault="002D601A" w:rsidP="00EA3680">
      <w:r>
        <w:t>Předkládání Zpráv probíhá v souladu s kap. 14 Obecných pravidel.</w:t>
      </w:r>
    </w:p>
    <w:p w:rsidR="002D601A" w:rsidRDefault="002D601A" w:rsidP="00EA3680">
      <w:r>
        <w:t xml:space="preserve">Spolu s Průběžnou/Závěrečnou </w:t>
      </w:r>
      <w:proofErr w:type="spellStart"/>
      <w:r>
        <w:t>ZoR</w:t>
      </w:r>
      <w:proofErr w:type="spellEnd"/>
      <w:r>
        <w:t xml:space="preserve"> </w:t>
      </w:r>
      <w:r w:rsidR="00CD21D7">
        <w:t xml:space="preserve">projektu </w:t>
      </w:r>
      <w:r>
        <w:t>předkládá příjemce také Zjednodušenou žádost</w:t>
      </w:r>
      <w:r w:rsidR="00CD21D7">
        <w:t xml:space="preserve"> </w:t>
      </w:r>
      <w:r>
        <w:t>o platbu (dále jen „</w:t>
      </w:r>
      <w:proofErr w:type="spellStart"/>
      <w:r>
        <w:t>ZŽoP</w:t>
      </w:r>
      <w:proofErr w:type="spellEnd"/>
      <w:r>
        <w:t>“), viz kapitola 18.5 Obecných pravidel.</w:t>
      </w:r>
      <w:r w:rsidR="003C3E3B">
        <w:t xml:space="preserve"> </w:t>
      </w:r>
    </w:p>
    <w:p w:rsidR="00E31C3A" w:rsidRDefault="004B2029" w:rsidP="00EA3680">
      <w:r>
        <w:t xml:space="preserve">Realizace projektu může být rozdělena na etapy. </w:t>
      </w:r>
      <w:r w:rsidRPr="00E23F3B">
        <w:t>Příjemce je povinen dodržovat etapy stanovené v</w:t>
      </w:r>
      <w:r>
        <w:t> </w:t>
      </w:r>
      <w:r w:rsidRPr="00E23F3B">
        <w:t>žádosti</w:t>
      </w:r>
      <w:r>
        <w:t xml:space="preserve"> o podporu</w:t>
      </w:r>
      <w:r w:rsidR="00E31C3A">
        <w:t xml:space="preserve">, </w:t>
      </w:r>
      <w:r w:rsidR="00E31C3A" w:rsidRPr="00CB13B8">
        <w:rPr>
          <w:rFonts w:cs="Arial"/>
        </w:rPr>
        <w:t xml:space="preserve">tj. předkládat na základě stanovených etap průběžné </w:t>
      </w:r>
      <w:proofErr w:type="spellStart"/>
      <w:r w:rsidR="00E31C3A">
        <w:rPr>
          <w:rFonts w:cs="Arial"/>
        </w:rPr>
        <w:t>ZoR</w:t>
      </w:r>
      <w:proofErr w:type="spellEnd"/>
      <w:r w:rsidR="00E31C3A" w:rsidRPr="00CB13B8">
        <w:rPr>
          <w:rFonts w:cs="Arial"/>
        </w:rPr>
        <w:t xml:space="preserve"> projektu</w:t>
      </w:r>
      <w:r w:rsidR="00E31C3A">
        <w:rPr>
          <w:rFonts w:cs="Arial"/>
        </w:rPr>
        <w:t>,</w:t>
      </w:r>
      <w:r w:rsidR="00F41322">
        <w:rPr>
          <w:rFonts w:cs="Arial"/>
        </w:rPr>
        <w:t xml:space="preserve"> včetně</w:t>
      </w:r>
      <w:r w:rsidR="00E31C3A" w:rsidRPr="00CB13B8">
        <w:rPr>
          <w:rFonts w:cs="Arial"/>
        </w:rPr>
        <w:t xml:space="preserve"> </w:t>
      </w:r>
      <w:r w:rsidR="00E31C3A">
        <w:rPr>
          <w:rFonts w:cs="Arial"/>
        </w:rPr>
        <w:t>Z</w:t>
      </w:r>
      <w:r w:rsidR="00E31C3A" w:rsidRPr="00CB13B8">
        <w:rPr>
          <w:rFonts w:cs="Arial"/>
        </w:rPr>
        <w:t xml:space="preserve">jednodušené </w:t>
      </w:r>
      <w:r w:rsidR="00E31C3A">
        <w:rPr>
          <w:rFonts w:cs="Arial"/>
        </w:rPr>
        <w:t>ž</w:t>
      </w:r>
      <w:r w:rsidR="00E31C3A" w:rsidRPr="00CB13B8">
        <w:rPr>
          <w:rFonts w:cs="Arial"/>
        </w:rPr>
        <w:t>ádosti o platbu</w:t>
      </w:r>
      <w:r w:rsidR="007368F2">
        <w:t>.</w:t>
      </w:r>
      <w:r w:rsidRPr="00E23F3B">
        <w:t xml:space="preserve"> </w:t>
      </w:r>
    </w:p>
    <w:p w:rsidR="00FF5AA4" w:rsidRDefault="00FF5AA4">
      <w:pPr>
        <w:spacing w:line="276" w:lineRule="auto"/>
        <w:jc w:val="left"/>
      </w:pPr>
      <w:r>
        <w:br w:type="page"/>
      </w:r>
    </w:p>
    <w:p w:rsidR="00A60C03" w:rsidRDefault="003E4B50" w:rsidP="004C2C6D">
      <w:pPr>
        <w:pStyle w:val="Pravidla1"/>
        <w:numPr>
          <w:ilvl w:val="0"/>
          <w:numId w:val="27"/>
        </w:numPr>
        <w:spacing w:after="240"/>
      </w:pPr>
      <w:bookmarkStart w:id="181" w:name="_Toc428868355"/>
      <w:bookmarkStart w:id="182" w:name="_Toc429053717"/>
      <w:bookmarkStart w:id="183" w:name="_Toc429053788"/>
      <w:bookmarkStart w:id="184" w:name="_Toc429053825"/>
      <w:bookmarkStart w:id="185" w:name="_Toc429053861"/>
      <w:bookmarkStart w:id="186" w:name="_Toc429054879"/>
      <w:bookmarkStart w:id="187" w:name="_Toc429056046"/>
      <w:bookmarkStart w:id="188" w:name="_Toc429056091"/>
      <w:bookmarkStart w:id="189" w:name="_Toc429056132"/>
      <w:bookmarkStart w:id="190" w:name="_Toc429056172"/>
      <w:bookmarkStart w:id="191" w:name="_Toc429056210"/>
      <w:bookmarkStart w:id="192" w:name="_Toc429056248"/>
      <w:bookmarkStart w:id="193" w:name="_Toc429056285"/>
      <w:bookmarkStart w:id="194" w:name="_Toc429056322"/>
      <w:bookmarkStart w:id="195" w:name="_Toc429056359"/>
      <w:bookmarkStart w:id="196" w:name="_Toc429056396"/>
      <w:bookmarkStart w:id="197" w:name="_Toc429056433"/>
      <w:bookmarkStart w:id="198" w:name="_Toc429056470"/>
      <w:bookmarkStart w:id="199" w:name="_Toc429056507"/>
      <w:bookmarkStart w:id="200" w:name="_Toc429056544"/>
      <w:bookmarkStart w:id="201" w:name="_Toc429056581"/>
      <w:bookmarkStart w:id="202" w:name="_Toc429056618"/>
      <w:bookmarkStart w:id="203" w:name="_Toc429056654"/>
      <w:bookmarkStart w:id="204" w:name="_Toc429057322"/>
      <w:bookmarkStart w:id="205" w:name="_Toc425438198"/>
      <w:bookmarkStart w:id="206" w:name="_Toc425438260"/>
      <w:bookmarkStart w:id="207" w:name="_Toc425438325"/>
      <w:bookmarkStart w:id="208" w:name="_Toc426023127"/>
      <w:bookmarkStart w:id="209" w:name="_Toc426029761"/>
      <w:bookmarkStart w:id="210" w:name="_Toc429053718"/>
      <w:bookmarkStart w:id="211" w:name="_Toc429053789"/>
      <w:bookmarkStart w:id="212" w:name="_Toc429053826"/>
      <w:bookmarkStart w:id="213" w:name="_Toc429053862"/>
      <w:bookmarkStart w:id="214" w:name="_Toc429054880"/>
      <w:bookmarkStart w:id="215" w:name="_Toc429056047"/>
      <w:bookmarkStart w:id="216" w:name="_Toc429056092"/>
      <w:bookmarkStart w:id="217" w:name="_Toc429056133"/>
      <w:bookmarkStart w:id="218" w:name="_Toc429056173"/>
      <w:bookmarkStart w:id="219" w:name="_Toc429056211"/>
      <w:bookmarkStart w:id="220" w:name="_Toc429056249"/>
      <w:bookmarkStart w:id="221" w:name="_Toc429056286"/>
      <w:bookmarkStart w:id="222" w:name="_Toc429056323"/>
      <w:bookmarkStart w:id="223" w:name="_Toc429056360"/>
      <w:bookmarkStart w:id="224" w:name="_Toc429056397"/>
      <w:bookmarkStart w:id="225" w:name="_Toc429056434"/>
      <w:bookmarkStart w:id="226" w:name="_Toc429056471"/>
      <w:bookmarkStart w:id="227" w:name="_Toc429056508"/>
      <w:bookmarkStart w:id="228" w:name="_Toc429056545"/>
      <w:bookmarkStart w:id="229" w:name="_Toc429056582"/>
      <w:bookmarkStart w:id="230" w:name="_Toc429056619"/>
      <w:bookmarkStart w:id="231" w:name="_Toc429056655"/>
      <w:bookmarkStart w:id="232" w:name="_Toc429057323"/>
      <w:bookmarkStart w:id="233" w:name="_Toc429056052"/>
      <w:bookmarkStart w:id="234" w:name="_Toc429056097"/>
      <w:bookmarkStart w:id="235" w:name="_Toc429056138"/>
      <w:bookmarkStart w:id="236" w:name="_Toc429056178"/>
      <w:bookmarkStart w:id="237" w:name="_Toc429056216"/>
      <w:bookmarkStart w:id="238" w:name="_Toc429056254"/>
      <w:bookmarkStart w:id="239" w:name="_Toc429056291"/>
      <w:bookmarkStart w:id="240" w:name="_Toc429056328"/>
      <w:bookmarkStart w:id="241" w:name="_Toc429056365"/>
      <w:bookmarkStart w:id="242" w:name="_Toc429056402"/>
      <w:bookmarkStart w:id="243" w:name="_Toc429056439"/>
      <w:bookmarkStart w:id="244" w:name="_Toc429056476"/>
      <w:bookmarkStart w:id="245" w:name="_Toc429056513"/>
      <w:bookmarkStart w:id="246" w:name="_Toc429056550"/>
      <w:bookmarkStart w:id="247" w:name="_Toc429056587"/>
      <w:bookmarkStart w:id="248" w:name="_Toc429056624"/>
      <w:bookmarkStart w:id="249" w:name="_Toc429056660"/>
      <w:bookmarkStart w:id="250" w:name="_Toc429057328"/>
      <w:bookmarkStart w:id="251" w:name="_Toc455143147"/>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lastRenderedPageBreak/>
        <w:t>Financování</w:t>
      </w:r>
      <w:bookmarkEnd w:id="251"/>
    </w:p>
    <w:p w:rsidR="00FF5AA4" w:rsidRPr="00CB13B8" w:rsidRDefault="00FF5AA4" w:rsidP="00FF5AA4">
      <w:pPr>
        <w:rPr>
          <w:rFonts w:cs="Arial"/>
        </w:rPr>
      </w:pPr>
      <w:r w:rsidRPr="00CB13B8">
        <w:rPr>
          <w:rFonts w:cs="Arial"/>
        </w:rPr>
        <w:t xml:space="preserve">Podrobnosti k financování jsou uvedeny v kap. 18 Obecných pravidel. </w:t>
      </w:r>
    </w:p>
    <w:p w:rsidR="003E4B50" w:rsidRPr="00E07CE1" w:rsidRDefault="003E4B50" w:rsidP="003E4B50">
      <w:pPr>
        <w:rPr>
          <w:b/>
        </w:rPr>
      </w:pPr>
      <w:r w:rsidRPr="00E07CE1">
        <w:rPr>
          <w:b/>
        </w:rPr>
        <w:t>Financování projektů</w:t>
      </w:r>
    </w:p>
    <w:p w:rsidR="003E4B50" w:rsidRDefault="00B40CDF" w:rsidP="00FC20A3">
      <w:r w:rsidRPr="00B40CDF">
        <w:t>ŘO IROP stanovil pro</w:t>
      </w:r>
      <w:r>
        <w:t xml:space="preserve"> tuto výzvu ex-post financování</w:t>
      </w:r>
      <w:r w:rsidR="003E4B50">
        <w:t>. Příjemce podává po ukončení etapy projektu zjednodušenou žádost o platbu a doklady prokazující úhradu vynaložených výdajů. Finanční prostředky příjemce obdrží po schválení žádosti o platbu na ŘO IROP</w:t>
      </w:r>
      <w:r w:rsidR="0095042D">
        <w:t>.</w:t>
      </w:r>
    </w:p>
    <w:p w:rsidR="00B40CDF" w:rsidRDefault="00FC20A3" w:rsidP="00FC20A3">
      <w:r>
        <w:t>OSS</w:t>
      </w:r>
      <w:r w:rsidR="003E4B50">
        <w:t xml:space="preserve"> a </w:t>
      </w:r>
      <w:r>
        <w:t>PO OSS</w:t>
      </w:r>
      <w:r w:rsidR="003E4B50" w:rsidRPr="0027207F">
        <w:t xml:space="preserve"> hradí výdaje na realizaci projektu ze své kapitoly státního rozpočtu, ve které jsou finanční prostředky na národní spolufinancování a předfinancování prostředků ze zdrojů SF </w:t>
      </w:r>
      <w:proofErr w:type="spellStart"/>
      <w:r w:rsidR="003E4B50" w:rsidRPr="0027207F">
        <w:t>narozpočtovány</w:t>
      </w:r>
      <w:proofErr w:type="spellEnd"/>
      <w:r w:rsidR="003E4B50" w:rsidRPr="0027207F">
        <w:t xml:space="preserve">. </w:t>
      </w:r>
    </w:p>
    <w:p w:rsidR="003E4B50" w:rsidRDefault="003E4B50" w:rsidP="00FC20A3">
      <w:r w:rsidRPr="0027207F">
        <w:t xml:space="preserve">Podávaná Žádost o platbu je evidovaná na formulářích pro </w:t>
      </w:r>
      <w:proofErr w:type="gramStart"/>
      <w:r w:rsidRPr="0027207F">
        <w:t>ex</w:t>
      </w:r>
      <w:proofErr w:type="gramEnd"/>
      <w:r w:rsidRPr="0027207F">
        <w:t>–</w:t>
      </w:r>
      <w:proofErr w:type="gramStart"/>
      <w:r w:rsidRPr="0027207F">
        <w:t>post</w:t>
      </w:r>
      <w:proofErr w:type="gramEnd"/>
      <w:r w:rsidRPr="0027207F">
        <w:t xml:space="preserve"> financování</w:t>
      </w:r>
      <w:r>
        <w:t>.</w:t>
      </w:r>
      <w:r w:rsidRPr="0027207F">
        <w:t xml:space="preserve"> </w:t>
      </w:r>
      <w:r>
        <w:t xml:space="preserve">Způsoby financování </w:t>
      </w:r>
      <w:r w:rsidR="002C3F85">
        <w:t>PO</w:t>
      </w:r>
      <w:r>
        <w:t xml:space="preserve"> OSS jsou popsány v kapitole 18.7 Obecných pravidel.</w:t>
      </w:r>
      <w:r w:rsidRPr="0027207F" w:rsidDel="00AE6892">
        <w:t xml:space="preserve"> </w:t>
      </w:r>
    </w:p>
    <w:p w:rsidR="00FF5AA4" w:rsidRDefault="00FF5AA4" w:rsidP="004B2F6E">
      <w:pPr>
        <w:pStyle w:val="Odstavecseseznamem"/>
      </w:pPr>
    </w:p>
    <w:p w:rsidR="00FF5AA4" w:rsidRPr="00FF5AA4" w:rsidRDefault="00FF5AA4" w:rsidP="00FF5AA4">
      <w:pPr>
        <w:pStyle w:val="Odstavecseseznamem"/>
        <w:keepNext/>
        <w:keepLines/>
        <w:numPr>
          <w:ilvl w:val="0"/>
          <w:numId w:val="46"/>
        </w:numPr>
        <w:spacing w:before="120" w:after="0"/>
        <w:contextualSpacing w:val="0"/>
        <w:jc w:val="left"/>
        <w:outlineLvl w:val="0"/>
        <w:rPr>
          <w:rFonts w:eastAsiaTheme="majorEastAsia" w:cs="Arial"/>
          <w:b/>
          <w:bCs/>
          <w:vanish/>
          <w:color w:val="000000" w:themeColor="text1"/>
          <w:sz w:val="28"/>
          <w:szCs w:val="28"/>
        </w:rPr>
      </w:pPr>
      <w:bookmarkStart w:id="252" w:name="_Toc431376005"/>
      <w:bookmarkStart w:id="253" w:name="_Toc431376046"/>
      <w:bookmarkStart w:id="254" w:name="_Toc431376085"/>
      <w:bookmarkStart w:id="255" w:name="_Toc431376145"/>
      <w:bookmarkStart w:id="256" w:name="_Toc431376180"/>
      <w:bookmarkStart w:id="257" w:name="_Toc431376214"/>
      <w:bookmarkStart w:id="258" w:name="_Toc431376887"/>
      <w:bookmarkStart w:id="259" w:name="_Toc431377274"/>
      <w:bookmarkStart w:id="260" w:name="_Toc436755624"/>
      <w:bookmarkStart w:id="261" w:name="_Toc448322890"/>
      <w:bookmarkStart w:id="262" w:name="_Toc448322932"/>
      <w:bookmarkStart w:id="263" w:name="_Toc448322972"/>
      <w:bookmarkStart w:id="264" w:name="_Toc448323011"/>
      <w:bookmarkStart w:id="265" w:name="_Toc448323048"/>
      <w:bookmarkStart w:id="266" w:name="_Toc448323082"/>
      <w:bookmarkStart w:id="267" w:name="_Toc448323115"/>
      <w:bookmarkStart w:id="268" w:name="_Toc448323147"/>
      <w:bookmarkStart w:id="269" w:name="_Toc448401948"/>
      <w:bookmarkStart w:id="270" w:name="_Toc449699276"/>
      <w:bookmarkStart w:id="271" w:name="_Toc449699311"/>
      <w:bookmarkStart w:id="272" w:name="_Toc455143148"/>
      <w:bookmarkStart w:id="273" w:name="_Toc430871574"/>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FF5AA4" w:rsidRPr="00FF5AA4" w:rsidRDefault="00FF5AA4" w:rsidP="00FF5AA4">
      <w:pPr>
        <w:pStyle w:val="Odstavecseseznamem"/>
        <w:keepNext/>
        <w:keepLines/>
        <w:numPr>
          <w:ilvl w:val="0"/>
          <w:numId w:val="46"/>
        </w:numPr>
        <w:spacing w:before="120" w:after="0"/>
        <w:contextualSpacing w:val="0"/>
        <w:jc w:val="left"/>
        <w:outlineLvl w:val="0"/>
        <w:rPr>
          <w:rFonts w:eastAsiaTheme="majorEastAsia" w:cs="Arial"/>
          <w:b/>
          <w:bCs/>
          <w:vanish/>
          <w:color w:val="000000" w:themeColor="text1"/>
          <w:sz w:val="28"/>
          <w:szCs w:val="28"/>
        </w:rPr>
      </w:pPr>
      <w:bookmarkStart w:id="274" w:name="_Toc431376006"/>
      <w:bookmarkStart w:id="275" w:name="_Toc431376047"/>
      <w:bookmarkStart w:id="276" w:name="_Toc431376086"/>
      <w:bookmarkStart w:id="277" w:name="_Toc431376146"/>
      <w:bookmarkStart w:id="278" w:name="_Toc431376181"/>
      <w:bookmarkStart w:id="279" w:name="_Toc431376215"/>
      <w:bookmarkStart w:id="280" w:name="_Toc431376888"/>
      <w:bookmarkStart w:id="281" w:name="_Toc431377275"/>
      <w:bookmarkStart w:id="282" w:name="_Toc436755625"/>
      <w:bookmarkStart w:id="283" w:name="_Toc448322891"/>
      <w:bookmarkStart w:id="284" w:name="_Toc448322933"/>
      <w:bookmarkStart w:id="285" w:name="_Toc448322973"/>
      <w:bookmarkStart w:id="286" w:name="_Toc448323012"/>
      <w:bookmarkStart w:id="287" w:name="_Toc448323049"/>
      <w:bookmarkStart w:id="288" w:name="_Toc448323083"/>
      <w:bookmarkStart w:id="289" w:name="_Toc448323116"/>
      <w:bookmarkStart w:id="290" w:name="_Toc448323148"/>
      <w:bookmarkStart w:id="291" w:name="_Toc448401949"/>
      <w:bookmarkStart w:id="292" w:name="_Toc449699277"/>
      <w:bookmarkStart w:id="293" w:name="_Toc449699312"/>
      <w:bookmarkStart w:id="294" w:name="_Toc455143149"/>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FF5AA4" w:rsidRPr="00CB13B8" w:rsidRDefault="00FF5AA4" w:rsidP="00E838A0">
      <w:pPr>
        <w:pStyle w:val="Pravidla11"/>
        <w:numPr>
          <w:ilvl w:val="1"/>
          <w:numId w:val="46"/>
        </w:numPr>
        <w:tabs>
          <w:tab w:val="left" w:pos="993"/>
        </w:tabs>
        <w:spacing w:before="120" w:after="0"/>
        <w:jc w:val="left"/>
      </w:pPr>
      <w:bookmarkStart w:id="295" w:name="_Toc455143150"/>
      <w:r w:rsidRPr="00CB13B8">
        <w:t>Zjednodušená žádost o platbu</w:t>
      </w:r>
      <w:bookmarkEnd w:id="273"/>
      <w:bookmarkEnd w:id="295"/>
      <w:r w:rsidRPr="00CB13B8">
        <w:t xml:space="preserve"> </w:t>
      </w:r>
    </w:p>
    <w:p w:rsidR="00FF5AA4" w:rsidRDefault="00FF5AA4" w:rsidP="00FF5AA4">
      <w:pPr>
        <w:rPr>
          <w:rFonts w:cs="Arial"/>
        </w:rPr>
      </w:pPr>
      <w:proofErr w:type="spellStart"/>
      <w:r w:rsidRPr="00CB13B8">
        <w:rPr>
          <w:rFonts w:cs="Arial"/>
        </w:rPr>
        <w:t>ZŽoP</w:t>
      </w:r>
      <w:proofErr w:type="spellEnd"/>
      <w:r>
        <w:rPr>
          <w:rFonts w:cs="Arial"/>
        </w:rPr>
        <w:t xml:space="preserve"> příjemce podává s</w:t>
      </w:r>
      <w:r w:rsidRPr="00974993">
        <w:rPr>
          <w:rFonts w:cs="Arial"/>
        </w:rPr>
        <w:t xml:space="preserve">polu s Průběžnou/Závěrečnou </w:t>
      </w:r>
      <w:proofErr w:type="spellStart"/>
      <w:r w:rsidRPr="00974993">
        <w:rPr>
          <w:rFonts w:cs="Arial"/>
        </w:rPr>
        <w:t>ZoR</w:t>
      </w:r>
      <w:proofErr w:type="spellEnd"/>
      <w:r w:rsidRPr="00974993">
        <w:rPr>
          <w:rFonts w:cs="Arial"/>
        </w:rPr>
        <w:t xml:space="preserve"> projektu</w:t>
      </w:r>
      <w:r w:rsidRPr="00CB13B8">
        <w:rPr>
          <w:rFonts w:cs="Arial"/>
        </w:rPr>
        <w:t xml:space="preserve">. Postup </w:t>
      </w:r>
      <w:r>
        <w:rPr>
          <w:rFonts w:cs="Arial"/>
        </w:rPr>
        <w:t>podání</w:t>
      </w:r>
      <w:r w:rsidRPr="00CB13B8">
        <w:rPr>
          <w:rFonts w:cs="Arial"/>
        </w:rPr>
        <w:t xml:space="preserve"> </w:t>
      </w:r>
      <w:proofErr w:type="spellStart"/>
      <w:r>
        <w:rPr>
          <w:rFonts w:cs="Arial"/>
        </w:rPr>
        <w:t>ZŽoP</w:t>
      </w:r>
      <w:proofErr w:type="spellEnd"/>
      <w:r w:rsidRPr="00CB13B8">
        <w:rPr>
          <w:rFonts w:cs="Arial"/>
        </w:rPr>
        <w:t xml:space="preserve"> je popsán v kapitole 18.5 Obecných pravidel.</w:t>
      </w:r>
    </w:p>
    <w:p w:rsidR="00FF5AA4" w:rsidRPr="00CB13B8" w:rsidRDefault="00FF5AA4" w:rsidP="00FF5AA4">
      <w:pPr>
        <w:rPr>
          <w:rFonts w:cs="Arial"/>
        </w:rPr>
      </w:pPr>
      <w:r w:rsidRPr="00A317B6">
        <w:rPr>
          <w:rFonts w:cs="Arial"/>
        </w:rPr>
        <w:t xml:space="preserve">Po doložení poslední </w:t>
      </w:r>
      <w:proofErr w:type="spellStart"/>
      <w:r w:rsidRPr="00A317B6">
        <w:rPr>
          <w:rFonts w:cs="Arial"/>
        </w:rPr>
        <w:t>ZŽoP</w:t>
      </w:r>
      <w:proofErr w:type="spellEnd"/>
      <w:r w:rsidRPr="00A317B6">
        <w:rPr>
          <w:rFonts w:cs="Arial"/>
        </w:rPr>
        <w:t xml:space="preserve"> zjistí CRR konečnou výši celkových způsobilých výdajů projektu na hlavní a vedlejší aktivity projektu. Pokud není splněn limit výdajů na vedlejší aktivity projektu (maximálně 15 % z celkových způsobilých výdajů projektu), je krácena částka dotace do výše limitu.</w:t>
      </w:r>
    </w:p>
    <w:p w:rsidR="00FF5AA4" w:rsidRDefault="00FF5AA4" w:rsidP="00E838A0">
      <w:pPr>
        <w:pStyle w:val="Pravidla11"/>
        <w:numPr>
          <w:ilvl w:val="1"/>
          <w:numId w:val="46"/>
        </w:numPr>
        <w:tabs>
          <w:tab w:val="left" w:pos="993"/>
        </w:tabs>
        <w:spacing w:before="120" w:after="0"/>
        <w:jc w:val="left"/>
      </w:pPr>
      <w:bookmarkStart w:id="296" w:name="_Toc455143151"/>
      <w:r>
        <w:t>Účelové znaky</w:t>
      </w:r>
      <w:bookmarkEnd w:id="296"/>
    </w:p>
    <w:p w:rsidR="00FF5AA4" w:rsidRPr="00CE3B5D" w:rsidRDefault="00FF5AA4" w:rsidP="004B2F6E">
      <w:r w:rsidRPr="007F70CE">
        <w:t>Kraje, jejich příspěvkové a jimi zřizované organizace, obce, jejich příspěvkové a jimi zřizované</w:t>
      </w:r>
      <w:r w:rsidRPr="00CE3B5D">
        <w:t xml:space="preserve"> organizace, svazky obcí, jimi zřizované organizace postupují v souladu s kap. 18.3 Obecných pravidel.</w:t>
      </w:r>
    </w:p>
    <w:p w:rsidR="003E4B50" w:rsidRPr="00017CEF" w:rsidRDefault="003E4B50" w:rsidP="004B2F6E"/>
    <w:p w:rsidR="00F83400" w:rsidRDefault="00F83400" w:rsidP="00EA3680"/>
    <w:p w:rsidR="00FF5AA4" w:rsidRDefault="00D41C75" w:rsidP="00EA3680">
      <w:r>
        <w:t xml:space="preserve"> </w:t>
      </w:r>
    </w:p>
    <w:p w:rsidR="00FF5AA4" w:rsidRDefault="00FF5AA4">
      <w:pPr>
        <w:spacing w:line="276" w:lineRule="auto"/>
        <w:jc w:val="left"/>
      </w:pPr>
      <w:r>
        <w:br w:type="page"/>
      </w:r>
    </w:p>
    <w:p w:rsidR="002D601A" w:rsidRDefault="002D601A" w:rsidP="00991060">
      <w:pPr>
        <w:pStyle w:val="Pravidla1"/>
        <w:numPr>
          <w:ilvl w:val="0"/>
          <w:numId w:val="27"/>
        </w:numPr>
        <w:spacing w:after="240"/>
      </w:pPr>
      <w:bookmarkStart w:id="297" w:name="_Toc426029768"/>
      <w:bookmarkStart w:id="298" w:name="_Toc455143152"/>
      <w:r>
        <w:lastRenderedPageBreak/>
        <w:t>Udržitelnost</w:t>
      </w:r>
      <w:bookmarkEnd w:id="297"/>
      <w:bookmarkEnd w:id="298"/>
    </w:p>
    <w:p w:rsidR="00D41C75" w:rsidRDefault="00D41C75" w:rsidP="00D41C75">
      <w:r>
        <w:t>Udržitelnost je doba, po kterou příjemce musí zachovat výstupy projektu v</w:t>
      </w:r>
      <w:r w:rsidR="00FF5AA4">
        <w:t> </w:t>
      </w:r>
      <w:r>
        <w:t>souladu</w:t>
      </w:r>
      <w:r w:rsidR="00FF5AA4">
        <w:t xml:space="preserve"> </w:t>
      </w:r>
      <w:r>
        <w:t>s čl. 71 obecného nařízení. K udržení výstupů je příjemce zavázán v Podmínkách Rozhodnutí o poskytnutí dotace</w:t>
      </w:r>
      <w:r w:rsidR="008A3179">
        <w:t>/Stanovení výdajů na financování akce OSS</w:t>
      </w:r>
      <w:r>
        <w:t>.</w:t>
      </w:r>
    </w:p>
    <w:p w:rsidR="00CE3B5D" w:rsidRDefault="00D41C75" w:rsidP="00EA3680">
      <w:r>
        <w:t>Doba udržitelnosti je stanovená na pět let od provedení poslední platby příjemci</w:t>
      </w:r>
      <w:r w:rsidR="00FF5AA4">
        <w:t xml:space="preserve"> ze strany ŘO IROP</w:t>
      </w:r>
      <w:r>
        <w:t xml:space="preserve">, tzn. od data nastavení stavu „Projekt finančně ukončen ze strany ŘO“. </w:t>
      </w:r>
      <w:r w:rsidR="00CD21D7">
        <w:t xml:space="preserve">U příjemců typu OSS a PO OSS bude stav nastaven po schválení závěrečné </w:t>
      </w:r>
      <w:proofErr w:type="spellStart"/>
      <w:r w:rsidR="00CD21D7">
        <w:t>ŽoP</w:t>
      </w:r>
      <w:proofErr w:type="spellEnd"/>
      <w:r w:rsidR="00CD21D7">
        <w:t xml:space="preserve"> ve 2. stupni. </w:t>
      </w:r>
      <w:r>
        <w:t>CRR informuje příjemce o zahájení doby udržitelnosti.</w:t>
      </w:r>
    </w:p>
    <w:p w:rsidR="007120EE" w:rsidRDefault="007120EE" w:rsidP="00EA3680">
      <w:r>
        <w:t xml:space="preserve">V případě, že není poskytovaná již registrovaná sociální služba, </w:t>
      </w:r>
      <w:r w:rsidR="00DC1294">
        <w:t>musí být registrace nové služby</w:t>
      </w:r>
      <w:r>
        <w:t xml:space="preserve"> doložena do šesti měsíců </w:t>
      </w:r>
      <w:r w:rsidR="00D46978">
        <w:t xml:space="preserve">od ukončení realizace projektu. Pověřovací akt pak musí být doložen nejpozději s první </w:t>
      </w:r>
      <w:proofErr w:type="spellStart"/>
      <w:r w:rsidR="00D46978">
        <w:t>ZoU</w:t>
      </w:r>
      <w:proofErr w:type="spellEnd"/>
      <w:r w:rsidR="00D46978">
        <w:t>.</w:t>
      </w:r>
    </w:p>
    <w:tbl>
      <w:tblPr>
        <w:tblStyle w:val="Mkatabulky"/>
        <w:tblW w:w="0" w:type="auto"/>
        <w:tblLook w:val="04A0" w:firstRow="1" w:lastRow="0" w:firstColumn="1" w:lastColumn="0" w:noHBand="0" w:noVBand="1"/>
      </w:tblPr>
      <w:tblGrid>
        <w:gridCol w:w="9218"/>
      </w:tblGrid>
      <w:tr w:rsidR="00FF5AA4" w:rsidRPr="00D56242" w:rsidTr="004B2F6E">
        <w:trPr>
          <w:trHeight w:val="3102"/>
        </w:trPr>
        <w:tc>
          <w:tcPr>
            <w:tcW w:w="9218" w:type="dxa"/>
          </w:tcPr>
          <w:p w:rsidR="00FF5AA4" w:rsidRPr="00DA1F1F" w:rsidRDefault="00FF5AA4" w:rsidP="00FF5AA4">
            <w:pPr>
              <w:rPr>
                <w:rFonts w:cs="Arial"/>
                <w:b/>
                <w:lang w:val="cs-CZ"/>
              </w:rPr>
            </w:pPr>
            <w:r w:rsidRPr="00DA1F1F">
              <w:rPr>
                <w:rFonts w:cs="Arial"/>
                <w:b/>
                <w:lang w:val="cs-CZ"/>
              </w:rPr>
              <w:t>UPOZORNĚNÍ</w:t>
            </w:r>
          </w:p>
          <w:p w:rsidR="00FF5AA4" w:rsidRPr="00DA1F1F" w:rsidRDefault="00FF5AA4" w:rsidP="00FF5AA4">
            <w:pPr>
              <w:spacing w:before="240"/>
              <w:rPr>
                <w:rFonts w:cs="Arial"/>
                <w:lang w:val="cs-CZ"/>
              </w:rPr>
            </w:pPr>
            <w:r w:rsidRPr="00DA1F1F">
              <w:rPr>
                <w:rFonts w:cs="Arial"/>
                <w:lang w:val="cs-CZ"/>
              </w:rPr>
              <w:t xml:space="preserve">Povinnosti příjemce v době udržitelnosti jsou definovány v kap. 20 Obecných pravidel. </w:t>
            </w:r>
          </w:p>
          <w:p w:rsidR="00FF5AA4" w:rsidRPr="00DA1F1F" w:rsidRDefault="00FF5AA4" w:rsidP="004B2F6E">
            <w:pPr>
              <w:suppressAutoHyphens/>
              <w:rPr>
                <w:rFonts w:cs="Arial"/>
                <w:lang w:val="cs-CZ"/>
              </w:rPr>
            </w:pPr>
          </w:p>
          <w:p w:rsidR="00FF5AA4" w:rsidRPr="00DA1F1F" w:rsidRDefault="00FF5AA4" w:rsidP="00FF5AA4">
            <w:pPr>
              <w:spacing w:after="200"/>
              <w:rPr>
                <w:lang w:val="cs-CZ"/>
              </w:rPr>
            </w:pPr>
            <w:r w:rsidRPr="00DA1F1F">
              <w:rPr>
                <w:lang w:val="cs-CZ"/>
              </w:rPr>
              <w:t>V době udržitelnosti projektu musí veškerý pořízený majetek sloužit pouze k účelu poskytování stejných služeb a provádění aktivit projektu pro stejné klienty cílové skupiny, ke kterým se příjem</w:t>
            </w:r>
            <w:r w:rsidR="00054099">
              <w:rPr>
                <w:lang w:val="cs-CZ"/>
              </w:rPr>
              <w:t>ce zavázal v žádosti o podporu.</w:t>
            </w:r>
          </w:p>
          <w:p w:rsidR="00FF5AA4" w:rsidRPr="00FF5AA4" w:rsidRDefault="00FF5AA4" w:rsidP="00EE1B1F">
            <w:pPr>
              <w:rPr>
                <w:rFonts w:cs="Arial"/>
                <w:lang w:val="cs-CZ"/>
              </w:rPr>
            </w:pPr>
            <w:r w:rsidRPr="00DA1F1F">
              <w:rPr>
                <w:lang w:val="cs-CZ"/>
              </w:rPr>
              <w:t>V době udržitelnosti bude prováděna kontrola prostřednictvím Zpráv o udržitelnosti projektu, ex-post analýzy rizik a ex-post kontroly. Po dobu udržitelnosti je příjemce povinen prokázat fungování služeb v druhu a kapacitě, kterou určil v žádosti o podporu.</w:t>
            </w:r>
          </w:p>
        </w:tc>
      </w:tr>
    </w:tbl>
    <w:p w:rsidR="00FF5AA4" w:rsidRDefault="00FF5AA4" w:rsidP="00FF5AA4">
      <w:pPr>
        <w:spacing w:after="0" w:line="276" w:lineRule="auto"/>
        <w:rPr>
          <w:rFonts w:cs="Arial"/>
        </w:rPr>
      </w:pPr>
    </w:p>
    <w:p w:rsidR="00FF5AA4" w:rsidRDefault="00FF5AA4" w:rsidP="00FF5AA4">
      <w:pPr>
        <w:spacing w:after="0" w:line="276" w:lineRule="auto"/>
        <w:rPr>
          <w:rFonts w:cs="Arial"/>
        </w:rPr>
      </w:pPr>
    </w:p>
    <w:p w:rsidR="00FF5AA4" w:rsidRDefault="00FF5AA4">
      <w:pPr>
        <w:spacing w:line="276" w:lineRule="auto"/>
        <w:jc w:val="left"/>
        <w:rPr>
          <w:rFonts w:cs="Arial"/>
        </w:rPr>
      </w:pPr>
      <w:r>
        <w:rPr>
          <w:rFonts w:cs="Arial"/>
        </w:rPr>
        <w:br w:type="page"/>
      </w:r>
    </w:p>
    <w:p w:rsidR="009B28FD" w:rsidRDefault="009B28FD" w:rsidP="006B7F53">
      <w:pPr>
        <w:pStyle w:val="Pravidla1"/>
        <w:pageBreakBefore/>
        <w:numPr>
          <w:ilvl w:val="0"/>
          <w:numId w:val="27"/>
        </w:numPr>
        <w:suppressAutoHyphens/>
        <w:spacing w:after="240"/>
      </w:pPr>
      <w:bookmarkStart w:id="299" w:name="_Toc444877587"/>
      <w:bookmarkStart w:id="300" w:name="_Toc455143153"/>
      <w:r>
        <w:lastRenderedPageBreak/>
        <w:t>Seznam zkratek</w:t>
      </w:r>
      <w:bookmarkEnd w:id="299"/>
      <w:bookmarkEnd w:id="300"/>
    </w:p>
    <w:p w:rsidR="00EB1A3D" w:rsidRDefault="00EB1A3D" w:rsidP="009B28FD">
      <w:pPr>
        <w:pStyle w:val="Odstavecseseznamem"/>
        <w:spacing w:line="276" w:lineRule="auto"/>
        <w:ind w:left="426"/>
        <w:rPr>
          <w:rFonts w:cs="Arial"/>
        </w:rPr>
      </w:pPr>
      <w:r>
        <w:rPr>
          <w:rFonts w:cs="Arial"/>
        </w:rPr>
        <w:t>BOZP</w:t>
      </w:r>
      <w:r>
        <w:rPr>
          <w:rFonts w:cs="Arial"/>
        </w:rPr>
        <w:tab/>
      </w:r>
      <w:r>
        <w:rPr>
          <w:rFonts w:cs="Arial"/>
        </w:rPr>
        <w:tab/>
      </w:r>
      <w:r w:rsidRPr="00EB1A3D">
        <w:rPr>
          <w:rFonts w:cs="Arial"/>
          <w:bCs/>
        </w:rPr>
        <w:t>Bezpečnost a ochrana zdraví při práci</w:t>
      </w:r>
    </w:p>
    <w:p w:rsidR="009B28FD" w:rsidRPr="008B3294" w:rsidRDefault="009B28FD" w:rsidP="009B28FD">
      <w:pPr>
        <w:pStyle w:val="Odstavecseseznamem"/>
        <w:spacing w:line="276" w:lineRule="auto"/>
        <w:ind w:left="426"/>
        <w:rPr>
          <w:rFonts w:cs="Arial"/>
        </w:rPr>
      </w:pPr>
      <w:r w:rsidRPr="008B3294">
        <w:rPr>
          <w:rFonts w:cs="Arial"/>
        </w:rPr>
        <w:t>CBA</w:t>
      </w:r>
      <w:r w:rsidRPr="008B3294">
        <w:rPr>
          <w:rFonts w:cs="Arial"/>
        </w:rPr>
        <w:tab/>
      </w:r>
      <w:r w:rsidRPr="008B3294">
        <w:rPr>
          <w:rFonts w:cs="Arial"/>
        </w:rPr>
        <w:tab/>
      </w:r>
      <w:proofErr w:type="spellStart"/>
      <w:r w:rsidRPr="008B3294">
        <w:rPr>
          <w:rFonts w:cs="Arial"/>
        </w:rPr>
        <w:t>Cost</w:t>
      </w:r>
      <w:proofErr w:type="spellEnd"/>
      <w:r w:rsidRPr="008B3294">
        <w:rPr>
          <w:rFonts w:cs="Arial"/>
        </w:rPr>
        <w:t xml:space="preserve"> Benefit </w:t>
      </w:r>
      <w:proofErr w:type="spellStart"/>
      <w:r w:rsidRPr="008B3294">
        <w:rPr>
          <w:rFonts w:cs="Arial"/>
        </w:rPr>
        <w:t>Analysis</w:t>
      </w:r>
      <w:proofErr w:type="spellEnd"/>
      <w:r w:rsidRPr="008B3294">
        <w:rPr>
          <w:rFonts w:cs="Arial"/>
        </w:rPr>
        <w:t>/Analýza nákladů a přínosů</w:t>
      </w:r>
    </w:p>
    <w:p w:rsidR="009B28FD" w:rsidRPr="008B3294" w:rsidRDefault="009B28FD" w:rsidP="009B28FD">
      <w:pPr>
        <w:pStyle w:val="Odstavecseseznamem"/>
        <w:spacing w:line="276" w:lineRule="auto"/>
        <w:ind w:left="426"/>
        <w:rPr>
          <w:rFonts w:cs="Arial"/>
        </w:rPr>
      </w:pPr>
      <w:r w:rsidRPr="008B3294">
        <w:rPr>
          <w:rFonts w:cs="Arial"/>
        </w:rPr>
        <w:t>CRR</w:t>
      </w:r>
      <w:r w:rsidRPr="008B3294">
        <w:rPr>
          <w:rFonts w:cs="Arial"/>
        </w:rPr>
        <w:tab/>
      </w:r>
      <w:r w:rsidRPr="008B3294">
        <w:rPr>
          <w:rFonts w:cs="Arial"/>
        </w:rPr>
        <w:tab/>
        <w:t>Centrum pro regionální rozvoj České republiky</w:t>
      </w:r>
    </w:p>
    <w:p w:rsidR="009B28FD" w:rsidRPr="008B3294" w:rsidRDefault="009B28FD" w:rsidP="009B28FD">
      <w:pPr>
        <w:pStyle w:val="Odstavecseseznamem"/>
        <w:spacing w:line="276" w:lineRule="auto"/>
        <w:ind w:left="426"/>
        <w:rPr>
          <w:rFonts w:cs="Arial"/>
        </w:rPr>
      </w:pPr>
      <w:r w:rsidRPr="008B3294">
        <w:rPr>
          <w:rFonts w:cs="Arial"/>
        </w:rPr>
        <w:t>DPH</w:t>
      </w:r>
      <w:r w:rsidRPr="008B3294">
        <w:rPr>
          <w:rFonts w:cs="Arial"/>
        </w:rPr>
        <w:tab/>
      </w:r>
      <w:r w:rsidRPr="008B3294">
        <w:rPr>
          <w:rFonts w:cs="Arial"/>
        </w:rPr>
        <w:tab/>
        <w:t>Daň z přidané hodnoty</w:t>
      </w:r>
    </w:p>
    <w:p w:rsidR="00AB53E2" w:rsidRDefault="00AB53E2" w:rsidP="009B28FD">
      <w:pPr>
        <w:pStyle w:val="Odstavecseseznamem"/>
        <w:spacing w:line="276" w:lineRule="auto"/>
        <w:ind w:left="426"/>
        <w:rPr>
          <w:rFonts w:cs="Arial"/>
        </w:rPr>
      </w:pPr>
      <w:r w:rsidRPr="00AB53E2">
        <w:rPr>
          <w:rFonts w:cs="Arial"/>
        </w:rPr>
        <w:t>EFRR</w:t>
      </w:r>
      <w:r w:rsidRPr="00AB53E2">
        <w:rPr>
          <w:rFonts w:cs="Arial"/>
        </w:rPr>
        <w:tab/>
      </w:r>
      <w:r w:rsidRPr="00AB53E2">
        <w:rPr>
          <w:rFonts w:cs="Arial"/>
        </w:rPr>
        <w:tab/>
        <w:t>Evropský fond pro regionální rozvoj</w:t>
      </w:r>
    </w:p>
    <w:p w:rsidR="00BE21E0" w:rsidRDefault="00BE21E0" w:rsidP="009B28FD">
      <w:pPr>
        <w:pStyle w:val="Odstavecseseznamem"/>
        <w:spacing w:line="276" w:lineRule="auto"/>
        <w:ind w:left="426"/>
        <w:rPr>
          <w:rFonts w:cs="Arial"/>
        </w:rPr>
      </w:pPr>
      <w:r>
        <w:rPr>
          <w:rFonts w:cs="Arial"/>
        </w:rPr>
        <w:t>EIA</w:t>
      </w:r>
      <w:r>
        <w:rPr>
          <w:rFonts w:cs="Arial"/>
        </w:rPr>
        <w:tab/>
      </w:r>
      <w:r>
        <w:rPr>
          <w:rFonts w:cs="Arial"/>
        </w:rPr>
        <w:tab/>
      </w:r>
      <w:proofErr w:type="spellStart"/>
      <w:r w:rsidRPr="00BE21E0">
        <w:rPr>
          <w:rFonts w:cs="Arial"/>
        </w:rPr>
        <w:t>Environmental</w:t>
      </w:r>
      <w:proofErr w:type="spellEnd"/>
      <w:r w:rsidRPr="00BE21E0">
        <w:rPr>
          <w:rFonts w:cs="Arial"/>
        </w:rPr>
        <w:t xml:space="preserve"> </w:t>
      </w:r>
      <w:proofErr w:type="spellStart"/>
      <w:r w:rsidRPr="00BE21E0">
        <w:rPr>
          <w:rFonts w:cs="Arial"/>
        </w:rPr>
        <w:t>Impact</w:t>
      </w:r>
      <w:proofErr w:type="spellEnd"/>
      <w:r w:rsidRPr="00BE21E0">
        <w:rPr>
          <w:rFonts w:cs="Arial"/>
        </w:rPr>
        <w:t xml:space="preserve"> </w:t>
      </w:r>
      <w:proofErr w:type="spellStart"/>
      <w:r w:rsidRPr="00BE21E0">
        <w:rPr>
          <w:rFonts w:cs="Arial"/>
        </w:rPr>
        <w:t>Assessment</w:t>
      </w:r>
      <w:proofErr w:type="spellEnd"/>
      <w:r w:rsidRPr="00BE21E0">
        <w:rPr>
          <w:rFonts w:cs="Arial"/>
        </w:rPr>
        <w:t xml:space="preserve"> (Vyhodnocení vlivů na životní </w:t>
      </w:r>
      <w:r>
        <w:rPr>
          <w:rFonts w:cs="Arial"/>
        </w:rPr>
        <w:tab/>
      </w:r>
      <w:r>
        <w:rPr>
          <w:rFonts w:cs="Arial"/>
        </w:rPr>
        <w:tab/>
      </w:r>
      <w:r>
        <w:rPr>
          <w:rFonts w:cs="Arial"/>
        </w:rPr>
        <w:tab/>
      </w:r>
      <w:r w:rsidRPr="00BE21E0">
        <w:rPr>
          <w:rFonts w:cs="Arial"/>
        </w:rPr>
        <w:t>prostředí)</w:t>
      </w:r>
    </w:p>
    <w:p w:rsidR="009B28FD" w:rsidRPr="008B3294" w:rsidRDefault="009B28FD" w:rsidP="009B28FD">
      <w:pPr>
        <w:pStyle w:val="Odstavecseseznamem"/>
        <w:spacing w:line="276" w:lineRule="auto"/>
        <w:ind w:left="426"/>
        <w:rPr>
          <w:rFonts w:cs="Arial"/>
        </w:rPr>
      </w:pPr>
      <w:r w:rsidRPr="008B3294">
        <w:rPr>
          <w:rFonts w:cs="Arial"/>
        </w:rPr>
        <w:t>EU</w:t>
      </w:r>
      <w:r w:rsidRPr="008B3294">
        <w:rPr>
          <w:rFonts w:cs="Arial"/>
        </w:rPr>
        <w:tab/>
      </w:r>
      <w:r w:rsidRPr="008B3294">
        <w:rPr>
          <w:rFonts w:cs="Arial"/>
        </w:rPr>
        <w:tab/>
        <w:t>Evropská unie</w:t>
      </w:r>
    </w:p>
    <w:p w:rsidR="009B28FD" w:rsidRPr="008B3294" w:rsidRDefault="009B28FD" w:rsidP="009B28FD">
      <w:pPr>
        <w:pStyle w:val="Odstavecseseznamem"/>
        <w:spacing w:line="276" w:lineRule="auto"/>
        <w:ind w:left="426"/>
        <w:rPr>
          <w:rFonts w:cs="Arial"/>
        </w:rPr>
      </w:pPr>
      <w:r w:rsidRPr="008B3294">
        <w:rPr>
          <w:rFonts w:cs="Arial"/>
        </w:rPr>
        <w:t>IROP</w:t>
      </w:r>
      <w:r w:rsidRPr="008B3294">
        <w:rPr>
          <w:rFonts w:cs="Arial"/>
        </w:rPr>
        <w:tab/>
      </w:r>
      <w:r w:rsidRPr="008B3294">
        <w:rPr>
          <w:rFonts w:cs="Arial"/>
        </w:rPr>
        <w:tab/>
        <w:t>Integrovaný regionální operační program</w:t>
      </w:r>
    </w:p>
    <w:p w:rsidR="009B28FD" w:rsidRPr="008B3294" w:rsidRDefault="009B28FD" w:rsidP="009B28FD">
      <w:pPr>
        <w:pStyle w:val="Odstavecseseznamem"/>
        <w:spacing w:line="276" w:lineRule="auto"/>
        <w:ind w:left="426"/>
        <w:rPr>
          <w:rFonts w:cs="Arial"/>
        </w:rPr>
      </w:pPr>
      <w:r w:rsidRPr="008B3294">
        <w:rPr>
          <w:rFonts w:cs="Arial"/>
        </w:rPr>
        <w:t>MMR</w:t>
      </w:r>
      <w:r w:rsidRPr="008B3294">
        <w:rPr>
          <w:rFonts w:cs="Arial"/>
        </w:rPr>
        <w:tab/>
      </w:r>
      <w:r w:rsidRPr="008B3294">
        <w:rPr>
          <w:rFonts w:cs="Arial"/>
        </w:rPr>
        <w:tab/>
        <w:t>Ministerstvo pro místní rozvoj</w:t>
      </w:r>
    </w:p>
    <w:p w:rsidR="009B28FD" w:rsidRPr="008B3294" w:rsidRDefault="009B28FD" w:rsidP="009B28FD">
      <w:pPr>
        <w:pStyle w:val="Odstavecseseznamem"/>
        <w:spacing w:line="276" w:lineRule="auto"/>
        <w:ind w:left="426"/>
        <w:rPr>
          <w:rFonts w:cs="Arial"/>
        </w:rPr>
      </w:pPr>
      <w:r w:rsidRPr="008B3294">
        <w:rPr>
          <w:rFonts w:cs="Arial"/>
        </w:rPr>
        <w:t>MS2014+</w:t>
      </w:r>
      <w:r w:rsidRPr="008B3294">
        <w:rPr>
          <w:rFonts w:cs="Arial"/>
        </w:rPr>
        <w:tab/>
      </w:r>
      <w:r>
        <w:rPr>
          <w:rFonts w:cs="Arial"/>
        </w:rPr>
        <w:tab/>
      </w:r>
      <w:r w:rsidRPr="008B3294">
        <w:rPr>
          <w:rFonts w:cs="Arial"/>
        </w:rPr>
        <w:t>Informační systém pro přípravu a podání žádosti o podporu</w:t>
      </w:r>
    </w:p>
    <w:p w:rsidR="000225B1" w:rsidRDefault="000225B1" w:rsidP="009B28FD">
      <w:pPr>
        <w:pStyle w:val="Odstavecseseznamem"/>
        <w:spacing w:line="276" w:lineRule="auto"/>
        <w:ind w:left="426"/>
        <w:rPr>
          <w:rFonts w:cs="Arial"/>
        </w:rPr>
      </w:pPr>
      <w:r>
        <w:rPr>
          <w:rFonts w:cs="Arial"/>
        </w:rPr>
        <w:t>OFS</w:t>
      </w:r>
      <w:r>
        <w:rPr>
          <w:rFonts w:cs="Arial"/>
        </w:rPr>
        <w:tab/>
      </w:r>
      <w:r>
        <w:rPr>
          <w:rFonts w:cs="Arial"/>
        </w:rPr>
        <w:tab/>
        <w:t>Orgán finanční správy</w:t>
      </w:r>
    </w:p>
    <w:p w:rsidR="009B28FD" w:rsidRPr="008B3294" w:rsidRDefault="009B28FD" w:rsidP="009B28FD">
      <w:pPr>
        <w:pStyle w:val="Odstavecseseznamem"/>
        <w:spacing w:line="276" w:lineRule="auto"/>
        <w:ind w:left="426"/>
        <w:rPr>
          <w:rFonts w:cs="Arial"/>
        </w:rPr>
      </w:pPr>
      <w:r w:rsidRPr="008B3294">
        <w:rPr>
          <w:rFonts w:cs="Arial"/>
        </w:rPr>
        <w:t>OP</w:t>
      </w:r>
      <w:r w:rsidRPr="008B3294">
        <w:rPr>
          <w:rFonts w:cs="Arial"/>
        </w:rPr>
        <w:tab/>
      </w:r>
      <w:r w:rsidRPr="008B3294">
        <w:rPr>
          <w:rFonts w:cs="Arial"/>
        </w:rPr>
        <w:tab/>
        <w:t>Operační program</w:t>
      </w:r>
    </w:p>
    <w:p w:rsidR="00AB53E2" w:rsidRDefault="00AB53E2" w:rsidP="009B28FD">
      <w:pPr>
        <w:pStyle w:val="Odstavecseseznamem"/>
        <w:spacing w:line="276" w:lineRule="auto"/>
        <w:ind w:left="426"/>
        <w:rPr>
          <w:rFonts w:cs="Arial"/>
        </w:rPr>
      </w:pPr>
      <w:r>
        <w:rPr>
          <w:rFonts w:cs="Arial"/>
        </w:rPr>
        <w:t>OSS</w:t>
      </w:r>
      <w:r>
        <w:rPr>
          <w:rFonts w:cs="Arial"/>
        </w:rPr>
        <w:tab/>
      </w:r>
      <w:r>
        <w:rPr>
          <w:rFonts w:cs="Arial"/>
        </w:rPr>
        <w:tab/>
        <w:t>Organizační složka státu</w:t>
      </w:r>
    </w:p>
    <w:p w:rsidR="009B28FD" w:rsidRPr="008B3294" w:rsidRDefault="009B28FD" w:rsidP="009B28FD">
      <w:pPr>
        <w:pStyle w:val="Odstavecseseznamem"/>
        <w:spacing w:line="276" w:lineRule="auto"/>
        <w:ind w:left="426"/>
        <w:rPr>
          <w:rFonts w:cs="Arial"/>
        </w:rPr>
      </w:pPr>
      <w:r w:rsidRPr="008B3294">
        <w:rPr>
          <w:rFonts w:cs="Arial"/>
        </w:rPr>
        <w:t>PO</w:t>
      </w:r>
      <w:r w:rsidRPr="008B3294">
        <w:rPr>
          <w:rFonts w:cs="Arial"/>
        </w:rPr>
        <w:tab/>
      </w:r>
      <w:r w:rsidRPr="008B3294">
        <w:rPr>
          <w:rFonts w:cs="Arial"/>
        </w:rPr>
        <w:tab/>
        <w:t>Prioritní osa</w:t>
      </w:r>
    </w:p>
    <w:p w:rsidR="00AB53E2" w:rsidRDefault="00AB53E2" w:rsidP="009B28FD">
      <w:pPr>
        <w:pStyle w:val="Odstavecseseznamem"/>
        <w:spacing w:line="276" w:lineRule="auto"/>
        <w:ind w:left="426"/>
        <w:rPr>
          <w:rFonts w:cs="Arial"/>
        </w:rPr>
      </w:pPr>
      <w:r>
        <w:rPr>
          <w:rFonts w:cs="Arial"/>
        </w:rPr>
        <w:t>PO OSS</w:t>
      </w:r>
      <w:r>
        <w:rPr>
          <w:rFonts w:cs="Arial"/>
        </w:rPr>
        <w:tab/>
      </w:r>
      <w:r>
        <w:rPr>
          <w:rFonts w:cs="Arial"/>
        </w:rPr>
        <w:tab/>
        <w:t xml:space="preserve">Příspěvková organizace </w:t>
      </w:r>
      <w:r w:rsidR="00BE21E0">
        <w:rPr>
          <w:rFonts w:cs="Arial"/>
        </w:rPr>
        <w:t>o</w:t>
      </w:r>
      <w:r>
        <w:rPr>
          <w:rFonts w:cs="Arial"/>
        </w:rPr>
        <w:t>rganizační složky státu</w:t>
      </w:r>
    </w:p>
    <w:p w:rsidR="009B28FD" w:rsidRPr="008B3294" w:rsidRDefault="009B28FD" w:rsidP="009B28FD">
      <w:pPr>
        <w:pStyle w:val="Odstavecseseznamem"/>
        <w:spacing w:line="276" w:lineRule="auto"/>
        <w:ind w:left="426"/>
        <w:rPr>
          <w:rFonts w:cs="Arial"/>
        </w:rPr>
      </w:pPr>
      <w:r w:rsidRPr="008B3294">
        <w:rPr>
          <w:rFonts w:cs="Arial"/>
        </w:rPr>
        <w:t>ŘO</w:t>
      </w:r>
      <w:r w:rsidRPr="008B3294">
        <w:rPr>
          <w:rFonts w:cs="Arial"/>
        </w:rPr>
        <w:tab/>
      </w:r>
      <w:r w:rsidRPr="008B3294">
        <w:rPr>
          <w:rFonts w:cs="Arial"/>
        </w:rPr>
        <w:tab/>
        <w:t>Řídící orgán</w:t>
      </w:r>
    </w:p>
    <w:p w:rsidR="009B28FD" w:rsidRPr="008B3294" w:rsidRDefault="009B28FD" w:rsidP="009B28FD">
      <w:pPr>
        <w:pStyle w:val="Odstavecseseznamem"/>
        <w:spacing w:line="276" w:lineRule="auto"/>
        <w:ind w:left="426"/>
        <w:rPr>
          <w:rFonts w:cs="Arial"/>
        </w:rPr>
      </w:pPr>
      <w:r w:rsidRPr="008B3294">
        <w:rPr>
          <w:rFonts w:cs="Arial"/>
        </w:rPr>
        <w:t>SC</w:t>
      </w:r>
      <w:r w:rsidRPr="008B3294">
        <w:rPr>
          <w:rFonts w:cs="Arial"/>
        </w:rPr>
        <w:tab/>
      </w:r>
      <w:r w:rsidRPr="008B3294">
        <w:rPr>
          <w:rFonts w:cs="Arial"/>
        </w:rPr>
        <w:tab/>
      </w:r>
      <w:r w:rsidRPr="008B3294">
        <w:rPr>
          <w:rFonts w:cs="Arial"/>
        </w:rPr>
        <w:tab/>
        <w:t>Specifický cíl</w:t>
      </w:r>
    </w:p>
    <w:p w:rsidR="00AB53E2" w:rsidRDefault="00AB53E2" w:rsidP="009B28FD">
      <w:pPr>
        <w:pStyle w:val="Odstavecseseznamem"/>
        <w:spacing w:line="276" w:lineRule="auto"/>
        <w:ind w:left="426"/>
        <w:rPr>
          <w:rFonts w:cs="Arial"/>
        </w:rPr>
      </w:pPr>
      <w:r>
        <w:rPr>
          <w:rFonts w:cs="Arial"/>
        </w:rPr>
        <w:t>SOHZ</w:t>
      </w:r>
      <w:r>
        <w:rPr>
          <w:rFonts w:cs="Arial"/>
        </w:rPr>
        <w:tab/>
      </w:r>
      <w:r>
        <w:rPr>
          <w:rFonts w:cs="Arial"/>
        </w:rPr>
        <w:tab/>
      </w:r>
      <w:r w:rsidRPr="00AB53E2">
        <w:rPr>
          <w:rFonts w:cs="Arial"/>
        </w:rPr>
        <w:t>Služby obecného hospodářského zájmu</w:t>
      </w:r>
    </w:p>
    <w:p w:rsidR="009B28FD" w:rsidRPr="008B3294" w:rsidRDefault="009B28FD" w:rsidP="009B28FD">
      <w:pPr>
        <w:pStyle w:val="Odstavecseseznamem"/>
        <w:spacing w:line="276" w:lineRule="auto"/>
        <w:ind w:left="426"/>
        <w:rPr>
          <w:rFonts w:cs="Arial"/>
        </w:rPr>
      </w:pPr>
      <w:proofErr w:type="spellStart"/>
      <w:r w:rsidRPr="008B3294">
        <w:rPr>
          <w:rFonts w:cs="Arial"/>
        </w:rPr>
        <w:t>ZoR</w:t>
      </w:r>
      <w:proofErr w:type="spellEnd"/>
      <w:r w:rsidRPr="008B3294">
        <w:rPr>
          <w:rFonts w:cs="Arial"/>
        </w:rPr>
        <w:tab/>
      </w:r>
      <w:r w:rsidRPr="008B3294">
        <w:rPr>
          <w:rFonts w:cs="Arial"/>
        </w:rPr>
        <w:tab/>
        <w:t>Zpráva o realizaci projektu</w:t>
      </w:r>
    </w:p>
    <w:p w:rsidR="009B28FD" w:rsidRPr="008B3294" w:rsidRDefault="009B28FD" w:rsidP="009B28FD">
      <w:pPr>
        <w:pStyle w:val="Odstavecseseznamem"/>
        <w:spacing w:line="276" w:lineRule="auto"/>
        <w:ind w:left="426"/>
        <w:rPr>
          <w:rFonts w:cs="Arial"/>
        </w:rPr>
      </w:pPr>
      <w:proofErr w:type="spellStart"/>
      <w:r w:rsidRPr="008B3294">
        <w:rPr>
          <w:rFonts w:cs="Arial"/>
        </w:rPr>
        <w:t>ZoU</w:t>
      </w:r>
      <w:proofErr w:type="spellEnd"/>
      <w:r w:rsidRPr="008B3294">
        <w:rPr>
          <w:rFonts w:cs="Arial"/>
        </w:rPr>
        <w:tab/>
      </w:r>
      <w:r w:rsidRPr="008B3294">
        <w:rPr>
          <w:rFonts w:cs="Arial"/>
        </w:rPr>
        <w:tab/>
        <w:t>Zpráva o udržitelnosti projektu</w:t>
      </w:r>
    </w:p>
    <w:p w:rsidR="009B28FD" w:rsidRPr="008B3294" w:rsidRDefault="009B28FD" w:rsidP="009B28FD">
      <w:pPr>
        <w:pStyle w:val="Odstavecseseznamem"/>
        <w:spacing w:line="276" w:lineRule="auto"/>
        <w:ind w:left="426"/>
        <w:rPr>
          <w:rFonts w:cs="Arial"/>
        </w:rPr>
      </w:pPr>
      <w:proofErr w:type="spellStart"/>
      <w:r w:rsidRPr="008B3294">
        <w:rPr>
          <w:rFonts w:cs="Arial"/>
        </w:rPr>
        <w:t>ZŽoP</w:t>
      </w:r>
      <w:proofErr w:type="spellEnd"/>
      <w:r w:rsidRPr="008B3294">
        <w:rPr>
          <w:rFonts w:cs="Arial"/>
        </w:rPr>
        <w:tab/>
      </w:r>
      <w:r w:rsidRPr="008B3294">
        <w:rPr>
          <w:rFonts w:cs="Arial"/>
        </w:rPr>
        <w:tab/>
        <w:t>Zjednodušená žádost o platbu</w:t>
      </w:r>
    </w:p>
    <w:p w:rsidR="009B28FD" w:rsidRDefault="009B28FD">
      <w:pPr>
        <w:spacing w:line="276" w:lineRule="auto"/>
        <w:jc w:val="left"/>
        <w:rPr>
          <w:rFonts w:eastAsiaTheme="majorEastAsia" w:cstheme="majorBidi"/>
          <w:b/>
          <w:bCs/>
          <w:color w:val="000000" w:themeColor="text1"/>
          <w:sz w:val="36"/>
          <w:szCs w:val="28"/>
        </w:rPr>
      </w:pPr>
      <w:r>
        <w:br w:type="page"/>
      </w:r>
    </w:p>
    <w:p w:rsidR="00F83400" w:rsidRDefault="003C3E3B" w:rsidP="006B7F53">
      <w:pPr>
        <w:pStyle w:val="Pravidla1"/>
        <w:numPr>
          <w:ilvl w:val="0"/>
          <w:numId w:val="27"/>
        </w:numPr>
        <w:spacing w:after="240"/>
      </w:pPr>
      <w:bookmarkStart w:id="301" w:name="_Toc455143154"/>
      <w:r>
        <w:lastRenderedPageBreak/>
        <w:t>Právní rámec</w:t>
      </w:r>
      <w:bookmarkEnd w:id="301"/>
    </w:p>
    <w:p w:rsidR="005178D8" w:rsidRPr="005178D8" w:rsidRDefault="00EE5A1D" w:rsidP="00BA1FC9">
      <w:pPr>
        <w:pStyle w:val="Odstavecseseznamem"/>
        <w:numPr>
          <w:ilvl w:val="0"/>
          <w:numId w:val="35"/>
        </w:numPr>
      </w:pPr>
      <w:r w:rsidRPr="00171D5A">
        <w:t>Zákon č. 108/2006 Sb. o sociálních službách, ve znění pozdějších předpisů</w:t>
      </w:r>
      <w:r w:rsidR="005178D8" w:rsidRPr="005178D8">
        <w:t xml:space="preserve"> </w:t>
      </w:r>
    </w:p>
    <w:p w:rsidR="00F91E04" w:rsidRDefault="00F91E04" w:rsidP="00F91E04">
      <w:pPr>
        <w:pStyle w:val="Odstavecseseznamem"/>
        <w:numPr>
          <w:ilvl w:val="0"/>
          <w:numId w:val="35"/>
        </w:numPr>
      </w:pPr>
      <w:r w:rsidRPr="00F91E04">
        <w:t>Zákon č. 563/1991 Sb., o účetnictví, ve znění pozdějších předpisů,</w:t>
      </w:r>
    </w:p>
    <w:p w:rsidR="00F91E04" w:rsidRDefault="00F91E04" w:rsidP="00F91E04">
      <w:pPr>
        <w:pStyle w:val="Odstavecseseznamem"/>
        <w:numPr>
          <w:ilvl w:val="0"/>
          <w:numId w:val="35"/>
        </w:numPr>
      </w:pPr>
      <w:r w:rsidRPr="00F91E04">
        <w:t>Zákon č. 320/2001 Sb., o finanční kontrole ve veřejné správě a o změně některých zákonů, ve znění pozdějších předpisů,</w:t>
      </w:r>
    </w:p>
    <w:p w:rsidR="00F91E04" w:rsidRDefault="00F91E04" w:rsidP="00F91E04">
      <w:pPr>
        <w:pStyle w:val="Odstavecseseznamem"/>
        <w:numPr>
          <w:ilvl w:val="0"/>
          <w:numId w:val="35"/>
        </w:numPr>
      </w:pPr>
      <w:r w:rsidRPr="00F91E04">
        <w:t>Zákon č. 552/1991 Sb., o státní kontrole, ve znění pozdějších předpisů,</w:t>
      </w:r>
    </w:p>
    <w:p w:rsidR="00F91E04" w:rsidRDefault="00F91E04" w:rsidP="00F91E04">
      <w:pPr>
        <w:pStyle w:val="Odstavecseseznamem"/>
        <w:numPr>
          <w:ilvl w:val="0"/>
          <w:numId w:val="35"/>
        </w:numPr>
      </w:pPr>
      <w:r w:rsidRPr="00F91E04">
        <w:t>Zákon č. 337/1992 Sb., o správě daní a poplatků, ve znění pozdějších předpisů,</w:t>
      </w:r>
    </w:p>
    <w:p w:rsidR="00F91E04" w:rsidRDefault="00F91E04" w:rsidP="00F91E04">
      <w:pPr>
        <w:pStyle w:val="Odstavecseseznamem"/>
        <w:numPr>
          <w:ilvl w:val="0"/>
          <w:numId w:val="35"/>
        </w:numPr>
      </w:pPr>
      <w:r w:rsidRPr="00F91E04">
        <w:t>Zákon č. 513/1991 Sb., obchodní zákoník, ve znění pozdějších předpisů</w:t>
      </w:r>
      <w:r>
        <w:t>,</w:t>
      </w:r>
    </w:p>
    <w:p w:rsidR="00F91E04" w:rsidRDefault="00F91E04" w:rsidP="00F91E04">
      <w:pPr>
        <w:pStyle w:val="Odstavecseseznamem"/>
        <w:numPr>
          <w:ilvl w:val="0"/>
          <w:numId w:val="35"/>
        </w:numPr>
      </w:pPr>
      <w:r w:rsidRPr="00F91E04">
        <w:t>Zákon č. 151/1997 Sb., o oceňování majetku a o změně některých zákonů, ve znění pozdějších předpisů</w:t>
      </w:r>
      <w:r>
        <w:t>,</w:t>
      </w:r>
    </w:p>
    <w:p w:rsidR="00F91E04" w:rsidRDefault="00F91E04" w:rsidP="00F91E04">
      <w:pPr>
        <w:pStyle w:val="Odstavecseseznamem"/>
        <w:numPr>
          <w:ilvl w:val="0"/>
          <w:numId w:val="35"/>
        </w:numPr>
      </w:pPr>
      <w:r w:rsidRPr="00F91E04">
        <w:t>Zákon č. 235/2004 Sb., o dani z přidané hodnoty, ve znění pozdějších předpisů</w:t>
      </w:r>
      <w:r>
        <w:t>,</w:t>
      </w:r>
    </w:p>
    <w:p w:rsidR="00F91E04" w:rsidRDefault="00F91E04" w:rsidP="00F91E04">
      <w:pPr>
        <w:pStyle w:val="Odstavecseseznamem"/>
        <w:numPr>
          <w:ilvl w:val="0"/>
          <w:numId w:val="35"/>
        </w:numPr>
      </w:pPr>
      <w:r w:rsidRPr="00F91E04">
        <w:t>Zákon č. 634/2004 Sb., o správních poplatcích, ve znění pozdějších předpisů</w:t>
      </w:r>
      <w:r>
        <w:t>,</w:t>
      </w:r>
    </w:p>
    <w:p w:rsidR="00F91E04" w:rsidRDefault="00F91E04" w:rsidP="00F91E04">
      <w:pPr>
        <w:pStyle w:val="Odstavecseseznamem"/>
        <w:numPr>
          <w:ilvl w:val="0"/>
          <w:numId w:val="35"/>
        </w:numPr>
      </w:pPr>
      <w:r w:rsidRPr="00F91E04">
        <w:t>Zákon č. 183/2006 Sb., o územním plánování a stavebním řádu (stavební zákon), ve znění pozdějších předpisů</w:t>
      </w:r>
      <w:r>
        <w:t>,</w:t>
      </w:r>
    </w:p>
    <w:p w:rsidR="00F91E04" w:rsidRDefault="00F91E04" w:rsidP="00F91E04">
      <w:pPr>
        <w:pStyle w:val="Odstavecseseznamem"/>
        <w:numPr>
          <w:ilvl w:val="0"/>
          <w:numId w:val="35"/>
        </w:numPr>
      </w:pPr>
      <w:r w:rsidRPr="00F91E04">
        <w:t>Zákon č. 262/2006 Sb., zákoník práce, ve znění pozdějších předpisů</w:t>
      </w:r>
      <w:r w:rsidR="00612B55">
        <w:t>,</w:t>
      </w:r>
    </w:p>
    <w:p w:rsidR="00612B55" w:rsidRDefault="00612B55" w:rsidP="00612B55">
      <w:pPr>
        <w:pStyle w:val="Odstavecseseznamem"/>
        <w:numPr>
          <w:ilvl w:val="0"/>
          <w:numId w:val="35"/>
        </w:numPr>
      </w:pPr>
      <w:r w:rsidRPr="00612B55">
        <w:t>Zákon č. 128/2000 Sb., o obcích, ve znění pozdějších předpisů,</w:t>
      </w:r>
    </w:p>
    <w:p w:rsidR="00612B55" w:rsidRDefault="00612B55" w:rsidP="00612B55">
      <w:pPr>
        <w:pStyle w:val="Odstavecseseznamem"/>
        <w:numPr>
          <w:ilvl w:val="0"/>
          <w:numId w:val="35"/>
        </w:numPr>
      </w:pPr>
      <w:r w:rsidRPr="00612B55">
        <w:t>Zákon č. 129/2000 Sb., o krajích, ve znění pozdějších předpisů,</w:t>
      </w:r>
    </w:p>
    <w:p w:rsidR="00612B55" w:rsidRDefault="00612B55" w:rsidP="00612B55">
      <w:pPr>
        <w:pStyle w:val="Odstavecseseznamem"/>
        <w:numPr>
          <w:ilvl w:val="0"/>
          <w:numId w:val="35"/>
        </w:numPr>
      </w:pPr>
      <w:r w:rsidRPr="00612B55">
        <w:t>Zákon č. 500/2004 Sb., správní řád, ve znění pozdějších předpisů</w:t>
      </w:r>
      <w:r>
        <w:t>.</w:t>
      </w:r>
    </w:p>
    <w:p w:rsidR="00FF5AA4" w:rsidRDefault="00FF5AA4" w:rsidP="004B2F6E"/>
    <w:p w:rsidR="00FF5AA4" w:rsidRDefault="00FF5AA4" w:rsidP="004B2F6E"/>
    <w:p w:rsidR="00FF5AA4" w:rsidRDefault="00FF5AA4" w:rsidP="004B2F6E"/>
    <w:p w:rsidR="00FF5AA4" w:rsidRDefault="00FF5AA4" w:rsidP="004B2F6E"/>
    <w:p w:rsidR="00FF5AA4" w:rsidRDefault="00FF5AA4" w:rsidP="004B2F6E"/>
    <w:p w:rsidR="00FF5AA4" w:rsidRDefault="00FF5AA4" w:rsidP="004B2F6E"/>
    <w:p w:rsidR="00FF5AA4" w:rsidRDefault="00FF5AA4" w:rsidP="004B2F6E"/>
    <w:p w:rsidR="00FF5AA4" w:rsidRDefault="00FF5AA4">
      <w:pPr>
        <w:spacing w:line="276" w:lineRule="auto"/>
        <w:jc w:val="left"/>
      </w:pPr>
      <w:r>
        <w:br w:type="page"/>
      </w:r>
    </w:p>
    <w:p w:rsidR="000C25D7" w:rsidRDefault="003C3E3B" w:rsidP="006B7F53">
      <w:pPr>
        <w:pStyle w:val="Pravidla1"/>
        <w:numPr>
          <w:ilvl w:val="0"/>
          <w:numId w:val="27"/>
        </w:numPr>
        <w:spacing w:after="240"/>
      </w:pPr>
      <w:bookmarkStart w:id="302" w:name="_Toc455143155"/>
      <w:r w:rsidRPr="005D35E5">
        <w:lastRenderedPageBreak/>
        <w:t>Seznam příloh</w:t>
      </w:r>
      <w:bookmarkEnd w:id="302"/>
    </w:p>
    <w:p w:rsidR="009D7763" w:rsidRDefault="00A96F2E" w:rsidP="004B2F6E">
      <w:pPr>
        <w:pStyle w:val="Odstavecseseznamem"/>
        <w:numPr>
          <w:ilvl w:val="0"/>
          <w:numId w:val="49"/>
        </w:numPr>
        <w:jc w:val="left"/>
      </w:pPr>
      <w:r w:rsidRPr="002B06D9">
        <w:t>Po</w:t>
      </w:r>
      <w:r>
        <w:t>stup</w:t>
      </w:r>
      <w:r w:rsidRPr="002B06D9">
        <w:t xml:space="preserve"> </w:t>
      </w:r>
      <w:r w:rsidR="009D7763" w:rsidRPr="002B06D9">
        <w:t xml:space="preserve">pro </w:t>
      </w:r>
      <w:r w:rsidR="008A4A65" w:rsidRPr="002B06D9">
        <w:t>podání žádosti o podporu v MS2014+</w:t>
      </w:r>
    </w:p>
    <w:p w:rsidR="00F06659" w:rsidRPr="002B06D9" w:rsidRDefault="00F06659" w:rsidP="004B2F6E">
      <w:pPr>
        <w:pStyle w:val="Odstavecseseznamem"/>
        <w:numPr>
          <w:ilvl w:val="0"/>
          <w:numId w:val="49"/>
        </w:numPr>
        <w:jc w:val="left"/>
      </w:pPr>
      <w:r w:rsidRPr="002B06D9">
        <w:t>Metodi</w:t>
      </w:r>
      <w:r w:rsidR="00E92D18" w:rsidRPr="002B06D9">
        <w:t>c</w:t>
      </w:r>
      <w:r w:rsidRPr="002B06D9">
        <w:t xml:space="preserve">ký </w:t>
      </w:r>
      <w:r w:rsidR="002D601A" w:rsidRPr="002B06D9">
        <w:t>list indikátorů</w:t>
      </w:r>
    </w:p>
    <w:p w:rsidR="003826D7" w:rsidRDefault="003203EB" w:rsidP="004B2F6E">
      <w:pPr>
        <w:pStyle w:val="Odstavecseseznamem"/>
        <w:numPr>
          <w:ilvl w:val="0"/>
          <w:numId w:val="49"/>
        </w:numPr>
        <w:jc w:val="left"/>
      </w:pPr>
      <w:r>
        <w:t>Osnova s</w:t>
      </w:r>
      <w:r w:rsidR="003826D7" w:rsidRPr="002B06D9">
        <w:t>tudie proveditelnosti</w:t>
      </w:r>
    </w:p>
    <w:p w:rsidR="00DB6903" w:rsidRDefault="00796B69" w:rsidP="00956B8F">
      <w:pPr>
        <w:pStyle w:val="Odstavecseseznamem"/>
        <w:numPr>
          <w:ilvl w:val="0"/>
          <w:numId w:val="49"/>
        </w:numPr>
        <w:jc w:val="left"/>
      </w:pPr>
      <w:r>
        <w:t>Podmínky</w:t>
      </w:r>
      <w:r w:rsidR="00DB6903">
        <w:t xml:space="preserve"> Rozhodnutí o poskytnutí dotace (pro PO OSS) – vzor</w:t>
      </w:r>
    </w:p>
    <w:p w:rsidR="00DB6903" w:rsidRDefault="00796B69" w:rsidP="004B2F6E">
      <w:pPr>
        <w:pStyle w:val="Odstavecseseznamem"/>
        <w:numPr>
          <w:ilvl w:val="0"/>
          <w:numId w:val="49"/>
        </w:numPr>
        <w:jc w:val="left"/>
      </w:pPr>
      <w:r>
        <w:t>Podmínky</w:t>
      </w:r>
      <w:r w:rsidR="00DB6903">
        <w:t xml:space="preserve"> Rozhodnutí o poskytnutí dotace (pro příjemce kromě </w:t>
      </w:r>
      <w:proofErr w:type="gramStart"/>
      <w:r w:rsidR="00DB6903">
        <w:t>OSS</w:t>
      </w:r>
      <w:proofErr w:type="gramEnd"/>
      <w:r w:rsidR="00DB6903">
        <w:t xml:space="preserve"> a jejich PO) – vzor</w:t>
      </w:r>
    </w:p>
    <w:p w:rsidR="00DB6903" w:rsidRDefault="00796B69" w:rsidP="004B2F6E">
      <w:pPr>
        <w:pStyle w:val="Odstavecseseznamem"/>
        <w:numPr>
          <w:ilvl w:val="0"/>
          <w:numId w:val="49"/>
        </w:numPr>
        <w:jc w:val="left"/>
      </w:pPr>
      <w:r>
        <w:t>Podmínky</w:t>
      </w:r>
      <w:r w:rsidR="00DB6903">
        <w:t xml:space="preserve"> Stanovení výdajů </w:t>
      </w:r>
      <w:r w:rsidR="005E3DAA">
        <w:t xml:space="preserve">na financování akce </w:t>
      </w:r>
      <w:proofErr w:type="gramStart"/>
      <w:r w:rsidR="005E3DAA">
        <w:t>OSS</w:t>
      </w:r>
      <w:proofErr w:type="gramEnd"/>
      <w:r w:rsidR="00DB6903">
        <w:t xml:space="preserve">– </w:t>
      </w:r>
      <w:proofErr w:type="gramStart"/>
      <w:r w:rsidR="00DB6903">
        <w:t>vzor</w:t>
      </w:r>
      <w:proofErr w:type="gramEnd"/>
    </w:p>
    <w:p w:rsidR="00DB6903" w:rsidRPr="00A11CCA" w:rsidRDefault="00DB6903" w:rsidP="004B2F6E">
      <w:pPr>
        <w:pStyle w:val="Odstavecseseznamem"/>
        <w:numPr>
          <w:ilvl w:val="0"/>
          <w:numId w:val="49"/>
        </w:numPr>
        <w:jc w:val="left"/>
      </w:pPr>
      <w:r w:rsidRPr="00A11CCA">
        <w:t>Krácení peněžních prostředků při porušení Podmínek</w:t>
      </w:r>
      <w:r w:rsidR="008C71D7">
        <w:t xml:space="preserve"> dopisu MMR/</w:t>
      </w:r>
      <w:r w:rsidRPr="00A11CCA">
        <w:t xml:space="preserve"> Stanovení výdajů</w:t>
      </w:r>
    </w:p>
    <w:p w:rsidR="00A11CCA" w:rsidRDefault="00A11CCA" w:rsidP="00A11CCA">
      <w:pPr>
        <w:pStyle w:val="Odstavecseseznamem"/>
        <w:numPr>
          <w:ilvl w:val="0"/>
          <w:numId w:val="49"/>
        </w:numPr>
        <w:jc w:val="left"/>
      </w:pPr>
      <w:r>
        <w:t>P</w:t>
      </w:r>
      <w:r w:rsidRPr="00A11CCA">
        <w:t>růzkum trhu</w:t>
      </w:r>
      <w:r w:rsidR="00A236FC">
        <w:t xml:space="preserve"> </w:t>
      </w:r>
      <w:r w:rsidR="00FC2482">
        <w:t>–</w:t>
      </w:r>
      <w:r w:rsidR="00A236FC">
        <w:t xml:space="preserve"> vzor</w:t>
      </w:r>
    </w:p>
    <w:p w:rsidR="0017358A" w:rsidRPr="0017358A" w:rsidRDefault="0017358A" w:rsidP="001C5E32">
      <w:pPr>
        <w:pStyle w:val="Odstavecseseznamem"/>
        <w:numPr>
          <w:ilvl w:val="0"/>
          <w:numId w:val="49"/>
        </w:numPr>
      </w:pPr>
      <w:r>
        <w:t xml:space="preserve">Souhlasné stanovisko </w:t>
      </w:r>
      <w:r w:rsidRPr="0017358A">
        <w:t>subjektu, který vydal strategický plán, komunitní plán nebo střednědobý plán</w:t>
      </w:r>
      <w:r w:rsidR="003424A7">
        <w:t xml:space="preserve"> rozvoje sociálních služeb </w:t>
      </w:r>
      <w:r w:rsidR="009F624B">
        <w:t>k</w:t>
      </w:r>
      <w:r w:rsidR="003424A7">
        <w:t>raje</w:t>
      </w:r>
      <w:r w:rsidR="001C5E32">
        <w:t xml:space="preserve"> - </w:t>
      </w:r>
      <w:r w:rsidR="001C5E32" w:rsidRPr="001C5E32">
        <w:t xml:space="preserve"> vzor</w:t>
      </w:r>
    </w:p>
    <w:p w:rsidR="0017358A" w:rsidRDefault="0017358A" w:rsidP="00106361">
      <w:pPr>
        <w:pStyle w:val="Odstavecseseznamem"/>
        <w:jc w:val="left"/>
      </w:pPr>
    </w:p>
    <w:p w:rsidR="00ED68CF" w:rsidRDefault="00ED68CF" w:rsidP="00106361">
      <w:pPr>
        <w:pStyle w:val="Odstavecseseznamem"/>
        <w:jc w:val="left"/>
      </w:pPr>
    </w:p>
    <w:p w:rsidR="00A60BF0" w:rsidRPr="00CB13B8" w:rsidRDefault="00A60BF0" w:rsidP="00A60BF0">
      <w:pPr>
        <w:rPr>
          <w:rFonts w:cs="Arial"/>
        </w:rPr>
      </w:pPr>
      <w:r w:rsidRPr="0076798B">
        <w:rPr>
          <w:rFonts w:ascii="Cambria" w:hAnsi="Cambria"/>
        </w:rPr>
        <w:t>Před sch</w:t>
      </w:r>
      <w:r>
        <w:rPr>
          <w:rFonts w:ascii="Cambria" w:hAnsi="Cambria"/>
        </w:rPr>
        <w:t>válením Rozhodnutí může dojít ke změně vzoru Podmínek uvedených v příloze.</w:t>
      </w:r>
    </w:p>
    <w:p w:rsidR="001B136C" w:rsidRPr="002B06D9" w:rsidRDefault="001B136C" w:rsidP="009D67BC">
      <w:pPr>
        <w:ind w:left="360"/>
        <w:jc w:val="left"/>
      </w:pPr>
    </w:p>
    <w:sectPr w:rsidR="001B136C" w:rsidRPr="002B06D9" w:rsidSect="004B2F6E">
      <w:headerReference w:type="default" r:id="rId18"/>
      <w:footerReference w:type="default" r:id="rId19"/>
      <w:headerReference w:type="first" r:id="rId20"/>
      <w:type w:val="continuous"/>
      <w:pgSz w:w="11900" w:h="16840" w:code="9"/>
      <w:pgMar w:top="1474" w:right="1412" w:bottom="1440"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F7" w:rsidRDefault="00FC5AF7" w:rsidP="00EA3680">
      <w:r>
        <w:separator/>
      </w:r>
    </w:p>
    <w:p w:rsidR="00FC5AF7" w:rsidRDefault="00FC5AF7" w:rsidP="00EA3680"/>
  </w:endnote>
  <w:endnote w:type="continuationSeparator" w:id="0">
    <w:p w:rsidR="00FC5AF7" w:rsidRDefault="00FC5AF7" w:rsidP="00EA3680">
      <w:r>
        <w:continuationSeparator/>
      </w:r>
    </w:p>
    <w:p w:rsidR="00FC5AF7" w:rsidRDefault="00FC5AF7" w:rsidP="00EA3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F7" w:rsidRDefault="00FC5AF7" w:rsidP="00EA3680">
    <w:pPr>
      <w:pStyle w:val="Zpat"/>
    </w:pPr>
    <w:r>
      <w:rPr>
        <w:noProof/>
        <w:lang w:eastAsia="cs-CZ"/>
      </w:rPr>
      <mc:AlternateContent>
        <mc:Choice Requires="wps">
          <w:drawing>
            <wp:anchor distT="0" distB="0" distL="114300" distR="114300" simplePos="0" relativeHeight="251659264" behindDoc="0" locked="0" layoutInCell="1" allowOverlap="1" wp14:anchorId="60406512" wp14:editId="217255E2">
              <wp:simplePos x="0" y="0"/>
              <wp:positionH relativeFrom="column">
                <wp:posOffset>-224155</wp:posOffset>
              </wp:positionH>
              <wp:positionV relativeFrom="paragraph">
                <wp:posOffset>-207010</wp:posOffset>
              </wp:positionV>
              <wp:extent cx="6171565"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1565" cy="514350"/>
                      </a:xfrm>
                      <a:prstGeom prst="rect">
                        <a:avLst/>
                      </a:prstGeom>
                      <a:noFill/>
                      <a:ln>
                        <a:noFill/>
                      </a:ln>
                      <a:effectLst/>
                      <a:extLst>
                        <a:ext uri="{C572A759-6A51-4108-AA02-DFA0A04FC94B}"/>
                      </a:extLst>
                    </wps:spPr>
                    <wps:txbx>
                      <w:txbxContent>
                        <w:p w:rsidR="00FC5AF7" w:rsidRPr="00CB13B8" w:rsidRDefault="00FC5AF7" w:rsidP="000315F5">
                          <w:pPr>
                            <w:pStyle w:val="Zpat"/>
                            <w:tabs>
                              <w:tab w:val="clear" w:pos="4320"/>
                              <w:tab w:val="center" w:pos="709"/>
                              <w:tab w:val="center" w:pos="5670"/>
                            </w:tabs>
                            <w:rPr>
                              <w:rFonts w:cs="Arial"/>
                            </w:rPr>
                          </w:pPr>
                          <w:r>
                            <w:rPr>
                              <w:rFonts w:cs="Arial"/>
                              <w:sz w:val="20"/>
                              <w:szCs w:val="20"/>
                            </w:rPr>
                            <w:t>Vydání 1.2</w:t>
                          </w:r>
                          <w:r>
                            <w:rPr>
                              <w:rFonts w:cs="Arial"/>
                              <w:sz w:val="20"/>
                              <w:szCs w:val="20"/>
                            </w:rPr>
                            <w:tab/>
                          </w:r>
                          <w:r>
                            <w:rPr>
                              <w:rFonts w:cs="Arial"/>
                              <w:sz w:val="20"/>
                              <w:szCs w:val="20"/>
                            </w:rPr>
                            <w:tab/>
                          </w:r>
                        </w:p>
                        <w:p w:rsidR="00FC5AF7" w:rsidRPr="008725B7" w:rsidRDefault="00FC5AF7" w:rsidP="0088542D">
                          <w:r w:rsidRPr="00F76554">
                            <w:rPr>
                              <w:rFonts w:cs="Arial"/>
                              <w:sz w:val="20"/>
                              <w:szCs w:val="20"/>
                            </w:rPr>
                            <w:t xml:space="preserve">Platnost od </w:t>
                          </w:r>
                          <w:r w:rsidRPr="003F42DC">
                            <w:rPr>
                              <w:rFonts w:cs="Arial"/>
                              <w:sz w:val="20"/>
                              <w:szCs w:val="20"/>
                            </w:rPr>
                            <w:t>1</w:t>
                          </w:r>
                          <w:r w:rsidRPr="00F76554">
                            <w:rPr>
                              <w:rFonts w:cs="Arial"/>
                              <w:sz w:val="20"/>
                              <w:szCs w:val="20"/>
                            </w:rPr>
                            <w:t xml:space="preserve">. </w:t>
                          </w:r>
                          <w:r w:rsidRPr="003F42DC">
                            <w:rPr>
                              <w:rFonts w:cs="Arial"/>
                              <w:sz w:val="20"/>
                              <w:szCs w:val="20"/>
                            </w:rPr>
                            <w:t>7</w:t>
                          </w:r>
                          <w:r w:rsidRPr="00F76554">
                            <w:rPr>
                              <w:rFonts w:cs="Arial"/>
                              <w:sz w:val="20"/>
                              <w:szCs w:val="20"/>
                            </w:rPr>
                            <w:t xml:space="preserve">. </w:t>
                          </w:r>
                          <w:proofErr w:type="gramStart"/>
                          <w:r w:rsidRPr="00F76554">
                            <w:rPr>
                              <w:rFonts w:cs="Arial"/>
                              <w:sz w:val="20"/>
                              <w:szCs w:val="20"/>
                            </w:rPr>
                            <w:t>2016</w:t>
                          </w:r>
                          <w:r w:rsidRPr="00845814">
                            <w:rPr>
                              <w:rFonts w:cs="Arial"/>
                              <w:sz w:val="20"/>
                              <w:szCs w:val="20"/>
                            </w:rPr>
                            <w:t xml:space="preserve"> </w:t>
                          </w:r>
                          <w:r>
                            <w:rPr>
                              <w:rFonts w:cs="Arial"/>
                              <w:sz w:val="20"/>
                              <w:szCs w:val="20"/>
                            </w:rPr>
                            <w:t xml:space="preserve">                                                                                    </w:t>
                          </w:r>
                          <w:r w:rsidRPr="00CB13B8">
                            <w:rPr>
                              <w:rFonts w:cs="Arial"/>
                              <w:sz w:val="20"/>
                              <w:szCs w:val="20"/>
                            </w:rPr>
                            <w:t>Specifická</w:t>
                          </w:r>
                          <w:proofErr w:type="gramEnd"/>
                          <w:r w:rsidRPr="00CB13B8">
                            <w:rPr>
                              <w:rFonts w:cs="Arial"/>
                              <w:sz w:val="20"/>
                              <w:szCs w:val="20"/>
                            </w:rPr>
                            <w:t xml:space="preserve"> pravidla pro žadatele a příjemce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65pt;margin-top:-16.3pt;width:485.9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" filled="f" stroked="f">
              <v:path arrowok="t"/>
              <v:textbox>
                <w:txbxContent>
                  <w:p w:rsidR="00FC5AF7" w:rsidRPr="00CB13B8" w:rsidRDefault="00FC5AF7" w:rsidP="000315F5">
                    <w:pPr>
                      <w:pStyle w:val="Zpat"/>
                      <w:tabs>
                        <w:tab w:val="clear" w:pos="4320"/>
                        <w:tab w:val="center" w:pos="709"/>
                        <w:tab w:val="center" w:pos="5670"/>
                      </w:tabs>
                      <w:rPr>
                        <w:rFonts w:cs="Arial"/>
                      </w:rPr>
                    </w:pPr>
                    <w:r>
                      <w:rPr>
                        <w:rFonts w:cs="Arial"/>
                        <w:sz w:val="20"/>
                        <w:szCs w:val="20"/>
                      </w:rPr>
                      <w:t>Vydání 1.2</w:t>
                    </w:r>
                    <w:r>
                      <w:rPr>
                        <w:rFonts w:cs="Arial"/>
                        <w:sz w:val="20"/>
                        <w:szCs w:val="20"/>
                      </w:rPr>
                      <w:tab/>
                    </w:r>
                    <w:r>
                      <w:rPr>
                        <w:rFonts w:cs="Arial"/>
                        <w:sz w:val="20"/>
                        <w:szCs w:val="20"/>
                      </w:rPr>
                      <w:tab/>
                    </w:r>
                  </w:p>
                  <w:p w:rsidR="00FC5AF7" w:rsidRPr="008725B7" w:rsidRDefault="00FC5AF7" w:rsidP="0088542D">
                    <w:r w:rsidRPr="00F76554">
                      <w:rPr>
                        <w:rFonts w:cs="Arial"/>
                        <w:sz w:val="20"/>
                        <w:szCs w:val="20"/>
                      </w:rPr>
                      <w:t xml:space="preserve">Platnost od </w:t>
                    </w:r>
                    <w:r w:rsidRPr="003F42DC">
                      <w:rPr>
                        <w:rFonts w:cs="Arial"/>
                        <w:sz w:val="20"/>
                        <w:szCs w:val="20"/>
                      </w:rPr>
                      <w:t>1</w:t>
                    </w:r>
                    <w:r w:rsidRPr="00F76554">
                      <w:rPr>
                        <w:rFonts w:cs="Arial"/>
                        <w:sz w:val="20"/>
                        <w:szCs w:val="20"/>
                      </w:rPr>
                      <w:t xml:space="preserve">. </w:t>
                    </w:r>
                    <w:r w:rsidRPr="003F42DC">
                      <w:rPr>
                        <w:rFonts w:cs="Arial"/>
                        <w:sz w:val="20"/>
                        <w:szCs w:val="20"/>
                      </w:rPr>
                      <w:t>7</w:t>
                    </w:r>
                    <w:r w:rsidRPr="00F76554">
                      <w:rPr>
                        <w:rFonts w:cs="Arial"/>
                        <w:sz w:val="20"/>
                        <w:szCs w:val="20"/>
                      </w:rPr>
                      <w:t xml:space="preserve">. </w:t>
                    </w:r>
                    <w:proofErr w:type="gramStart"/>
                    <w:r w:rsidRPr="00F76554">
                      <w:rPr>
                        <w:rFonts w:cs="Arial"/>
                        <w:sz w:val="20"/>
                        <w:szCs w:val="20"/>
                      </w:rPr>
                      <w:t>2016</w:t>
                    </w:r>
                    <w:r w:rsidRPr="00845814">
                      <w:rPr>
                        <w:rFonts w:cs="Arial"/>
                        <w:sz w:val="20"/>
                        <w:szCs w:val="20"/>
                      </w:rPr>
                      <w:t xml:space="preserve"> </w:t>
                    </w:r>
                    <w:r>
                      <w:rPr>
                        <w:rFonts w:cs="Arial"/>
                        <w:sz w:val="20"/>
                        <w:szCs w:val="20"/>
                      </w:rPr>
                      <w:t xml:space="preserve">                                                                                    </w:t>
                    </w:r>
                    <w:r w:rsidRPr="00CB13B8">
                      <w:rPr>
                        <w:rFonts w:cs="Arial"/>
                        <w:sz w:val="20"/>
                        <w:szCs w:val="20"/>
                      </w:rPr>
                      <w:t>Specifická</w:t>
                    </w:r>
                    <w:proofErr w:type="gramEnd"/>
                    <w:r w:rsidRPr="00CB13B8">
                      <w:rPr>
                        <w:rFonts w:cs="Arial"/>
                        <w:sz w:val="20"/>
                        <w:szCs w:val="20"/>
                      </w:rPr>
                      <w:t xml:space="preserve"> pravidla pro žadatele a příjemce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F7" w:rsidRDefault="00FC5AF7" w:rsidP="00EA3680">
      <w:r>
        <w:separator/>
      </w:r>
    </w:p>
    <w:p w:rsidR="00FC5AF7" w:rsidRDefault="00FC5AF7" w:rsidP="00EA3680"/>
  </w:footnote>
  <w:footnote w:type="continuationSeparator" w:id="0">
    <w:p w:rsidR="00FC5AF7" w:rsidRDefault="00FC5AF7" w:rsidP="00EA3680">
      <w:r>
        <w:continuationSeparator/>
      </w:r>
    </w:p>
    <w:p w:rsidR="00FC5AF7" w:rsidRDefault="00FC5AF7" w:rsidP="00EA3680"/>
  </w:footnote>
  <w:footnote w:id="1">
    <w:p w:rsidR="00FC5AF7" w:rsidRDefault="00FC5AF7" w:rsidP="005E1334">
      <w:pPr>
        <w:pStyle w:val="Textpoznpodarou"/>
      </w:pPr>
      <w:r>
        <w:rPr>
          <w:rStyle w:val="Znakapoznpodarou"/>
        </w:rPr>
        <w:footnoteRef/>
      </w:r>
      <w:r>
        <w:t xml:space="preserve"> Z důvodu toho, že režim podpory je uveden v čl. 61 odst. 8.</w:t>
      </w:r>
    </w:p>
  </w:footnote>
  <w:footnote w:id="2">
    <w:p w:rsidR="00FC5AF7" w:rsidRDefault="00FC5AF7">
      <w:pPr>
        <w:pStyle w:val="Textpoznpodarou"/>
      </w:pPr>
      <w:r>
        <w:rPr>
          <w:rStyle w:val="Znakapoznpodarou"/>
        </w:rPr>
        <w:footnoteRef/>
      </w:r>
      <w:r>
        <w:t xml:space="preserve"> Ž</w:t>
      </w:r>
      <w:r w:rsidRPr="007F1130">
        <w:t xml:space="preserve">adatel </w:t>
      </w:r>
      <w:r>
        <w:t>zaškrtává hodnotou „Ne“.</w:t>
      </w:r>
    </w:p>
  </w:footnote>
  <w:footnote w:id="3">
    <w:p w:rsidR="00FC5AF7" w:rsidRDefault="00FC5AF7">
      <w:pPr>
        <w:pStyle w:val="Textpoznpodarou"/>
      </w:pPr>
      <w:r>
        <w:rPr>
          <w:rStyle w:val="Znakapoznpodarou"/>
        </w:rPr>
        <w:footnoteRef/>
      </w:r>
      <w:r>
        <w:t xml:space="preserve"> Ž</w:t>
      </w:r>
      <w:r w:rsidRPr="007F1130">
        <w:t xml:space="preserve">adatel </w:t>
      </w:r>
      <w:r>
        <w:t>zaškrtává hodnotou „Ne“.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F7" w:rsidRDefault="00FC5AF7">
    <w:pPr>
      <w:pStyle w:val="Zhlav"/>
      <w:jc w:val="right"/>
    </w:pPr>
    <w:sdt>
      <w:sdtPr>
        <w:id w:val="1432707162"/>
        <w:docPartObj>
          <w:docPartGallery w:val="Page Numbers (Top of Page)"/>
          <w:docPartUnique/>
        </w:docPartObj>
      </w:sdtPr>
      <w:sdtContent>
        <w:r>
          <w:fldChar w:fldCharType="begin"/>
        </w:r>
        <w:r>
          <w:instrText>PAGE   \* MERGEFORMAT</w:instrText>
        </w:r>
        <w:r>
          <w:fldChar w:fldCharType="separate"/>
        </w:r>
        <w:r w:rsidR="00A64537">
          <w:rPr>
            <w:noProof/>
          </w:rPr>
          <w:t>41</w:t>
        </w:r>
        <w:r>
          <w:fldChar w:fldCharType="end"/>
        </w:r>
      </w:sdtContent>
    </w:sdt>
  </w:p>
  <w:p w:rsidR="00FC5AF7" w:rsidRDefault="00FC5AF7" w:rsidP="00EA36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F7" w:rsidRDefault="00FC5AF7" w:rsidP="00EA3680">
    <w:pPr>
      <w:pStyle w:val="Zhlav"/>
    </w:pPr>
    <w:r>
      <w:rPr>
        <w:noProof/>
        <w:lang w:eastAsia="cs-CZ"/>
      </w:rPr>
      <w:drawing>
        <wp:inline distT="0" distB="0" distL="0" distR="0" wp14:anchorId="3A55799F" wp14:editId="7C279D47">
          <wp:extent cx="5273675" cy="871855"/>
          <wp:effectExtent l="0" t="0" r="3175"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871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914"/>
    <w:multiLevelType w:val="multilevel"/>
    <w:tmpl w:val="AA5623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165FAD"/>
    <w:multiLevelType w:val="hybridMultilevel"/>
    <w:tmpl w:val="12D25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46014DE"/>
    <w:multiLevelType w:val="hybridMultilevel"/>
    <w:tmpl w:val="A9E67C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FD173B"/>
    <w:multiLevelType w:val="hybridMultilevel"/>
    <w:tmpl w:val="E2A8CACC"/>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
    <w:nsid w:val="057918B6"/>
    <w:multiLevelType w:val="hybridMultilevel"/>
    <w:tmpl w:val="EBBC1568"/>
    <w:lvl w:ilvl="0" w:tplc="6C8E0D3A">
      <w:start w:val="8"/>
      <w:numFmt w:val="bullet"/>
      <w:lvlText w:val="-"/>
      <w:lvlJc w:val="left"/>
      <w:pPr>
        <w:ind w:left="720" w:hanging="360"/>
      </w:pPr>
      <w:rPr>
        <w:rFonts w:ascii="Cambria" w:eastAsia="MS Mincho"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6A05EFD"/>
    <w:multiLevelType w:val="hybridMultilevel"/>
    <w:tmpl w:val="CF3A9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6B16C12"/>
    <w:multiLevelType w:val="hybridMultilevel"/>
    <w:tmpl w:val="81CAC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5D4452"/>
    <w:multiLevelType w:val="hybridMultilevel"/>
    <w:tmpl w:val="4CB8B87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A63250"/>
    <w:multiLevelType w:val="hybridMultilevel"/>
    <w:tmpl w:val="BF5CB3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EBC067C"/>
    <w:multiLevelType w:val="hybridMultilevel"/>
    <w:tmpl w:val="E4A4F3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2D22F0C"/>
    <w:multiLevelType w:val="hybridMultilevel"/>
    <w:tmpl w:val="2D1A8A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2F875ED"/>
    <w:multiLevelType w:val="hybridMultilevel"/>
    <w:tmpl w:val="BB46E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3FB2BC3"/>
    <w:multiLevelType w:val="hybridMultilevel"/>
    <w:tmpl w:val="BE3EFB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5BD1612"/>
    <w:multiLevelType w:val="hybridMultilevel"/>
    <w:tmpl w:val="B9FED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6E61BA1"/>
    <w:multiLevelType w:val="multilevel"/>
    <w:tmpl w:val="B2D074B8"/>
    <w:lvl w:ilvl="0">
      <w:start w:val="1"/>
      <w:numFmt w:val="decimal"/>
      <w:lvlText w:val="%1."/>
      <w:lvlJc w:val="left"/>
      <w:pPr>
        <w:ind w:left="360" w:hanging="360"/>
      </w:pPr>
      <w:rPr>
        <w:b/>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8712D1"/>
    <w:multiLevelType w:val="hybridMultilevel"/>
    <w:tmpl w:val="437A2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A270E81"/>
    <w:multiLevelType w:val="hybridMultilevel"/>
    <w:tmpl w:val="4F4C80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7BA3968"/>
    <w:multiLevelType w:val="hybridMultilevel"/>
    <w:tmpl w:val="16C623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8DF34D9"/>
    <w:multiLevelType w:val="hybridMultilevel"/>
    <w:tmpl w:val="3AC85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9486F77"/>
    <w:multiLevelType w:val="hybridMultilevel"/>
    <w:tmpl w:val="3648B85A"/>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E11D5B"/>
    <w:multiLevelType w:val="hybridMultilevel"/>
    <w:tmpl w:val="82F80CF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FFC131D"/>
    <w:multiLevelType w:val="hybridMultilevel"/>
    <w:tmpl w:val="FF9826E2"/>
    <w:lvl w:ilvl="0" w:tplc="7430CC54">
      <w:start w:val="1"/>
      <w:numFmt w:val="decimal"/>
      <w:pStyle w:val="Pravidla11"/>
      <w:lvlText w:val="2.%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1582CAA"/>
    <w:multiLevelType w:val="hybridMultilevel"/>
    <w:tmpl w:val="7DFE0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399250E"/>
    <w:multiLevelType w:val="hybridMultilevel"/>
    <w:tmpl w:val="9D80B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4D91769"/>
    <w:multiLevelType w:val="hybridMultilevel"/>
    <w:tmpl w:val="95543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4DB65B0"/>
    <w:multiLevelType w:val="hybridMultilevel"/>
    <w:tmpl w:val="E11209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6A9415A"/>
    <w:multiLevelType w:val="hybridMultilevel"/>
    <w:tmpl w:val="7C50A0C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70276C5"/>
    <w:multiLevelType w:val="hybridMultilevel"/>
    <w:tmpl w:val="67629A08"/>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97B5B27"/>
    <w:multiLevelType w:val="hybridMultilevel"/>
    <w:tmpl w:val="03C4B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D14653F"/>
    <w:multiLevelType w:val="hybridMultilevel"/>
    <w:tmpl w:val="F9A6D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D4709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DF50F25"/>
    <w:multiLevelType w:val="hybridMultilevel"/>
    <w:tmpl w:val="6730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FC47F03"/>
    <w:multiLevelType w:val="hybridMultilevel"/>
    <w:tmpl w:val="A7DE92FA"/>
    <w:lvl w:ilvl="0" w:tplc="4670A7FA">
      <w:start w:val="1"/>
      <w:numFmt w:val="bullet"/>
      <w:pStyle w:val="OMODRAZKY"/>
      <w:lvlText w:val=""/>
      <w:lvlJc w:val="left"/>
      <w:pPr>
        <w:tabs>
          <w:tab w:val="num" w:pos="170"/>
        </w:tabs>
        <w:ind w:left="170" w:hanging="170"/>
      </w:pPr>
      <w:rPr>
        <w:rFonts w:ascii="Wingdings" w:hAnsi="Wingdings" w:hint="default"/>
      </w:rPr>
    </w:lvl>
    <w:lvl w:ilvl="1" w:tplc="04050003">
      <w:start w:val="1"/>
      <w:numFmt w:val="bullet"/>
      <w:lvlText w:val="o"/>
      <w:lvlJc w:val="left"/>
      <w:pPr>
        <w:tabs>
          <w:tab w:val="num" w:pos="-60"/>
        </w:tabs>
        <w:ind w:left="-60" w:hanging="360"/>
      </w:pPr>
      <w:rPr>
        <w:rFonts w:ascii="Courier New" w:hAnsi="Courier New" w:cs="Courier New" w:hint="default"/>
      </w:rPr>
    </w:lvl>
    <w:lvl w:ilvl="2" w:tplc="04050005">
      <w:start w:val="1"/>
      <w:numFmt w:val="bullet"/>
      <w:lvlText w:val=""/>
      <w:lvlJc w:val="left"/>
      <w:pPr>
        <w:tabs>
          <w:tab w:val="num" w:pos="660"/>
        </w:tabs>
        <w:ind w:left="660" w:hanging="360"/>
      </w:pPr>
      <w:rPr>
        <w:rFonts w:ascii="Wingdings" w:hAnsi="Wingdings" w:hint="default"/>
      </w:rPr>
    </w:lvl>
    <w:lvl w:ilvl="3" w:tplc="04050001" w:tentative="1">
      <w:start w:val="1"/>
      <w:numFmt w:val="bullet"/>
      <w:lvlText w:val=""/>
      <w:lvlJc w:val="left"/>
      <w:pPr>
        <w:tabs>
          <w:tab w:val="num" w:pos="1380"/>
        </w:tabs>
        <w:ind w:left="1380" w:hanging="360"/>
      </w:pPr>
      <w:rPr>
        <w:rFonts w:ascii="Symbol" w:hAnsi="Symbol" w:hint="default"/>
      </w:rPr>
    </w:lvl>
    <w:lvl w:ilvl="4" w:tplc="04050003" w:tentative="1">
      <w:start w:val="1"/>
      <w:numFmt w:val="bullet"/>
      <w:lvlText w:val="o"/>
      <w:lvlJc w:val="left"/>
      <w:pPr>
        <w:tabs>
          <w:tab w:val="num" w:pos="2100"/>
        </w:tabs>
        <w:ind w:left="2100" w:hanging="360"/>
      </w:pPr>
      <w:rPr>
        <w:rFonts w:ascii="Courier New" w:hAnsi="Courier New" w:cs="Courier New" w:hint="default"/>
      </w:rPr>
    </w:lvl>
    <w:lvl w:ilvl="5" w:tplc="04050005" w:tentative="1">
      <w:start w:val="1"/>
      <w:numFmt w:val="bullet"/>
      <w:lvlText w:val=""/>
      <w:lvlJc w:val="left"/>
      <w:pPr>
        <w:tabs>
          <w:tab w:val="num" w:pos="2820"/>
        </w:tabs>
        <w:ind w:left="2820" w:hanging="360"/>
      </w:pPr>
      <w:rPr>
        <w:rFonts w:ascii="Wingdings" w:hAnsi="Wingdings" w:hint="default"/>
      </w:rPr>
    </w:lvl>
    <w:lvl w:ilvl="6" w:tplc="04050001" w:tentative="1">
      <w:start w:val="1"/>
      <w:numFmt w:val="bullet"/>
      <w:lvlText w:val=""/>
      <w:lvlJc w:val="left"/>
      <w:pPr>
        <w:tabs>
          <w:tab w:val="num" w:pos="3540"/>
        </w:tabs>
        <w:ind w:left="3540" w:hanging="360"/>
      </w:pPr>
      <w:rPr>
        <w:rFonts w:ascii="Symbol" w:hAnsi="Symbol" w:hint="default"/>
      </w:rPr>
    </w:lvl>
    <w:lvl w:ilvl="7" w:tplc="04050003" w:tentative="1">
      <w:start w:val="1"/>
      <w:numFmt w:val="bullet"/>
      <w:lvlText w:val="o"/>
      <w:lvlJc w:val="left"/>
      <w:pPr>
        <w:tabs>
          <w:tab w:val="num" w:pos="4260"/>
        </w:tabs>
        <w:ind w:left="4260" w:hanging="360"/>
      </w:pPr>
      <w:rPr>
        <w:rFonts w:ascii="Courier New" w:hAnsi="Courier New" w:cs="Courier New" w:hint="default"/>
      </w:rPr>
    </w:lvl>
    <w:lvl w:ilvl="8" w:tplc="04050005" w:tentative="1">
      <w:start w:val="1"/>
      <w:numFmt w:val="bullet"/>
      <w:lvlText w:val=""/>
      <w:lvlJc w:val="left"/>
      <w:pPr>
        <w:tabs>
          <w:tab w:val="num" w:pos="4980"/>
        </w:tabs>
        <w:ind w:left="4980" w:hanging="360"/>
      </w:pPr>
      <w:rPr>
        <w:rFonts w:ascii="Wingdings" w:hAnsi="Wingdings" w:hint="default"/>
      </w:rPr>
    </w:lvl>
  </w:abstractNum>
  <w:abstractNum w:abstractNumId="35">
    <w:nsid w:val="405A066B"/>
    <w:multiLevelType w:val="hybridMultilevel"/>
    <w:tmpl w:val="3D1495F0"/>
    <w:lvl w:ilvl="0" w:tplc="E1C85E2E">
      <w:numFmt w:val="bullet"/>
      <w:lvlText w:val="•"/>
      <w:lvlJc w:val="left"/>
      <w:pPr>
        <w:ind w:left="720" w:hanging="360"/>
      </w:pPr>
      <w:rPr>
        <w:rFonts w:ascii="Cambria" w:eastAsia="MS Mincho" w:hAnsi="Cambria"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16A3738"/>
    <w:multiLevelType w:val="hybridMultilevel"/>
    <w:tmpl w:val="27600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36C382C"/>
    <w:multiLevelType w:val="hybridMultilevel"/>
    <w:tmpl w:val="C76293B0"/>
    <w:lvl w:ilvl="0" w:tplc="4E8A7D8C">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51E5583"/>
    <w:multiLevelType w:val="hybridMultilevel"/>
    <w:tmpl w:val="8460DE06"/>
    <w:lvl w:ilvl="0" w:tplc="1A4C5AE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5367209"/>
    <w:multiLevelType w:val="hybridMultilevel"/>
    <w:tmpl w:val="0EE27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C0C3C5A"/>
    <w:multiLevelType w:val="hybridMultilevel"/>
    <w:tmpl w:val="251E6C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52717731"/>
    <w:multiLevelType w:val="hybridMultilevel"/>
    <w:tmpl w:val="1A9E7CA8"/>
    <w:lvl w:ilvl="0" w:tplc="04050005">
      <w:start w:val="1"/>
      <w:numFmt w:val="bullet"/>
      <w:lvlText w:val=""/>
      <w:lvlJc w:val="left"/>
      <w:pPr>
        <w:ind w:left="643"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532448E4"/>
    <w:multiLevelType w:val="multilevel"/>
    <w:tmpl w:val="18A82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496451E"/>
    <w:multiLevelType w:val="hybridMultilevel"/>
    <w:tmpl w:val="B086B6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71C07A9"/>
    <w:multiLevelType w:val="hybridMultilevel"/>
    <w:tmpl w:val="ACAE40F6"/>
    <w:lvl w:ilvl="0" w:tplc="20E2F636">
      <w:numFmt w:val="bullet"/>
      <w:lvlText w:val="•"/>
      <w:lvlJc w:val="left"/>
      <w:pPr>
        <w:ind w:left="1065" w:hanging="705"/>
      </w:pPr>
      <w:rPr>
        <w:rFonts w:ascii="Calibri" w:eastAsia="MS Mincho" w:hAnsi="Calibri"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7D7158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8086369"/>
    <w:multiLevelType w:val="hybridMultilevel"/>
    <w:tmpl w:val="03784B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859162C"/>
    <w:multiLevelType w:val="hybridMultilevel"/>
    <w:tmpl w:val="A3FA26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nsid w:val="58FD1A28"/>
    <w:multiLevelType w:val="hybridMultilevel"/>
    <w:tmpl w:val="41FA7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9A8401E"/>
    <w:multiLevelType w:val="hybridMultilevel"/>
    <w:tmpl w:val="FA0C3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A326ADC"/>
    <w:multiLevelType w:val="hybridMultilevel"/>
    <w:tmpl w:val="9E0CA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CF037D1"/>
    <w:multiLevelType w:val="hybridMultilevel"/>
    <w:tmpl w:val="F1CC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5E2500CA"/>
    <w:multiLevelType w:val="hybridMultilevel"/>
    <w:tmpl w:val="C9D22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1CA4F10"/>
    <w:multiLevelType w:val="hybridMultilevel"/>
    <w:tmpl w:val="CFDA9A8A"/>
    <w:lvl w:ilvl="0" w:tplc="0F547350">
      <w:numFmt w:val="bullet"/>
      <w:lvlText w:val="-"/>
      <w:lvlJc w:val="left"/>
      <w:pPr>
        <w:ind w:left="862" w:hanging="360"/>
      </w:pPr>
      <w:rPr>
        <w:rFonts w:ascii="Cambria" w:eastAsia="MS Mincho" w:hAnsi="Cambria"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4">
    <w:nsid w:val="62D96838"/>
    <w:multiLevelType w:val="hybridMultilevel"/>
    <w:tmpl w:val="FE049D62"/>
    <w:lvl w:ilvl="0" w:tplc="FEF6D928">
      <w:start w:val="1"/>
      <w:numFmt w:val="decimal"/>
      <w:lvlText w:val="%1."/>
      <w:lvlJc w:val="left"/>
      <w:pPr>
        <w:ind w:left="720" w:hanging="360"/>
      </w:pPr>
      <w:rPr>
        <w:rFonts w:ascii="Cambria" w:hAnsi="Cambria"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5EA0BF6"/>
    <w:multiLevelType w:val="hybridMultilevel"/>
    <w:tmpl w:val="04CE9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9930C61"/>
    <w:multiLevelType w:val="hybridMultilevel"/>
    <w:tmpl w:val="09148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A273A19"/>
    <w:multiLevelType w:val="hybridMultilevel"/>
    <w:tmpl w:val="28686D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
    <w:nsid w:val="6AE225AC"/>
    <w:multiLevelType w:val="hybridMultilevel"/>
    <w:tmpl w:val="39CA6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6D8C709B"/>
    <w:multiLevelType w:val="hybridMultilevel"/>
    <w:tmpl w:val="965E41B4"/>
    <w:lvl w:ilvl="0" w:tplc="FEF6D928">
      <w:start w:val="1"/>
      <w:numFmt w:val="decimal"/>
      <w:lvlText w:val="%1."/>
      <w:lvlJc w:val="left"/>
      <w:pPr>
        <w:ind w:left="960" w:hanging="360"/>
      </w:pPr>
      <w:rPr>
        <w:rFonts w:ascii="Cambria" w:hAnsi="Cambria" w:hint="default"/>
        <w:sz w:val="24"/>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60">
    <w:nsid w:val="6E075A9D"/>
    <w:multiLevelType w:val="hybridMultilevel"/>
    <w:tmpl w:val="14DA4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6F16743A"/>
    <w:multiLevelType w:val="hybridMultilevel"/>
    <w:tmpl w:val="DA9E72A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2">
    <w:nsid w:val="6F5D1DBD"/>
    <w:multiLevelType w:val="hybridMultilevel"/>
    <w:tmpl w:val="34F4F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02B64FE"/>
    <w:multiLevelType w:val="hybridMultilevel"/>
    <w:tmpl w:val="50901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09378D0"/>
    <w:multiLevelType w:val="hybridMultilevel"/>
    <w:tmpl w:val="191A457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65">
    <w:nsid w:val="72A14C2A"/>
    <w:multiLevelType w:val="hybridMultilevel"/>
    <w:tmpl w:val="4CB8B87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337473E"/>
    <w:multiLevelType w:val="hybridMultilevel"/>
    <w:tmpl w:val="427E7030"/>
    <w:lvl w:ilvl="0" w:tplc="DB16835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7">
    <w:nsid w:val="746F1E7E"/>
    <w:multiLevelType w:val="hybridMultilevel"/>
    <w:tmpl w:val="EF9A8184"/>
    <w:lvl w:ilvl="0" w:tplc="E1C85E2E">
      <w:numFmt w:val="bullet"/>
      <w:lvlText w:val="•"/>
      <w:lvlJc w:val="left"/>
      <w:pPr>
        <w:ind w:left="720" w:hanging="360"/>
      </w:pPr>
      <w:rPr>
        <w:rFonts w:ascii="Cambria" w:eastAsia="MS Mincho"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5340B32"/>
    <w:multiLevelType w:val="hybridMultilevel"/>
    <w:tmpl w:val="566AB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77443CEE"/>
    <w:multiLevelType w:val="hybridMultilevel"/>
    <w:tmpl w:val="6E763DAC"/>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78C906E0"/>
    <w:multiLevelType w:val="hybridMultilevel"/>
    <w:tmpl w:val="76B0C10A"/>
    <w:lvl w:ilvl="0" w:tplc="84D69B8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7A667F41"/>
    <w:multiLevelType w:val="hybridMultilevel"/>
    <w:tmpl w:val="69E88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7C7F7173"/>
    <w:multiLevelType w:val="hybridMultilevel"/>
    <w:tmpl w:val="357882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3">
    <w:nsid w:val="7D7A0CBE"/>
    <w:multiLevelType w:val="hybridMultilevel"/>
    <w:tmpl w:val="157EDE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41"/>
  </w:num>
  <w:num w:numId="5">
    <w:abstractNumId w:val="30"/>
  </w:num>
  <w:num w:numId="6">
    <w:abstractNumId w:val="67"/>
  </w:num>
  <w:num w:numId="7">
    <w:abstractNumId w:val="28"/>
  </w:num>
  <w:num w:numId="8">
    <w:abstractNumId w:val="26"/>
  </w:num>
  <w:num w:numId="9">
    <w:abstractNumId w:val="12"/>
  </w:num>
  <w:num w:numId="10">
    <w:abstractNumId w:val="24"/>
  </w:num>
  <w:num w:numId="11">
    <w:abstractNumId w:val="4"/>
  </w:num>
  <w:num w:numId="12">
    <w:abstractNumId w:val="57"/>
  </w:num>
  <w:num w:numId="13">
    <w:abstractNumId w:val="18"/>
  </w:num>
  <w:num w:numId="14">
    <w:abstractNumId w:val="72"/>
  </w:num>
  <w:num w:numId="15">
    <w:abstractNumId w:val="9"/>
  </w:num>
  <w:num w:numId="16">
    <w:abstractNumId w:val="31"/>
  </w:num>
  <w:num w:numId="17">
    <w:abstractNumId w:val="33"/>
  </w:num>
  <w:num w:numId="18">
    <w:abstractNumId w:val="69"/>
  </w:num>
  <w:num w:numId="19">
    <w:abstractNumId w:val="21"/>
  </w:num>
  <w:num w:numId="20">
    <w:abstractNumId w:val="10"/>
  </w:num>
  <w:num w:numId="21">
    <w:abstractNumId w:val="64"/>
  </w:num>
  <w:num w:numId="22">
    <w:abstractNumId w:val="37"/>
  </w:num>
  <w:num w:numId="23">
    <w:abstractNumId w:val="58"/>
  </w:num>
  <w:num w:numId="24">
    <w:abstractNumId w:val="1"/>
  </w:num>
  <w:num w:numId="25">
    <w:abstractNumId w:val="35"/>
  </w:num>
  <w:num w:numId="26">
    <w:abstractNumId w:val="34"/>
  </w:num>
  <w:num w:numId="27">
    <w:abstractNumId w:val="0"/>
  </w:num>
  <w:num w:numId="28">
    <w:abstractNumId w:val="15"/>
  </w:num>
  <w:num w:numId="29">
    <w:abstractNumId w:val="44"/>
  </w:num>
  <w:num w:numId="30">
    <w:abstractNumId w:val="70"/>
  </w:num>
  <w:num w:numId="31">
    <w:abstractNumId w:val="49"/>
  </w:num>
  <w:num w:numId="32">
    <w:abstractNumId w:val="56"/>
  </w:num>
  <w:num w:numId="33">
    <w:abstractNumId w:val="40"/>
  </w:num>
  <w:num w:numId="34">
    <w:abstractNumId w:val="23"/>
  </w:num>
  <w:num w:numId="35">
    <w:abstractNumId w:val="52"/>
  </w:num>
  <w:num w:numId="36">
    <w:abstractNumId w:val="38"/>
  </w:num>
  <w:num w:numId="37">
    <w:abstractNumId w:val="43"/>
  </w:num>
  <w:num w:numId="38">
    <w:abstractNumId w:val="27"/>
  </w:num>
  <w:num w:numId="39">
    <w:abstractNumId w:val="53"/>
  </w:num>
  <w:num w:numId="40">
    <w:abstractNumId w:val="7"/>
  </w:num>
  <w:num w:numId="41">
    <w:abstractNumId w:val="48"/>
  </w:num>
  <w:num w:numId="42">
    <w:abstractNumId w:val="29"/>
  </w:num>
  <w:num w:numId="43">
    <w:abstractNumId w:val="47"/>
  </w:num>
  <w:num w:numId="44">
    <w:abstractNumId w:val="3"/>
  </w:num>
  <w:num w:numId="45">
    <w:abstractNumId w:val="36"/>
  </w:num>
  <w:num w:numId="46">
    <w:abstractNumId w:val="32"/>
  </w:num>
  <w:num w:numId="47">
    <w:abstractNumId w:val="45"/>
  </w:num>
  <w:num w:numId="48">
    <w:abstractNumId w:val="23"/>
  </w:num>
  <w:num w:numId="49">
    <w:abstractNumId w:val="54"/>
  </w:num>
  <w:num w:numId="50">
    <w:abstractNumId w:val="39"/>
  </w:num>
  <w:num w:numId="51">
    <w:abstractNumId w:val="71"/>
  </w:num>
  <w:num w:numId="52">
    <w:abstractNumId w:val="51"/>
  </w:num>
  <w:num w:numId="53">
    <w:abstractNumId w:val="23"/>
  </w:num>
  <w:num w:numId="54">
    <w:abstractNumId w:val="23"/>
  </w:num>
  <w:num w:numId="55">
    <w:abstractNumId w:val="23"/>
    <w:lvlOverride w:ilvl="0">
      <w:startOverride w:val="1"/>
    </w:lvlOverride>
  </w:num>
  <w:num w:numId="56">
    <w:abstractNumId w:val="25"/>
  </w:num>
  <w:num w:numId="57">
    <w:abstractNumId w:val="17"/>
  </w:num>
  <w:num w:numId="58">
    <w:abstractNumId w:val="65"/>
  </w:num>
  <w:num w:numId="59">
    <w:abstractNumId w:val="73"/>
  </w:num>
  <w:num w:numId="60">
    <w:abstractNumId w:val="46"/>
  </w:num>
  <w:num w:numId="61">
    <w:abstractNumId w:val="59"/>
  </w:num>
  <w:num w:numId="62">
    <w:abstractNumId w:val="50"/>
  </w:num>
  <w:num w:numId="63">
    <w:abstractNumId w:val="16"/>
  </w:num>
  <w:num w:numId="64">
    <w:abstractNumId w:val="8"/>
  </w:num>
  <w:num w:numId="65">
    <w:abstractNumId w:val="60"/>
  </w:num>
  <w:num w:numId="66">
    <w:abstractNumId w:val="20"/>
  </w:num>
  <w:num w:numId="67">
    <w:abstractNumId w:val="11"/>
  </w:num>
  <w:num w:numId="68">
    <w:abstractNumId w:val="14"/>
  </w:num>
  <w:num w:numId="69">
    <w:abstractNumId w:val="68"/>
  </w:num>
  <w:num w:numId="70">
    <w:abstractNumId w:val="42"/>
  </w:num>
  <w:num w:numId="71">
    <w:abstractNumId w:val="47"/>
  </w:num>
  <w:num w:numId="72">
    <w:abstractNumId w:val="22"/>
  </w:num>
  <w:num w:numId="73">
    <w:abstractNumId w:val="23"/>
    <w:lvlOverride w:ilvl="0">
      <w:startOverride w:val="1"/>
    </w:lvlOverride>
  </w:num>
  <w:num w:numId="74">
    <w:abstractNumId w:val="19"/>
  </w:num>
  <w:num w:numId="75">
    <w:abstractNumId w:val="61"/>
  </w:num>
  <w:num w:numId="76">
    <w:abstractNumId w:val="62"/>
  </w:num>
  <w:num w:numId="77">
    <w:abstractNumId w:val="69"/>
    <w:lvlOverride w:ilvl="0"/>
    <w:lvlOverride w:ilvl="1">
      <w:startOverride w:val="1"/>
    </w:lvlOverride>
    <w:lvlOverride w:ilvl="2"/>
    <w:lvlOverride w:ilvl="3"/>
    <w:lvlOverride w:ilvl="4"/>
    <w:lvlOverride w:ilvl="5"/>
    <w:lvlOverride w:ilvl="6"/>
    <w:lvlOverride w:ilvl="7"/>
    <w:lvlOverride w:ilvl="8"/>
  </w:num>
  <w:num w:numId="78">
    <w:abstractNumId w:val="21"/>
    <w:lvlOverride w:ilvl="0"/>
    <w:lvlOverride w:ilvl="1">
      <w:startOverride w:val="1"/>
    </w:lvlOverride>
    <w:lvlOverride w:ilvl="2"/>
    <w:lvlOverride w:ilvl="3"/>
    <w:lvlOverride w:ilvl="4"/>
    <w:lvlOverride w:ilvl="5"/>
    <w:lvlOverride w:ilvl="6"/>
    <w:lvlOverride w:ilvl="7"/>
    <w:lvlOverride w:ilvl="8"/>
  </w:num>
  <w:num w:numId="79">
    <w:abstractNumId w:val="10"/>
  </w:num>
  <w:num w:numId="80">
    <w:abstractNumId w:val="58"/>
  </w:num>
  <w:num w:numId="81">
    <w:abstractNumId w:val="66"/>
  </w:num>
  <w:num w:numId="82">
    <w:abstractNumId w:val="2"/>
  </w:num>
  <w:num w:numId="83">
    <w:abstractNumId w:val="63"/>
  </w:num>
  <w:num w:numId="84">
    <w:abstractNumId w:val="55"/>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E5"/>
    <w:rsid w:val="00000F3E"/>
    <w:rsid w:val="000047FC"/>
    <w:rsid w:val="00006E0A"/>
    <w:rsid w:val="00006FFD"/>
    <w:rsid w:val="00010313"/>
    <w:rsid w:val="00011847"/>
    <w:rsid w:val="00012BAD"/>
    <w:rsid w:val="00014089"/>
    <w:rsid w:val="00014223"/>
    <w:rsid w:val="000153EF"/>
    <w:rsid w:val="000156BB"/>
    <w:rsid w:val="00016075"/>
    <w:rsid w:val="00017CEF"/>
    <w:rsid w:val="000225B1"/>
    <w:rsid w:val="00023387"/>
    <w:rsid w:val="0002396B"/>
    <w:rsid w:val="000270AD"/>
    <w:rsid w:val="000315F5"/>
    <w:rsid w:val="00033281"/>
    <w:rsid w:val="00034044"/>
    <w:rsid w:val="000354DE"/>
    <w:rsid w:val="00040EF1"/>
    <w:rsid w:val="000428AB"/>
    <w:rsid w:val="000464C7"/>
    <w:rsid w:val="000514B1"/>
    <w:rsid w:val="0005239A"/>
    <w:rsid w:val="00053A66"/>
    <w:rsid w:val="00054099"/>
    <w:rsid w:val="00054223"/>
    <w:rsid w:val="000579DD"/>
    <w:rsid w:val="000616B8"/>
    <w:rsid w:val="00061FD6"/>
    <w:rsid w:val="0006251B"/>
    <w:rsid w:val="00063603"/>
    <w:rsid w:val="00063632"/>
    <w:rsid w:val="00065063"/>
    <w:rsid w:val="0006564F"/>
    <w:rsid w:val="0007040C"/>
    <w:rsid w:val="00073CB3"/>
    <w:rsid w:val="00075039"/>
    <w:rsid w:val="00077579"/>
    <w:rsid w:val="000778E7"/>
    <w:rsid w:val="00082092"/>
    <w:rsid w:val="000828F5"/>
    <w:rsid w:val="0008532D"/>
    <w:rsid w:val="00087A5C"/>
    <w:rsid w:val="000900FA"/>
    <w:rsid w:val="00090771"/>
    <w:rsid w:val="00091D10"/>
    <w:rsid w:val="0009276E"/>
    <w:rsid w:val="00092849"/>
    <w:rsid w:val="000975AC"/>
    <w:rsid w:val="000A0287"/>
    <w:rsid w:val="000A0B9A"/>
    <w:rsid w:val="000A2512"/>
    <w:rsid w:val="000A2E6D"/>
    <w:rsid w:val="000A3384"/>
    <w:rsid w:val="000A3CE8"/>
    <w:rsid w:val="000A3D2D"/>
    <w:rsid w:val="000B13B9"/>
    <w:rsid w:val="000B3F30"/>
    <w:rsid w:val="000B654A"/>
    <w:rsid w:val="000C0092"/>
    <w:rsid w:val="000C25D7"/>
    <w:rsid w:val="000C2C80"/>
    <w:rsid w:val="000C33F8"/>
    <w:rsid w:val="000C4420"/>
    <w:rsid w:val="000D2498"/>
    <w:rsid w:val="000E2780"/>
    <w:rsid w:val="000E63D2"/>
    <w:rsid w:val="000F0AC6"/>
    <w:rsid w:val="000F70C1"/>
    <w:rsid w:val="000F70C5"/>
    <w:rsid w:val="000F7346"/>
    <w:rsid w:val="0010032C"/>
    <w:rsid w:val="001011D2"/>
    <w:rsid w:val="001032B5"/>
    <w:rsid w:val="0010467C"/>
    <w:rsid w:val="00105704"/>
    <w:rsid w:val="00106361"/>
    <w:rsid w:val="001070FB"/>
    <w:rsid w:val="00112EDB"/>
    <w:rsid w:val="00115777"/>
    <w:rsid w:val="00115D18"/>
    <w:rsid w:val="00116A29"/>
    <w:rsid w:val="00116A5C"/>
    <w:rsid w:val="00116C90"/>
    <w:rsid w:val="001173EA"/>
    <w:rsid w:val="00117C44"/>
    <w:rsid w:val="00120291"/>
    <w:rsid w:val="001212A0"/>
    <w:rsid w:val="00121F27"/>
    <w:rsid w:val="00122F60"/>
    <w:rsid w:val="00123192"/>
    <w:rsid w:val="001233AD"/>
    <w:rsid w:val="00131FEC"/>
    <w:rsid w:val="00132A5F"/>
    <w:rsid w:val="00133764"/>
    <w:rsid w:val="00134399"/>
    <w:rsid w:val="0013584F"/>
    <w:rsid w:val="0013604A"/>
    <w:rsid w:val="00140674"/>
    <w:rsid w:val="00141F2D"/>
    <w:rsid w:val="0014387D"/>
    <w:rsid w:val="00143A81"/>
    <w:rsid w:val="001458AF"/>
    <w:rsid w:val="001539E1"/>
    <w:rsid w:val="001542BE"/>
    <w:rsid w:val="001559FA"/>
    <w:rsid w:val="0016076E"/>
    <w:rsid w:val="00161C5D"/>
    <w:rsid w:val="001629DE"/>
    <w:rsid w:val="00167954"/>
    <w:rsid w:val="00170838"/>
    <w:rsid w:val="00170DBC"/>
    <w:rsid w:val="00171D5A"/>
    <w:rsid w:val="001724C6"/>
    <w:rsid w:val="0017259A"/>
    <w:rsid w:val="0017358A"/>
    <w:rsid w:val="00175DF3"/>
    <w:rsid w:val="00176D6D"/>
    <w:rsid w:val="00180165"/>
    <w:rsid w:val="001855CA"/>
    <w:rsid w:val="001864DB"/>
    <w:rsid w:val="00186A7C"/>
    <w:rsid w:val="00192E4C"/>
    <w:rsid w:val="00192E82"/>
    <w:rsid w:val="00194EDD"/>
    <w:rsid w:val="001A5A2B"/>
    <w:rsid w:val="001A6747"/>
    <w:rsid w:val="001B136C"/>
    <w:rsid w:val="001B4D77"/>
    <w:rsid w:val="001B5E36"/>
    <w:rsid w:val="001B746F"/>
    <w:rsid w:val="001B7495"/>
    <w:rsid w:val="001C0527"/>
    <w:rsid w:val="001C5E32"/>
    <w:rsid w:val="001D08BD"/>
    <w:rsid w:val="001D09BD"/>
    <w:rsid w:val="001D4550"/>
    <w:rsid w:val="001D5858"/>
    <w:rsid w:val="001D5EDC"/>
    <w:rsid w:val="001D7931"/>
    <w:rsid w:val="001E0921"/>
    <w:rsid w:val="001E3479"/>
    <w:rsid w:val="001E4D5D"/>
    <w:rsid w:val="001E6DA5"/>
    <w:rsid w:val="001F14B1"/>
    <w:rsid w:val="001F26E5"/>
    <w:rsid w:val="001F36D1"/>
    <w:rsid w:val="001F5310"/>
    <w:rsid w:val="001F5481"/>
    <w:rsid w:val="001F7E2A"/>
    <w:rsid w:val="00201E3E"/>
    <w:rsid w:val="00202008"/>
    <w:rsid w:val="002045B3"/>
    <w:rsid w:val="00207E0D"/>
    <w:rsid w:val="0021440F"/>
    <w:rsid w:val="0021480E"/>
    <w:rsid w:val="00217341"/>
    <w:rsid w:val="002210F1"/>
    <w:rsid w:val="00224195"/>
    <w:rsid w:val="002249CE"/>
    <w:rsid w:val="00224D3F"/>
    <w:rsid w:val="00224E0A"/>
    <w:rsid w:val="00224FE7"/>
    <w:rsid w:val="00225F2C"/>
    <w:rsid w:val="00227741"/>
    <w:rsid w:val="0022777F"/>
    <w:rsid w:val="00227C47"/>
    <w:rsid w:val="0023101F"/>
    <w:rsid w:val="002321DE"/>
    <w:rsid w:val="00233752"/>
    <w:rsid w:val="002358F6"/>
    <w:rsid w:val="00235942"/>
    <w:rsid w:val="00237C90"/>
    <w:rsid w:val="00240D57"/>
    <w:rsid w:val="00243C3C"/>
    <w:rsid w:val="00244B6F"/>
    <w:rsid w:val="0024700C"/>
    <w:rsid w:val="00250557"/>
    <w:rsid w:val="0025251A"/>
    <w:rsid w:val="00257D0D"/>
    <w:rsid w:val="00257F6C"/>
    <w:rsid w:val="002604E9"/>
    <w:rsid w:val="002641EB"/>
    <w:rsid w:val="002701B5"/>
    <w:rsid w:val="002704C7"/>
    <w:rsid w:val="00270B84"/>
    <w:rsid w:val="0027207F"/>
    <w:rsid w:val="00273747"/>
    <w:rsid w:val="0027671F"/>
    <w:rsid w:val="002777E2"/>
    <w:rsid w:val="0028013A"/>
    <w:rsid w:val="002806D7"/>
    <w:rsid w:val="00281409"/>
    <w:rsid w:val="00282960"/>
    <w:rsid w:val="0028308C"/>
    <w:rsid w:val="00284114"/>
    <w:rsid w:val="0028678D"/>
    <w:rsid w:val="0028716B"/>
    <w:rsid w:val="00287C0E"/>
    <w:rsid w:val="0029039E"/>
    <w:rsid w:val="00290634"/>
    <w:rsid w:val="002913BD"/>
    <w:rsid w:val="002929CD"/>
    <w:rsid w:val="002956C2"/>
    <w:rsid w:val="002965BE"/>
    <w:rsid w:val="00297F0C"/>
    <w:rsid w:val="002A0009"/>
    <w:rsid w:val="002A3D17"/>
    <w:rsid w:val="002A416F"/>
    <w:rsid w:val="002A4E40"/>
    <w:rsid w:val="002A74C0"/>
    <w:rsid w:val="002B06D9"/>
    <w:rsid w:val="002B27CB"/>
    <w:rsid w:val="002B478B"/>
    <w:rsid w:val="002B50E9"/>
    <w:rsid w:val="002B7B7A"/>
    <w:rsid w:val="002C0078"/>
    <w:rsid w:val="002C120B"/>
    <w:rsid w:val="002C1CF6"/>
    <w:rsid w:val="002C2460"/>
    <w:rsid w:val="002C3F85"/>
    <w:rsid w:val="002C656A"/>
    <w:rsid w:val="002C7668"/>
    <w:rsid w:val="002D1B0D"/>
    <w:rsid w:val="002D4BB4"/>
    <w:rsid w:val="002D5F30"/>
    <w:rsid w:val="002D601A"/>
    <w:rsid w:val="002E014B"/>
    <w:rsid w:val="002E0793"/>
    <w:rsid w:val="002E0F5B"/>
    <w:rsid w:val="002E136A"/>
    <w:rsid w:val="002E4B25"/>
    <w:rsid w:val="002E4F1F"/>
    <w:rsid w:val="002E613E"/>
    <w:rsid w:val="002E6519"/>
    <w:rsid w:val="002E7A53"/>
    <w:rsid w:val="002F1025"/>
    <w:rsid w:val="002F200C"/>
    <w:rsid w:val="002F2ED4"/>
    <w:rsid w:val="002F33A2"/>
    <w:rsid w:val="002F54E1"/>
    <w:rsid w:val="002F5ADB"/>
    <w:rsid w:val="002F616B"/>
    <w:rsid w:val="00300267"/>
    <w:rsid w:val="0030322F"/>
    <w:rsid w:val="0030674E"/>
    <w:rsid w:val="00306857"/>
    <w:rsid w:val="00307E8F"/>
    <w:rsid w:val="00311E70"/>
    <w:rsid w:val="00314669"/>
    <w:rsid w:val="00316252"/>
    <w:rsid w:val="003203EB"/>
    <w:rsid w:val="00324BE8"/>
    <w:rsid w:val="00330196"/>
    <w:rsid w:val="00330CBB"/>
    <w:rsid w:val="00332ABF"/>
    <w:rsid w:val="00335859"/>
    <w:rsid w:val="00340A48"/>
    <w:rsid w:val="00341EA6"/>
    <w:rsid w:val="0034216F"/>
    <w:rsid w:val="003424A7"/>
    <w:rsid w:val="00342E3A"/>
    <w:rsid w:val="00342F07"/>
    <w:rsid w:val="003431A1"/>
    <w:rsid w:val="00346E3F"/>
    <w:rsid w:val="00351C94"/>
    <w:rsid w:val="00354C52"/>
    <w:rsid w:val="00354CF0"/>
    <w:rsid w:val="00355D9A"/>
    <w:rsid w:val="00361DEC"/>
    <w:rsid w:val="003631FB"/>
    <w:rsid w:val="003635F6"/>
    <w:rsid w:val="00363F00"/>
    <w:rsid w:val="003664A3"/>
    <w:rsid w:val="00367675"/>
    <w:rsid w:val="00370E53"/>
    <w:rsid w:val="00373882"/>
    <w:rsid w:val="00373EC3"/>
    <w:rsid w:val="00374529"/>
    <w:rsid w:val="003749BB"/>
    <w:rsid w:val="00375691"/>
    <w:rsid w:val="00380B12"/>
    <w:rsid w:val="003826D7"/>
    <w:rsid w:val="00382D68"/>
    <w:rsid w:val="00391453"/>
    <w:rsid w:val="00392328"/>
    <w:rsid w:val="00392657"/>
    <w:rsid w:val="0039423C"/>
    <w:rsid w:val="003A37F5"/>
    <w:rsid w:val="003A4859"/>
    <w:rsid w:val="003B0B40"/>
    <w:rsid w:val="003B1409"/>
    <w:rsid w:val="003B1C46"/>
    <w:rsid w:val="003B33B8"/>
    <w:rsid w:val="003B3EE3"/>
    <w:rsid w:val="003B5DFB"/>
    <w:rsid w:val="003C018C"/>
    <w:rsid w:val="003C0392"/>
    <w:rsid w:val="003C1531"/>
    <w:rsid w:val="003C3E3B"/>
    <w:rsid w:val="003C4DCB"/>
    <w:rsid w:val="003C5133"/>
    <w:rsid w:val="003C5F09"/>
    <w:rsid w:val="003C7146"/>
    <w:rsid w:val="003D165C"/>
    <w:rsid w:val="003D2604"/>
    <w:rsid w:val="003D2AB3"/>
    <w:rsid w:val="003D2DDA"/>
    <w:rsid w:val="003D5CB9"/>
    <w:rsid w:val="003D6E5E"/>
    <w:rsid w:val="003D6F74"/>
    <w:rsid w:val="003E0C0C"/>
    <w:rsid w:val="003E107F"/>
    <w:rsid w:val="003E2F99"/>
    <w:rsid w:val="003E3EDC"/>
    <w:rsid w:val="003E4B50"/>
    <w:rsid w:val="003E6392"/>
    <w:rsid w:val="003F04BB"/>
    <w:rsid w:val="003F0DD4"/>
    <w:rsid w:val="003F1F9C"/>
    <w:rsid w:val="003F42DC"/>
    <w:rsid w:val="003F4861"/>
    <w:rsid w:val="003F604A"/>
    <w:rsid w:val="00401481"/>
    <w:rsid w:val="00401911"/>
    <w:rsid w:val="00401A72"/>
    <w:rsid w:val="004026EF"/>
    <w:rsid w:val="00404F0F"/>
    <w:rsid w:val="00405966"/>
    <w:rsid w:val="00406720"/>
    <w:rsid w:val="0041022A"/>
    <w:rsid w:val="00412CBE"/>
    <w:rsid w:val="004144A7"/>
    <w:rsid w:val="0041655F"/>
    <w:rsid w:val="0041785E"/>
    <w:rsid w:val="00423996"/>
    <w:rsid w:val="00426E2B"/>
    <w:rsid w:val="0042787C"/>
    <w:rsid w:val="00437A89"/>
    <w:rsid w:val="004401A5"/>
    <w:rsid w:val="004405D9"/>
    <w:rsid w:val="0044152D"/>
    <w:rsid w:val="00441968"/>
    <w:rsid w:val="004427EA"/>
    <w:rsid w:val="00443392"/>
    <w:rsid w:val="00446E69"/>
    <w:rsid w:val="00453450"/>
    <w:rsid w:val="00456BAE"/>
    <w:rsid w:val="004574D4"/>
    <w:rsid w:val="004623A8"/>
    <w:rsid w:val="004625B9"/>
    <w:rsid w:val="00462D72"/>
    <w:rsid w:val="00471860"/>
    <w:rsid w:val="00472A0B"/>
    <w:rsid w:val="00472E42"/>
    <w:rsid w:val="00474D9E"/>
    <w:rsid w:val="00477CB0"/>
    <w:rsid w:val="00480B27"/>
    <w:rsid w:val="00482432"/>
    <w:rsid w:val="0048555A"/>
    <w:rsid w:val="004909BA"/>
    <w:rsid w:val="0049386B"/>
    <w:rsid w:val="00493AAB"/>
    <w:rsid w:val="00494672"/>
    <w:rsid w:val="00497EE5"/>
    <w:rsid w:val="004A0353"/>
    <w:rsid w:val="004A5734"/>
    <w:rsid w:val="004A5C13"/>
    <w:rsid w:val="004A5F3F"/>
    <w:rsid w:val="004B09BA"/>
    <w:rsid w:val="004B2029"/>
    <w:rsid w:val="004B2495"/>
    <w:rsid w:val="004B2F6E"/>
    <w:rsid w:val="004B2F86"/>
    <w:rsid w:val="004B38AD"/>
    <w:rsid w:val="004C0B12"/>
    <w:rsid w:val="004C1E25"/>
    <w:rsid w:val="004C2C6D"/>
    <w:rsid w:val="004C3524"/>
    <w:rsid w:val="004C739E"/>
    <w:rsid w:val="004D0667"/>
    <w:rsid w:val="004D0F58"/>
    <w:rsid w:val="004D3E8B"/>
    <w:rsid w:val="004D606B"/>
    <w:rsid w:val="004D7612"/>
    <w:rsid w:val="004E15D4"/>
    <w:rsid w:val="004F10F2"/>
    <w:rsid w:val="004F12DF"/>
    <w:rsid w:val="004F16EE"/>
    <w:rsid w:val="004F1F7A"/>
    <w:rsid w:val="004F1FF1"/>
    <w:rsid w:val="004F2DB9"/>
    <w:rsid w:val="004F38A5"/>
    <w:rsid w:val="004F43BB"/>
    <w:rsid w:val="004F4B19"/>
    <w:rsid w:val="004F559E"/>
    <w:rsid w:val="004F5C4B"/>
    <w:rsid w:val="004F60CB"/>
    <w:rsid w:val="004F68E9"/>
    <w:rsid w:val="0050232D"/>
    <w:rsid w:val="00502E9B"/>
    <w:rsid w:val="005031E9"/>
    <w:rsid w:val="00505232"/>
    <w:rsid w:val="00506759"/>
    <w:rsid w:val="00506EB4"/>
    <w:rsid w:val="0050701A"/>
    <w:rsid w:val="00510844"/>
    <w:rsid w:val="00510ACE"/>
    <w:rsid w:val="00512BED"/>
    <w:rsid w:val="005130F1"/>
    <w:rsid w:val="0051372E"/>
    <w:rsid w:val="00513D72"/>
    <w:rsid w:val="00514E11"/>
    <w:rsid w:val="00517115"/>
    <w:rsid w:val="005178D8"/>
    <w:rsid w:val="00520760"/>
    <w:rsid w:val="00520869"/>
    <w:rsid w:val="00521A80"/>
    <w:rsid w:val="0052594D"/>
    <w:rsid w:val="00527134"/>
    <w:rsid w:val="005313D8"/>
    <w:rsid w:val="00533594"/>
    <w:rsid w:val="00542712"/>
    <w:rsid w:val="005441DF"/>
    <w:rsid w:val="0054505B"/>
    <w:rsid w:val="00547DA2"/>
    <w:rsid w:val="005527BB"/>
    <w:rsid w:val="00552820"/>
    <w:rsid w:val="00553A85"/>
    <w:rsid w:val="00554403"/>
    <w:rsid w:val="0055585E"/>
    <w:rsid w:val="00555C72"/>
    <w:rsid w:val="00556941"/>
    <w:rsid w:val="00556A85"/>
    <w:rsid w:val="00557A59"/>
    <w:rsid w:val="00563B3E"/>
    <w:rsid w:val="0056690D"/>
    <w:rsid w:val="0057268B"/>
    <w:rsid w:val="00574198"/>
    <w:rsid w:val="00574832"/>
    <w:rsid w:val="00577562"/>
    <w:rsid w:val="005828C6"/>
    <w:rsid w:val="00583113"/>
    <w:rsid w:val="005833EE"/>
    <w:rsid w:val="00583E9B"/>
    <w:rsid w:val="00591F2B"/>
    <w:rsid w:val="00593C6D"/>
    <w:rsid w:val="00594288"/>
    <w:rsid w:val="005A1161"/>
    <w:rsid w:val="005A5B32"/>
    <w:rsid w:val="005A5D7E"/>
    <w:rsid w:val="005A681A"/>
    <w:rsid w:val="005A6F9F"/>
    <w:rsid w:val="005B07AE"/>
    <w:rsid w:val="005B0B84"/>
    <w:rsid w:val="005B5B46"/>
    <w:rsid w:val="005B6476"/>
    <w:rsid w:val="005B763A"/>
    <w:rsid w:val="005C2A2C"/>
    <w:rsid w:val="005C653F"/>
    <w:rsid w:val="005D156D"/>
    <w:rsid w:val="005D1F9C"/>
    <w:rsid w:val="005D223C"/>
    <w:rsid w:val="005D2322"/>
    <w:rsid w:val="005D35E2"/>
    <w:rsid w:val="005D35E5"/>
    <w:rsid w:val="005E1334"/>
    <w:rsid w:val="005E172F"/>
    <w:rsid w:val="005E1BA1"/>
    <w:rsid w:val="005E3DAA"/>
    <w:rsid w:val="005E5288"/>
    <w:rsid w:val="005E5B26"/>
    <w:rsid w:val="005E7D97"/>
    <w:rsid w:val="005F151C"/>
    <w:rsid w:val="005F1DA9"/>
    <w:rsid w:val="005F3610"/>
    <w:rsid w:val="005F6DF7"/>
    <w:rsid w:val="00600434"/>
    <w:rsid w:val="006036CA"/>
    <w:rsid w:val="00606C91"/>
    <w:rsid w:val="00607586"/>
    <w:rsid w:val="00611348"/>
    <w:rsid w:val="0061226F"/>
    <w:rsid w:val="006123B1"/>
    <w:rsid w:val="00612B55"/>
    <w:rsid w:val="00613914"/>
    <w:rsid w:val="00616525"/>
    <w:rsid w:val="006165FC"/>
    <w:rsid w:val="0061773B"/>
    <w:rsid w:val="006228F8"/>
    <w:rsid w:val="006245B2"/>
    <w:rsid w:val="00626CF2"/>
    <w:rsid w:val="006312E8"/>
    <w:rsid w:val="00632933"/>
    <w:rsid w:val="00634144"/>
    <w:rsid w:val="00636453"/>
    <w:rsid w:val="006367C2"/>
    <w:rsid w:val="00637B49"/>
    <w:rsid w:val="0064235E"/>
    <w:rsid w:val="00646FDA"/>
    <w:rsid w:val="00647455"/>
    <w:rsid w:val="00650F48"/>
    <w:rsid w:val="00652E5E"/>
    <w:rsid w:val="00656533"/>
    <w:rsid w:val="00657B1B"/>
    <w:rsid w:val="00657DDA"/>
    <w:rsid w:val="00662E4D"/>
    <w:rsid w:val="006643C5"/>
    <w:rsid w:val="00665E52"/>
    <w:rsid w:val="006702E5"/>
    <w:rsid w:val="00670890"/>
    <w:rsid w:val="00673C9B"/>
    <w:rsid w:val="00674018"/>
    <w:rsid w:val="00675971"/>
    <w:rsid w:val="0067674A"/>
    <w:rsid w:val="00676D2E"/>
    <w:rsid w:val="006816D2"/>
    <w:rsid w:val="006902B2"/>
    <w:rsid w:val="00694166"/>
    <w:rsid w:val="00695DB9"/>
    <w:rsid w:val="00697A53"/>
    <w:rsid w:val="006A0523"/>
    <w:rsid w:val="006A15F8"/>
    <w:rsid w:val="006A31B8"/>
    <w:rsid w:val="006A5977"/>
    <w:rsid w:val="006A69FB"/>
    <w:rsid w:val="006B2281"/>
    <w:rsid w:val="006B6069"/>
    <w:rsid w:val="006B7A0A"/>
    <w:rsid w:val="006B7F53"/>
    <w:rsid w:val="006C0DC1"/>
    <w:rsid w:val="006C1CDF"/>
    <w:rsid w:val="006C21A7"/>
    <w:rsid w:val="006C6609"/>
    <w:rsid w:val="006C7718"/>
    <w:rsid w:val="006D04F9"/>
    <w:rsid w:val="006D0604"/>
    <w:rsid w:val="006D0F51"/>
    <w:rsid w:val="006D7BBE"/>
    <w:rsid w:val="006E4258"/>
    <w:rsid w:val="006E45CC"/>
    <w:rsid w:val="006E5B67"/>
    <w:rsid w:val="006F127D"/>
    <w:rsid w:val="006F236D"/>
    <w:rsid w:val="006F6333"/>
    <w:rsid w:val="00700906"/>
    <w:rsid w:val="00701C25"/>
    <w:rsid w:val="00704365"/>
    <w:rsid w:val="00704FFA"/>
    <w:rsid w:val="00705B0D"/>
    <w:rsid w:val="00705F40"/>
    <w:rsid w:val="00706299"/>
    <w:rsid w:val="00706315"/>
    <w:rsid w:val="0070797C"/>
    <w:rsid w:val="007120EE"/>
    <w:rsid w:val="00712E8C"/>
    <w:rsid w:val="00716A62"/>
    <w:rsid w:val="007200D5"/>
    <w:rsid w:val="007218BA"/>
    <w:rsid w:val="00721D09"/>
    <w:rsid w:val="00721D10"/>
    <w:rsid w:val="00724105"/>
    <w:rsid w:val="007301E0"/>
    <w:rsid w:val="00731763"/>
    <w:rsid w:val="00732EA1"/>
    <w:rsid w:val="0073541C"/>
    <w:rsid w:val="00736100"/>
    <w:rsid w:val="007368F2"/>
    <w:rsid w:val="00737D3D"/>
    <w:rsid w:val="007431DF"/>
    <w:rsid w:val="0074471F"/>
    <w:rsid w:val="0074481C"/>
    <w:rsid w:val="00744E52"/>
    <w:rsid w:val="007478D8"/>
    <w:rsid w:val="00750174"/>
    <w:rsid w:val="0075293F"/>
    <w:rsid w:val="007534FD"/>
    <w:rsid w:val="007561DA"/>
    <w:rsid w:val="0075676E"/>
    <w:rsid w:val="0076016B"/>
    <w:rsid w:val="007613CA"/>
    <w:rsid w:val="00762958"/>
    <w:rsid w:val="00762DB0"/>
    <w:rsid w:val="0076468A"/>
    <w:rsid w:val="00765CB3"/>
    <w:rsid w:val="00766B68"/>
    <w:rsid w:val="00767597"/>
    <w:rsid w:val="00771D96"/>
    <w:rsid w:val="0077755C"/>
    <w:rsid w:val="007775B6"/>
    <w:rsid w:val="00777742"/>
    <w:rsid w:val="00780EBC"/>
    <w:rsid w:val="00781849"/>
    <w:rsid w:val="00782443"/>
    <w:rsid w:val="00782937"/>
    <w:rsid w:val="0078319B"/>
    <w:rsid w:val="00785A7B"/>
    <w:rsid w:val="00790FDD"/>
    <w:rsid w:val="00792A76"/>
    <w:rsid w:val="0079310D"/>
    <w:rsid w:val="0079544E"/>
    <w:rsid w:val="00795BF4"/>
    <w:rsid w:val="00796B69"/>
    <w:rsid w:val="007A06E0"/>
    <w:rsid w:val="007A085B"/>
    <w:rsid w:val="007A49F4"/>
    <w:rsid w:val="007A58AE"/>
    <w:rsid w:val="007A7817"/>
    <w:rsid w:val="007A7D2A"/>
    <w:rsid w:val="007B7A93"/>
    <w:rsid w:val="007C74E8"/>
    <w:rsid w:val="007D0A46"/>
    <w:rsid w:val="007D0B13"/>
    <w:rsid w:val="007D1109"/>
    <w:rsid w:val="007D3159"/>
    <w:rsid w:val="007D4B67"/>
    <w:rsid w:val="007D4F2E"/>
    <w:rsid w:val="007D6306"/>
    <w:rsid w:val="007D73E0"/>
    <w:rsid w:val="007E5140"/>
    <w:rsid w:val="007E5C3F"/>
    <w:rsid w:val="007F0ACB"/>
    <w:rsid w:val="007F1DB1"/>
    <w:rsid w:val="007F34A7"/>
    <w:rsid w:val="007F70CE"/>
    <w:rsid w:val="00800D6D"/>
    <w:rsid w:val="008038D1"/>
    <w:rsid w:val="008039E1"/>
    <w:rsid w:val="008050F6"/>
    <w:rsid w:val="008123B3"/>
    <w:rsid w:val="00814098"/>
    <w:rsid w:val="008204F5"/>
    <w:rsid w:val="0082183D"/>
    <w:rsid w:val="00821AD2"/>
    <w:rsid w:val="00823F30"/>
    <w:rsid w:val="0082432C"/>
    <w:rsid w:val="00825D3A"/>
    <w:rsid w:val="008267DE"/>
    <w:rsid w:val="00827A7B"/>
    <w:rsid w:val="008305D5"/>
    <w:rsid w:val="00836B33"/>
    <w:rsid w:val="00836E59"/>
    <w:rsid w:val="00837668"/>
    <w:rsid w:val="00842E78"/>
    <w:rsid w:val="008445A6"/>
    <w:rsid w:val="00844692"/>
    <w:rsid w:val="008448B1"/>
    <w:rsid w:val="00844E74"/>
    <w:rsid w:val="00845814"/>
    <w:rsid w:val="0084652E"/>
    <w:rsid w:val="00851F1C"/>
    <w:rsid w:val="00854238"/>
    <w:rsid w:val="00857D6C"/>
    <w:rsid w:val="00860D58"/>
    <w:rsid w:val="00861100"/>
    <w:rsid w:val="00861F98"/>
    <w:rsid w:val="008620D6"/>
    <w:rsid w:val="00862B34"/>
    <w:rsid w:val="00863129"/>
    <w:rsid w:val="00863299"/>
    <w:rsid w:val="00864B2B"/>
    <w:rsid w:val="00865620"/>
    <w:rsid w:val="00871DCA"/>
    <w:rsid w:val="008724A4"/>
    <w:rsid w:val="008725B7"/>
    <w:rsid w:val="00880604"/>
    <w:rsid w:val="0088072D"/>
    <w:rsid w:val="008807E3"/>
    <w:rsid w:val="00881053"/>
    <w:rsid w:val="00884600"/>
    <w:rsid w:val="0088542D"/>
    <w:rsid w:val="00885788"/>
    <w:rsid w:val="00886B75"/>
    <w:rsid w:val="00891681"/>
    <w:rsid w:val="0089193D"/>
    <w:rsid w:val="00894510"/>
    <w:rsid w:val="00894B55"/>
    <w:rsid w:val="008956F2"/>
    <w:rsid w:val="00897428"/>
    <w:rsid w:val="008A0F3B"/>
    <w:rsid w:val="008A0FBF"/>
    <w:rsid w:val="008A148D"/>
    <w:rsid w:val="008A19F9"/>
    <w:rsid w:val="008A3179"/>
    <w:rsid w:val="008A4A65"/>
    <w:rsid w:val="008B284C"/>
    <w:rsid w:val="008B307A"/>
    <w:rsid w:val="008B4F85"/>
    <w:rsid w:val="008B569D"/>
    <w:rsid w:val="008B7802"/>
    <w:rsid w:val="008C2B4B"/>
    <w:rsid w:val="008C4504"/>
    <w:rsid w:val="008C5772"/>
    <w:rsid w:val="008C69A0"/>
    <w:rsid w:val="008C6FE3"/>
    <w:rsid w:val="008C71D7"/>
    <w:rsid w:val="008C77B2"/>
    <w:rsid w:val="008D03B1"/>
    <w:rsid w:val="008D1746"/>
    <w:rsid w:val="008D199D"/>
    <w:rsid w:val="008D3EA0"/>
    <w:rsid w:val="008D6974"/>
    <w:rsid w:val="008D6AD0"/>
    <w:rsid w:val="008E2D6B"/>
    <w:rsid w:val="008E383B"/>
    <w:rsid w:val="008E3AD6"/>
    <w:rsid w:val="008E3E56"/>
    <w:rsid w:val="008E5E63"/>
    <w:rsid w:val="008E64EB"/>
    <w:rsid w:val="008E7663"/>
    <w:rsid w:val="008E77FE"/>
    <w:rsid w:val="008F18E2"/>
    <w:rsid w:val="008F20B6"/>
    <w:rsid w:val="008F44CD"/>
    <w:rsid w:val="008F51EF"/>
    <w:rsid w:val="008F6AA0"/>
    <w:rsid w:val="00900798"/>
    <w:rsid w:val="009007D5"/>
    <w:rsid w:val="00900CDE"/>
    <w:rsid w:val="0090202B"/>
    <w:rsid w:val="009062BA"/>
    <w:rsid w:val="009077C5"/>
    <w:rsid w:val="00910FA0"/>
    <w:rsid w:val="00913130"/>
    <w:rsid w:val="00914C16"/>
    <w:rsid w:val="009162E4"/>
    <w:rsid w:val="00917052"/>
    <w:rsid w:val="00920A95"/>
    <w:rsid w:val="00922234"/>
    <w:rsid w:val="00933DBB"/>
    <w:rsid w:val="0093417F"/>
    <w:rsid w:val="00934E55"/>
    <w:rsid w:val="0093574B"/>
    <w:rsid w:val="00935B2A"/>
    <w:rsid w:val="0094448A"/>
    <w:rsid w:val="009470EA"/>
    <w:rsid w:val="0095024C"/>
    <w:rsid w:val="0095036B"/>
    <w:rsid w:val="0095042D"/>
    <w:rsid w:val="00952204"/>
    <w:rsid w:val="009541CD"/>
    <w:rsid w:val="00956B8F"/>
    <w:rsid w:val="00957074"/>
    <w:rsid w:val="00960A25"/>
    <w:rsid w:val="009632F2"/>
    <w:rsid w:val="00964A3D"/>
    <w:rsid w:val="00964C2C"/>
    <w:rsid w:val="0096538A"/>
    <w:rsid w:val="00971153"/>
    <w:rsid w:val="00973CBB"/>
    <w:rsid w:val="009752F5"/>
    <w:rsid w:val="009757B2"/>
    <w:rsid w:val="009769E5"/>
    <w:rsid w:val="00981B8A"/>
    <w:rsid w:val="009843DF"/>
    <w:rsid w:val="0098593D"/>
    <w:rsid w:val="009878E4"/>
    <w:rsid w:val="00990666"/>
    <w:rsid w:val="00991060"/>
    <w:rsid w:val="00992D1A"/>
    <w:rsid w:val="00994C2E"/>
    <w:rsid w:val="009A1622"/>
    <w:rsid w:val="009A21F7"/>
    <w:rsid w:val="009A27D5"/>
    <w:rsid w:val="009A38DE"/>
    <w:rsid w:val="009A4B58"/>
    <w:rsid w:val="009A516E"/>
    <w:rsid w:val="009A5766"/>
    <w:rsid w:val="009B28FD"/>
    <w:rsid w:val="009B3605"/>
    <w:rsid w:val="009B47DA"/>
    <w:rsid w:val="009C0656"/>
    <w:rsid w:val="009C0930"/>
    <w:rsid w:val="009C286A"/>
    <w:rsid w:val="009C2A78"/>
    <w:rsid w:val="009C310C"/>
    <w:rsid w:val="009C44B4"/>
    <w:rsid w:val="009C474C"/>
    <w:rsid w:val="009C637F"/>
    <w:rsid w:val="009D0580"/>
    <w:rsid w:val="009D378D"/>
    <w:rsid w:val="009D61CC"/>
    <w:rsid w:val="009D67BC"/>
    <w:rsid w:val="009D6F5F"/>
    <w:rsid w:val="009D7763"/>
    <w:rsid w:val="009E5440"/>
    <w:rsid w:val="009E6EDD"/>
    <w:rsid w:val="009F0FF1"/>
    <w:rsid w:val="009F1474"/>
    <w:rsid w:val="009F5E6D"/>
    <w:rsid w:val="009F612C"/>
    <w:rsid w:val="009F624B"/>
    <w:rsid w:val="00A00738"/>
    <w:rsid w:val="00A01EAD"/>
    <w:rsid w:val="00A02812"/>
    <w:rsid w:val="00A030AF"/>
    <w:rsid w:val="00A043A3"/>
    <w:rsid w:val="00A063EF"/>
    <w:rsid w:val="00A07C7F"/>
    <w:rsid w:val="00A10065"/>
    <w:rsid w:val="00A10FBF"/>
    <w:rsid w:val="00A11332"/>
    <w:rsid w:val="00A11434"/>
    <w:rsid w:val="00A115A4"/>
    <w:rsid w:val="00A11CCA"/>
    <w:rsid w:val="00A13483"/>
    <w:rsid w:val="00A1465E"/>
    <w:rsid w:val="00A14A84"/>
    <w:rsid w:val="00A1651D"/>
    <w:rsid w:val="00A20989"/>
    <w:rsid w:val="00A236FC"/>
    <w:rsid w:val="00A2394E"/>
    <w:rsid w:val="00A245BB"/>
    <w:rsid w:val="00A24B4C"/>
    <w:rsid w:val="00A2600F"/>
    <w:rsid w:val="00A3028C"/>
    <w:rsid w:val="00A30909"/>
    <w:rsid w:val="00A31125"/>
    <w:rsid w:val="00A32B2B"/>
    <w:rsid w:val="00A33B63"/>
    <w:rsid w:val="00A34D9F"/>
    <w:rsid w:val="00A37134"/>
    <w:rsid w:val="00A40321"/>
    <w:rsid w:val="00A42002"/>
    <w:rsid w:val="00A4459D"/>
    <w:rsid w:val="00A44D17"/>
    <w:rsid w:val="00A45EB4"/>
    <w:rsid w:val="00A47C90"/>
    <w:rsid w:val="00A51A6C"/>
    <w:rsid w:val="00A60BF0"/>
    <w:rsid w:val="00A60C03"/>
    <w:rsid w:val="00A63314"/>
    <w:rsid w:val="00A63F12"/>
    <w:rsid w:val="00A64537"/>
    <w:rsid w:val="00A6467B"/>
    <w:rsid w:val="00A71B18"/>
    <w:rsid w:val="00A720F0"/>
    <w:rsid w:val="00A72469"/>
    <w:rsid w:val="00A7253D"/>
    <w:rsid w:val="00A738FD"/>
    <w:rsid w:val="00A74985"/>
    <w:rsid w:val="00A8013E"/>
    <w:rsid w:val="00A83348"/>
    <w:rsid w:val="00A85B9C"/>
    <w:rsid w:val="00A86CC4"/>
    <w:rsid w:val="00A9046F"/>
    <w:rsid w:val="00A92934"/>
    <w:rsid w:val="00A96F2E"/>
    <w:rsid w:val="00AA26EB"/>
    <w:rsid w:val="00AA69F3"/>
    <w:rsid w:val="00AB1F8A"/>
    <w:rsid w:val="00AB2B39"/>
    <w:rsid w:val="00AB4CCB"/>
    <w:rsid w:val="00AB51A2"/>
    <w:rsid w:val="00AB53E2"/>
    <w:rsid w:val="00AB62DA"/>
    <w:rsid w:val="00AB6E89"/>
    <w:rsid w:val="00AB7639"/>
    <w:rsid w:val="00AB77CA"/>
    <w:rsid w:val="00AC07E9"/>
    <w:rsid w:val="00AC18F5"/>
    <w:rsid w:val="00AC20B8"/>
    <w:rsid w:val="00AC5AA5"/>
    <w:rsid w:val="00AC7CAE"/>
    <w:rsid w:val="00AD2E79"/>
    <w:rsid w:val="00AD43A7"/>
    <w:rsid w:val="00AD73A2"/>
    <w:rsid w:val="00AE25C5"/>
    <w:rsid w:val="00AE3989"/>
    <w:rsid w:val="00AE54E9"/>
    <w:rsid w:val="00AE56CB"/>
    <w:rsid w:val="00AE6892"/>
    <w:rsid w:val="00AE7846"/>
    <w:rsid w:val="00AF02C0"/>
    <w:rsid w:val="00AF28C5"/>
    <w:rsid w:val="00AF5968"/>
    <w:rsid w:val="00AF5E67"/>
    <w:rsid w:val="00AF5FF7"/>
    <w:rsid w:val="00AF624D"/>
    <w:rsid w:val="00AF6E13"/>
    <w:rsid w:val="00AF7100"/>
    <w:rsid w:val="00AF75F8"/>
    <w:rsid w:val="00B0110E"/>
    <w:rsid w:val="00B0146F"/>
    <w:rsid w:val="00B01AF4"/>
    <w:rsid w:val="00B07059"/>
    <w:rsid w:val="00B07DFE"/>
    <w:rsid w:val="00B113AD"/>
    <w:rsid w:val="00B113B0"/>
    <w:rsid w:val="00B132F7"/>
    <w:rsid w:val="00B1547F"/>
    <w:rsid w:val="00B15E49"/>
    <w:rsid w:val="00B25E32"/>
    <w:rsid w:val="00B27ADE"/>
    <w:rsid w:val="00B31DE0"/>
    <w:rsid w:val="00B325E1"/>
    <w:rsid w:val="00B329D1"/>
    <w:rsid w:val="00B40CDF"/>
    <w:rsid w:val="00B41DC0"/>
    <w:rsid w:val="00B43244"/>
    <w:rsid w:val="00B43CE4"/>
    <w:rsid w:val="00B43E1C"/>
    <w:rsid w:val="00B44BD3"/>
    <w:rsid w:val="00B50314"/>
    <w:rsid w:val="00B516E9"/>
    <w:rsid w:val="00B52146"/>
    <w:rsid w:val="00B5300C"/>
    <w:rsid w:val="00B530A9"/>
    <w:rsid w:val="00B55DA3"/>
    <w:rsid w:val="00B56BFB"/>
    <w:rsid w:val="00B56C79"/>
    <w:rsid w:val="00B652CF"/>
    <w:rsid w:val="00B70B1C"/>
    <w:rsid w:val="00B73061"/>
    <w:rsid w:val="00B733BF"/>
    <w:rsid w:val="00B77163"/>
    <w:rsid w:val="00B812DE"/>
    <w:rsid w:val="00B835C1"/>
    <w:rsid w:val="00B83A9C"/>
    <w:rsid w:val="00B862E1"/>
    <w:rsid w:val="00B93553"/>
    <w:rsid w:val="00B93C7F"/>
    <w:rsid w:val="00B968A2"/>
    <w:rsid w:val="00B979C8"/>
    <w:rsid w:val="00BA0A76"/>
    <w:rsid w:val="00BA1FC9"/>
    <w:rsid w:val="00BA3452"/>
    <w:rsid w:val="00BA3ACD"/>
    <w:rsid w:val="00BA443A"/>
    <w:rsid w:val="00BA588A"/>
    <w:rsid w:val="00BA6ED4"/>
    <w:rsid w:val="00BA7F1B"/>
    <w:rsid w:val="00BB0C35"/>
    <w:rsid w:val="00BB1429"/>
    <w:rsid w:val="00BB39A8"/>
    <w:rsid w:val="00BC0B58"/>
    <w:rsid w:val="00BC6A53"/>
    <w:rsid w:val="00BC6A6E"/>
    <w:rsid w:val="00BC7BBD"/>
    <w:rsid w:val="00BD04DE"/>
    <w:rsid w:val="00BD21AC"/>
    <w:rsid w:val="00BD38FC"/>
    <w:rsid w:val="00BD3D0C"/>
    <w:rsid w:val="00BD465E"/>
    <w:rsid w:val="00BE0021"/>
    <w:rsid w:val="00BE02C1"/>
    <w:rsid w:val="00BE09C2"/>
    <w:rsid w:val="00BE1082"/>
    <w:rsid w:val="00BE21E0"/>
    <w:rsid w:val="00BE45E0"/>
    <w:rsid w:val="00BE4BEA"/>
    <w:rsid w:val="00BE5860"/>
    <w:rsid w:val="00BE5BB8"/>
    <w:rsid w:val="00BE7ACD"/>
    <w:rsid w:val="00BF1DB6"/>
    <w:rsid w:val="00BF558A"/>
    <w:rsid w:val="00BF76CF"/>
    <w:rsid w:val="00C01171"/>
    <w:rsid w:val="00C017DB"/>
    <w:rsid w:val="00C04A59"/>
    <w:rsid w:val="00C0507F"/>
    <w:rsid w:val="00C059FD"/>
    <w:rsid w:val="00C06BDC"/>
    <w:rsid w:val="00C1091C"/>
    <w:rsid w:val="00C11132"/>
    <w:rsid w:val="00C1244F"/>
    <w:rsid w:val="00C12B74"/>
    <w:rsid w:val="00C13906"/>
    <w:rsid w:val="00C1552E"/>
    <w:rsid w:val="00C16DD3"/>
    <w:rsid w:val="00C208CD"/>
    <w:rsid w:val="00C2115B"/>
    <w:rsid w:val="00C231B9"/>
    <w:rsid w:val="00C238AC"/>
    <w:rsid w:val="00C23ADA"/>
    <w:rsid w:val="00C245DF"/>
    <w:rsid w:val="00C25F48"/>
    <w:rsid w:val="00C3036F"/>
    <w:rsid w:val="00C33749"/>
    <w:rsid w:val="00C34523"/>
    <w:rsid w:val="00C3698B"/>
    <w:rsid w:val="00C37FE9"/>
    <w:rsid w:val="00C410FC"/>
    <w:rsid w:val="00C439C3"/>
    <w:rsid w:val="00C444C4"/>
    <w:rsid w:val="00C46B49"/>
    <w:rsid w:val="00C51CEC"/>
    <w:rsid w:val="00C52D98"/>
    <w:rsid w:val="00C54F5D"/>
    <w:rsid w:val="00C566E4"/>
    <w:rsid w:val="00C63EA8"/>
    <w:rsid w:val="00C644DF"/>
    <w:rsid w:val="00C65CB4"/>
    <w:rsid w:val="00C672E4"/>
    <w:rsid w:val="00C7435C"/>
    <w:rsid w:val="00C76460"/>
    <w:rsid w:val="00C81109"/>
    <w:rsid w:val="00C81B29"/>
    <w:rsid w:val="00C81D72"/>
    <w:rsid w:val="00C86489"/>
    <w:rsid w:val="00C90443"/>
    <w:rsid w:val="00C93991"/>
    <w:rsid w:val="00C95015"/>
    <w:rsid w:val="00C963A0"/>
    <w:rsid w:val="00CA0040"/>
    <w:rsid w:val="00CA17E3"/>
    <w:rsid w:val="00CA217C"/>
    <w:rsid w:val="00CA2C9B"/>
    <w:rsid w:val="00CB22B7"/>
    <w:rsid w:val="00CB2A7F"/>
    <w:rsid w:val="00CB45A5"/>
    <w:rsid w:val="00CC2131"/>
    <w:rsid w:val="00CC41F3"/>
    <w:rsid w:val="00CC43EC"/>
    <w:rsid w:val="00CC4818"/>
    <w:rsid w:val="00CC64C1"/>
    <w:rsid w:val="00CD21D7"/>
    <w:rsid w:val="00CD3614"/>
    <w:rsid w:val="00CD3948"/>
    <w:rsid w:val="00CD5582"/>
    <w:rsid w:val="00CD66F1"/>
    <w:rsid w:val="00CE0C8B"/>
    <w:rsid w:val="00CE1557"/>
    <w:rsid w:val="00CE2864"/>
    <w:rsid w:val="00CE3196"/>
    <w:rsid w:val="00CE3B5D"/>
    <w:rsid w:val="00CE461E"/>
    <w:rsid w:val="00CE7F15"/>
    <w:rsid w:val="00CF1961"/>
    <w:rsid w:val="00CF2014"/>
    <w:rsid w:val="00CF202B"/>
    <w:rsid w:val="00CF2D1A"/>
    <w:rsid w:val="00CF4489"/>
    <w:rsid w:val="00D01302"/>
    <w:rsid w:val="00D01E59"/>
    <w:rsid w:val="00D01FBF"/>
    <w:rsid w:val="00D02F46"/>
    <w:rsid w:val="00D05B86"/>
    <w:rsid w:val="00D168F6"/>
    <w:rsid w:val="00D17023"/>
    <w:rsid w:val="00D17467"/>
    <w:rsid w:val="00D2075E"/>
    <w:rsid w:val="00D20A1A"/>
    <w:rsid w:val="00D20B35"/>
    <w:rsid w:val="00D2230D"/>
    <w:rsid w:val="00D27386"/>
    <w:rsid w:val="00D308EB"/>
    <w:rsid w:val="00D31E29"/>
    <w:rsid w:val="00D3222A"/>
    <w:rsid w:val="00D32493"/>
    <w:rsid w:val="00D32629"/>
    <w:rsid w:val="00D34684"/>
    <w:rsid w:val="00D37572"/>
    <w:rsid w:val="00D3758D"/>
    <w:rsid w:val="00D4094F"/>
    <w:rsid w:val="00D41C75"/>
    <w:rsid w:val="00D43153"/>
    <w:rsid w:val="00D438DC"/>
    <w:rsid w:val="00D43B4D"/>
    <w:rsid w:val="00D44998"/>
    <w:rsid w:val="00D455FF"/>
    <w:rsid w:val="00D46978"/>
    <w:rsid w:val="00D505CA"/>
    <w:rsid w:val="00D52C7B"/>
    <w:rsid w:val="00D543FA"/>
    <w:rsid w:val="00D572A5"/>
    <w:rsid w:val="00D57EF2"/>
    <w:rsid w:val="00D60B14"/>
    <w:rsid w:val="00D60E0C"/>
    <w:rsid w:val="00D61570"/>
    <w:rsid w:val="00D6622C"/>
    <w:rsid w:val="00D673F7"/>
    <w:rsid w:val="00D74B63"/>
    <w:rsid w:val="00D808D0"/>
    <w:rsid w:val="00D834F6"/>
    <w:rsid w:val="00D837D4"/>
    <w:rsid w:val="00D8502F"/>
    <w:rsid w:val="00D90C7E"/>
    <w:rsid w:val="00D917A2"/>
    <w:rsid w:val="00D92B2F"/>
    <w:rsid w:val="00D93144"/>
    <w:rsid w:val="00D94FC7"/>
    <w:rsid w:val="00D961D2"/>
    <w:rsid w:val="00D9720A"/>
    <w:rsid w:val="00DA1EC2"/>
    <w:rsid w:val="00DA1F1F"/>
    <w:rsid w:val="00DA2C1D"/>
    <w:rsid w:val="00DA3E3E"/>
    <w:rsid w:val="00DA41C0"/>
    <w:rsid w:val="00DA5828"/>
    <w:rsid w:val="00DB4906"/>
    <w:rsid w:val="00DB587C"/>
    <w:rsid w:val="00DB5F21"/>
    <w:rsid w:val="00DB6903"/>
    <w:rsid w:val="00DB6FEC"/>
    <w:rsid w:val="00DB702E"/>
    <w:rsid w:val="00DC016C"/>
    <w:rsid w:val="00DC0C78"/>
    <w:rsid w:val="00DC1294"/>
    <w:rsid w:val="00DC1420"/>
    <w:rsid w:val="00DC2385"/>
    <w:rsid w:val="00DC4CBC"/>
    <w:rsid w:val="00DC6046"/>
    <w:rsid w:val="00DC69E0"/>
    <w:rsid w:val="00DD1502"/>
    <w:rsid w:val="00DD2C25"/>
    <w:rsid w:val="00DE04C4"/>
    <w:rsid w:val="00DE14EF"/>
    <w:rsid w:val="00DE1BB9"/>
    <w:rsid w:val="00DE45F1"/>
    <w:rsid w:val="00DE733C"/>
    <w:rsid w:val="00DE73CE"/>
    <w:rsid w:val="00DE78A5"/>
    <w:rsid w:val="00DF34BB"/>
    <w:rsid w:val="00DF3746"/>
    <w:rsid w:val="00DF5B59"/>
    <w:rsid w:val="00E010EC"/>
    <w:rsid w:val="00E01B47"/>
    <w:rsid w:val="00E01D3D"/>
    <w:rsid w:val="00E0358F"/>
    <w:rsid w:val="00E047D2"/>
    <w:rsid w:val="00E053D6"/>
    <w:rsid w:val="00E07CE1"/>
    <w:rsid w:val="00E114A3"/>
    <w:rsid w:val="00E1454F"/>
    <w:rsid w:val="00E14764"/>
    <w:rsid w:val="00E153CB"/>
    <w:rsid w:val="00E17778"/>
    <w:rsid w:val="00E21BDD"/>
    <w:rsid w:val="00E21ECA"/>
    <w:rsid w:val="00E27071"/>
    <w:rsid w:val="00E31773"/>
    <w:rsid w:val="00E31C3A"/>
    <w:rsid w:val="00E3536C"/>
    <w:rsid w:val="00E36B57"/>
    <w:rsid w:val="00E40EC4"/>
    <w:rsid w:val="00E41824"/>
    <w:rsid w:val="00E42D21"/>
    <w:rsid w:val="00E4648E"/>
    <w:rsid w:val="00E46798"/>
    <w:rsid w:val="00E5018C"/>
    <w:rsid w:val="00E51050"/>
    <w:rsid w:val="00E52748"/>
    <w:rsid w:val="00E551D5"/>
    <w:rsid w:val="00E55698"/>
    <w:rsid w:val="00E562CB"/>
    <w:rsid w:val="00E57A48"/>
    <w:rsid w:val="00E60AC7"/>
    <w:rsid w:val="00E62346"/>
    <w:rsid w:val="00E64962"/>
    <w:rsid w:val="00E64BF8"/>
    <w:rsid w:val="00E65A51"/>
    <w:rsid w:val="00E728C8"/>
    <w:rsid w:val="00E74D35"/>
    <w:rsid w:val="00E81584"/>
    <w:rsid w:val="00E81CA0"/>
    <w:rsid w:val="00E82BA3"/>
    <w:rsid w:val="00E838A0"/>
    <w:rsid w:val="00E83AB6"/>
    <w:rsid w:val="00E871E6"/>
    <w:rsid w:val="00E92D18"/>
    <w:rsid w:val="00E92E23"/>
    <w:rsid w:val="00E93EB0"/>
    <w:rsid w:val="00E94BBD"/>
    <w:rsid w:val="00E956B8"/>
    <w:rsid w:val="00E96D62"/>
    <w:rsid w:val="00EA2BA2"/>
    <w:rsid w:val="00EA3680"/>
    <w:rsid w:val="00EA371E"/>
    <w:rsid w:val="00EA409B"/>
    <w:rsid w:val="00EA6435"/>
    <w:rsid w:val="00EB1812"/>
    <w:rsid w:val="00EB1A3D"/>
    <w:rsid w:val="00EB2D06"/>
    <w:rsid w:val="00EB4962"/>
    <w:rsid w:val="00EC03C3"/>
    <w:rsid w:val="00EC22D6"/>
    <w:rsid w:val="00EC395C"/>
    <w:rsid w:val="00EC49E2"/>
    <w:rsid w:val="00ED4C53"/>
    <w:rsid w:val="00ED68CF"/>
    <w:rsid w:val="00EE0CB1"/>
    <w:rsid w:val="00EE1B1F"/>
    <w:rsid w:val="00EE3A5C"/>
    <w:rsid w:val="00EE5A1D"/>
    <w:rsid w:val="00EE702C"/>
    <w:rsid w:val="00EF130E"/>
    <w:rsid w:val="00EF3CC2"/>
    <w:rsid w:val="00EF4ABA"/>
    <w:rsid w:val="00EF4DEA"/>
    <w:rsid w:val="00EF724D"/>
    <w:rsid w:val="00F01C6A"/>
    <w:rsid w:val="00F03435"/>
    <w:rsid w:val="00F045BA"/>
    <w:rsid w:val="00F05344"/>
    <w:rsid w:val="00F06659"/>
    <w:rsid w:val="00F07C89"/>
    <w:rsid w:val="00F07CF2"/>
    <w:rsid w:val="00F117D0"/>
    <w:rsid w:val="00F1297F"/>
    <w:rsid w:val="00F1585D"/>
    <w:rsid w:val="00F22F72"/>
    <w:rsid w:val="00F23E6F"/>
    <w:rsid w:val="00F25CF5"/>
    <w:rsid w:val="00F27236"/>
    <w:rsid w:val="00F361AF"/>
    <w:rsid w:val="00F37025"/>
    <w:rsid w:val="00F40F36"/>
    <w:rsid w:val="00F41322"/>
    <w:rsid w:val="00F41E98"/>
    <w:rsid w:val="00F44806"/>
    <w:rsid w:val="00F44BD4"/>
    <w:rsid w:val="00F502E7"/>
    <w:rsid w:val="00F504F3"/>
    <w:rsid w:val="00F50D43"/>
    <w:rsid w:val="00F50EF1"/>
    <w:rsid w:val="00F57C7D"/>
    <w:rsid w:val="00F607EC"/>
    <w:rsid w:val="00F64638"/>
    <w:rsid w:val="00F649F3"/>
    <w:rsid w:val="00F64B9F"/>
    <w:rsid w:val="00F64D5E"/>
    <w:rsid w:val="00F66315"/>
    <w:rsid w:val="00F672E0"/>
    <w:rsid w:val="00F675B9"/>
    <w:rsid w:val="00F706BE"/>
    <w:rsid w:val="00F730B4"/>
    <w:rsid w:val="00F73404"/>
    <w:rsid w:val="00F750F6"/>
    <w:rsid w:val="00F75A15"/>
    <w:rsid w:val="00F76072"/>
    <w:rsid w:val="00F7629C"/>
    <w:rsid w:val="00F76554"/>
    <w:rsid w:val="00F76B30"/>
    <w:rsid w:val="00F80B52"/>
    <w:rsid w:val="00F8205A"/>
    <w:rsid w:val="00F83400"/>
    <w:rsid w:val="00F91E04"/>
    <w:rsid w:val="00F9255E"/>
    <w:rsid w:val="00F952FB"/>
    <w:rsid w:val="00F971A8"/>
    <w:rsid w:val="00FA4369"/>
    <w:rsid w:val="00FA537B"/>
    <w:rsid w:val="00FA65A6"/>
    <w:rsid w:val="00FA7D95"/>
    <w:rsid w:val="00FB2BD5"/>
    <w:rsid w:val="00FB4FA4"/>
    <w:rsid w:val="00FB5DC7"/>
    <w:rsid w:val="00FB7F76"/>
    <w:rsid w:val="00FC10D3"/>
    <w:rsid w:val="00FC15A6"/>
    <w:rsid w:val="00FC20A3"/>
    <w:rsid w:val="00FC2482"/>
    <w:rsid w:val="00FC2828"/>
    <w:rsid w:val="00FC3C63"/>
    <w:rsid w:val="00FC535E"/>
    <w:rsid w:val="00FC544B"/>
    <w:rsid w:val="00FC5AF7"/>
    <w:rsid w:val="00FC5E7C"/>
    <w:rsid w:val="00FC6981"/>
    <w:rsid w:val="00FC7CAC"/>
    <w:rsid w:val="00FD3A3F"/>
    <w:rsid w:val="00FD4277"/>
    <w:rsid w:val="00FD474C"/>
    <w:rsid w:val="00FD4CE6"/>
    <w:rsid w:val="00FD4F85"/>
    <w:rsid w:val="00FD561E"/>
    <w:rsid w:val="00FD5962"/>
    <w:rsid w:val="00FD6DBD"/>
    <w:rsid w:val="00FD74E3"/>
    <w:rsid w:val="00FE05FA"/>
    <w:rsid w:val="00FE19EE"/>
    <w:rsid w:val="00FE4AE9"/>
    <w:rsid w:val="00FE798F"/>
    <w:rsid w:val="00FE7FBA"/>
    <w:rsid w:val="00FF28C1"/>
    <w:rsid w:val="00FF37F3"/>
    <w:rsid w:val="00FF5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ABF"/>
    <w:pPr>
      <w:spacing w:line="240" w:lineRule="auto"/>
      <w:jc w:val="both"/>
    </w:pPr>
    <w:rPr>
      <w:rFonts w:asciiTheme="majorHAnsi" w:eastAsia="MS Mincho" w:hAnsiTheme="majorHAnsi"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eastAsiaTheme="majorEastAsia"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List Paragraph,Odstavec_muj,Odstavec cíl se seznamem,Odstavec se seznamem5,Odrážky"/>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basedOn w:val="Standardnpsmoodstavce"/>
    <w:uiPriority w:val="99"/>
    <w:unhideWhenUsed/>
    <w:rsid w:val="005D35E5"/>
    <w:rPr>
      <w:sz w:val="16"/>
      <w:szCs w:val="16"/>
    </w:rPr>
  </w:style>
  <w:style w:type="paragraph" w:styleId="Textkomente">
    <w:name w:val="annotation text"/>
    <w:aliases w:val="Text poznámky"/>
    <w:basedOn w:val="Normln"/>
    <w:link w:val="TextkomenteChar"/>
    <w:uiPriority w:val="99"/>
    <w:unhideWhenUsed/>
    <w:rsid w:val="005D35E5"/>
    <w:rPr>
      <w:sz w:val="20"/>
      <w:szCs w:val="20"/>
    </w:rPr>
  </w:style>
  <w:style w:type="character" w:customStyle="1" w:styleId="TextkomenteChar">
    <w:name w:val="Text komentáře Char"/>
    <w:aliases w:val="Text poznámky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uiPriority w:val="59"/>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49386B"/>
    <w:rPr>
      <w:rFonts w:asciiTheme="majorHAnsi" w:hAnsiTheme="majorHAnsi"/>
    </w:rPr>
  </w:style>
  <w:style w:type="paragraph" w:customStyle="1" w:styleId="Pravidla11">
    <w:name w:val="Pravidla 1.1."/>
    <w:basedOn w:val="Pravidla1"/>
    <w:link w:val="Pravidla11Char"/>
    <w:qFormat/>
    <w:rsid w:val="009A1622"/>
    <w:pPr>
      <w:numPr>
        <w:numId w:val="34"/>
      </w:numPr>
      <w:spacing w:after="240"/>
    </w:pPr>
    <w:rPr>
      <w:rFonts w:cs="Arial"/>
      <w:sz w:val="28"/>
    </w:rPr>
  </w:style>
  <w:style w:type="character" w:customStyle="1" w:styleId="Pravidla1Char">
    <w:name w:val="Pravidla 1 Char"/>
    <w:basedOn w:val="Nadpis1Char"/>
    <w:link w:val="Pravidla1"/>
    <w:rsid w:val="0049386B"/>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rsid w:val="009A1622"/>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F64B9F"/>
    <w:pPr>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96538A"/>
    <w:rPr>
      <w:rFonts w:ascii="Cambria" w:eastAsia="MS Mincho" w:hAnsi="Cambria" w:cs="Times New Roman"/>
      <w:sz w:val="24"/>
      <w:szCs w:val="24"/>
      <w:lang w:eastAsia="ja-JP"/>
    </w:rPr>
  </w:style>
  <w:style w:type="paragraph" w:styleId="Textpoznpodarou">
    <w:name w:val="footnote text"/>
    <w:aliases w:val="Schriftart: 9 pt,Schriftart: 10 pt,Schriftart: 8 pt,pozn. pod čarou,Footnote,Text poznámky pod čiarou 007,Fußnotentextf,Geneva 9,Font: Geneva 9,Boston 10,f,Text pozn. pod čarou Char2,Text pozn. pod čarou Char Char"/>
    <w:basedOn w:val="Normln"/>
    <w:link w:val="TextpoznpodarouChar"/>
    <w:uiPriority w:val="99"/>
    <w:unhideWhenUsed/>
    <w:rsid w:val="00B329D1"/>
    <w:pPr>
      <w:spacing w:after="0"/>
    </w:pPr>
    <w:rPr>
      <w:sz w:val="20"/>
      <w:szCs w:val="20"/>
    </w:rPr>
  </w:style>
  <w:style w:type="character" w:customStyle="1" w:styleId="TextpoznpodarouChar">
    <w:name w:val="Text pozn. pod čarou Char"/>
    <w:aliases w:val="Schriftart: 9 pt Char,Schriftart: 10 pt Char,Schriftart: 8 pt Char,pozn. pod čarou Char,Footnote Char,Text poznámky pod čiarou 007 Char,Fußnotentextf Char,Geneva 9 Char,Font: Geneva 9 Char,Boston 10 Char,f Char"/>
    <w:basedOn w:val="Standardnpsmoodstavce"/>
    <w:link w:val="Textpoznpodarou"/>
    <w:uiPriority w:val="99"/>
    <w:rsid w:val="00B329D1"/>
    <w:rPr>
      <w:rFonts w:ascii="Cambria" w:eastAsia="MS Mincho" w:hAnsi="Cambria" w:cs="Times New Roman"/>
      <w:sz w:val="20"/>
      <w:szCs w:val="20"/>
      <w:lang w:eastAsia="ja-JP"/>
    </w:rPr>
  </w:style>
  <w:style w:type="character" w:styleId="Znakapoznpodarou">
    <w:name w:val="footnote reference"/>
    <w:aliases w:val="PGI Fußnote Ziffer,PGI Fußnote Ziffer + Times New Roman,12 b.,Zúžené o ..."/>
    <w:uiPriority w:val="99"/>
    <w:unhideWhenUsed/>
    <w:rsid w:val="00B329D1"/>
    <w:rPr>
      <w:vertAlign w:val="superscript"/>
    </w:rPr>
  </w:style>
  <w:style w:type="paragraph" w:customStyle="1" w:styleId="OMODRAZKY">
    <w:name w:val="OM ODRAZKY"/>
    <w:basedOn w:val="Normln"/>
    <w:rsid w:val="00EE5A1D"/>
    <w:pPr>
      <w:numPr>
        <w:numId w:val="26"/>
      </w:numPr>
      <w:spacing w:before="120" w:after="0"/>
    </w:pPr>
    <w:rPr>
      <w:rFonts w:ascii="Arial" w:eastAsia="Times New Roman" w:hAnsi="Arial" w:cs="Arial"/>
      <w:sz w:val="20"/>
      <w:szCs w:val="20"/>
      <w:lang w:eastAsia="cs-CZ"/>
    </w:rPr>
  </w:style>
  <w:style w:type="paragraph" w:customStyle="1" w:styleId="Default">
    <w:name w:val="Default"/>
    <w:rsid w:val="002806D7"/>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Sledovanodkaz">
    <w:name w:val="FollowedHyperlink"/>
    <w:basedOn w:val="Standardnpsmoodstavce"/>
    <w:uiPriority w:val="99"/>
    <w:semiHidden/>
    <w:unhideWhenUsed/>
    <w:rsid w:val="00E838A0"/>
    <w:rPr>
      <w:color w:val="800080" w:themeColor="followedHyperlink"/>
      <w:u w:val="single"/>
    </w:rPr>
  </w:style>
  <w:style w:type="table" w:customStyle="1" w:styleId="Mkatabulky1">
    <w:name w:val="Mřížka tabulky1"/>
    <w:basedOn w:val="Normlntabulka"/>
    <w:next w:val="Mkatabulky"/>
    <w:uiPriority w:val="59"/>
    <w:rsid w:val="00F76072"/>
    <w:pPr>
      <w:spacing w:after="0" w:line="240" w:lineRule="auto"/>
    </w:pPr>
    <w:rPr>
      <w:rFonts w:ascii="Calibri" w:eastAsia="Batang"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F76072"/>
    <w:pPr>
      <w:spacing w:after="0" w:line="240" w:lineRule="auto"/>
    </w:pPr>
    <w:rPr>
      <w:rFonts w:ascii="Calibri" w:eastAsia="Batang"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192E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ABF"/>
    <w:pPr>
      <w:spacing w:line="240" w:lineRule="auto"/>
      <w:jc w:val="both"/>
    </w:pPr>
    <w:rPr>
      <w:rFonts w:asciiTheme="majorHAnsi" w:eastAsia="MS Mincho" w:hAnsiTheme="majorHAnsi"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eastAsiaTheme="majorEastAsia"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List Paragraph,Odstavec_muj,Odstavec cíl se seznamem,Odstavec se seznamem5,Odrážky"/>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basedOn w:val="Standardnpsmoodstavce"/>
    <w:uiPriority w:val="99"/>
    <w:unhideWhenUsed/>
    <w:rsid w:val="005D35E5"/>
    <w:rPr>
      <w:sz w:val="16"/>
      <w:szCs w:val="16"/>
    </w:rPr>
  </w:style>
  <w:style w:type="paragraph" w:styleId="Textkomente">
    <w:name w:val="annotation text"/>
    <w:aliases w:val="Text poznámky"/>
    <w:basedOn w:val="Normln"/>
    <w:link w:val="TextkomenteChar"/>
    <w:uiPriority w:val="99"/>
    <w:unhideWhenUsed/>
    <w:rsid w:val="005D35E5"/>
    <w:rPr>
      <w:sz w:val="20"/>
      <w:szCs w:val="20"/>
    </w:rPr>
  </w:style>
  <w:style w:type="character" w:customStyle="1" w:styleId="TextkomenteChar">
    <w:name w:val="Text komentáře Char"/>
    <w:aliases w:val="Text poznámky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uiPriority w:val="59"/>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49386B"/>
    <w:rPr>
      <w:rFonts w:asciiTheme="majorHAnsi" w:hAnsiTheme="majorHAnsi"/>
    </w:rPr>
  </w:style>
  <w:style w:type="paragraph" w:customStyle="1" w:styleId="Pravidla11">
    <w:name w:val="Pravidla 1.1."/>
    <w:basedOn w:val="Pravidla1"/>
    <w:link w:val="Pravidla11Char"/>
    <w:qFormat/>
    <w:rsid w:val="009A1622"/>
    <w:pPr>
      <w:numPr>
        <w:numId w:val="34"/>
      </w:numPr>
      <w:spacing w:after="240"/>
    </w:pPr>
    <w:rPr>
      <w:rFonts w:cs="Arial"/>
      <w:sz w:val="28"/>
    </w:rPr>
  </w:style>
  <w:style w:type="character" w:customStyle="1" w:styleId="Pravidla1Char">
    <w:name w:val="Pravidla 1 Char"/>
    <w:basedOn w:val="Nadpis1Char"/>
    <w:link w:val="Pravidla1"/>
    <w:rsid w:val="0049386B"/>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rsid w:val="009A1622"/>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F64B9F"/>
    <w:pPr>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96538A"/>
    <w:rPr>
      <w:rFonts w:ascii="Cambria" w:eastAsia="MS Mincho" w:hAnsi="Cambria" w:cs="Times New Roman"/>
      <w:sz w:val="24"/>
      <w:szCs w:val="24"/>
      <w:lang w:eastAsia="ja-JP"/>
    </w:rPr>
  </w:style>
  <w:style w:type="paragraph" w:styleId="Textpoznpodarou">
    <w:name w:val="footnote text"/>
    <w:aliases w:val="Schriftart: 9 pt,Schriftart: 10 pt,Schriftart: 8 pt,pozn. pod čarou,Footnote,Text poznámky pod čiarou 007,Fußnotentextf,Geneva 9,Font: Geneva 9,Boston 10,f,Text pozn. pod čarou Char2,Text pozn. pod čarou Char Char"/>
    <w:basedOn w:val="Normln"/>
    <w:link w:val="TextpoznpodarouChar"/>
    <w:uiPriority w:val="99"/>
    <w:unhideWhenUsed/>
    <w:rsid w:val="00B329D1"/>
    <w:pPr>
      <w:spacing w:after="0"/>
    </w:pPr>
    <w:rPr>
      <w:sz w:val="20"/>
      <w:szCs w:val="20"/>
    </w:rPr>
  </w:style>
  <w:style w:type="character" w:customStyle="1" w:styleId="TextpoznpodarouChar">
    <w:name w:val="Text pozn. pod čarou Char"/>
    <w:aliases w:val="Schriftart: 9 pt Char,Schriftart: 10 pt Char,Schriftart: 8 pt Char,pozn. pod čarou Char,Footnote Char,Text poznámky pod čiarou 007 Char,Fußnotentextf Char,Geneva 9 Char,Font: Geneva 9 Char,Boston 10 Char,f Char"/>
    <w:basedOn w:val="Standardnpsmoodstavce"/>
    <w:link w:val="Textpoznpodarou"/>
    <w:uiPriority w:val="99"/>
    <w:rsid w:val="00B329D1"/>
    <w:rPr>
      <w:rFonts w:ascii="Cambria" w:eastAsia="MS Mincho" w:hAnsi="Cambria" w:cs="Times New Roman"/>
      <w:sz w:val="20"/>
      <w:szCs w:val="20"/>
      <w:lang w:eastAsia="ja-JP"/>
    </w:rPr>
  </w:style>
  <w:style w:type="character" w:styleId="Znakapoznpodarou">
    <w:name w:val="footnote reference"/>
    <w:aliases w:val="PGI Fußnote Ziffer,PGI Fußnote Ziffer + Times New Roman,12 b.,Zúžené o ..."/>
    <w:uiPriority w:val="99"/>
    <w:unhideWhenUsed/>
    <w:rsid w:val="00B329D1"/>
    <w:rPr>
      <w:vertAlign w:val="superscript"/>
    </w:rPr>
  </w:style>
  <w:style w:type="paragraph" w:customStyle="1" w:styleId="OMODRAZKY">
    <w:name w:val="OM ODRAZKY"/>
    <w:basedOn w:val="Normln"/>
    <w:rsid w:val="00EE5A1D"/>
    <w:pPr>
      <w:numPr>
        <w:numId w:val="26"/>
      </w:numPr>
      <w:spacing w:before="120" w:after="0"/>
    </w:pPr>
    <w:rPr>
      <w:rFonts w:ascii="Arial" w:eastAsia="Times New Roman" w:hAnsi="Arial" w:cs="Arial"/>
      <w:sz w:val="20"/>
      <w:szCs w:val="20"/>
      <w:lang w:eastAsia="cs-CZ"/>
    </w:rPr>
  </w:style>
  <w:style w:type="paragraph" w:customStyle="1" w:styleId="Default">
    <w:name w:val="Default"/>
    <w:rsid w:val="002806D7"/>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Sledovanodkaz">
    <w:name w:val="FollowedHyperlink"/>
    <w:basedOn w:val="Standardnpsmoodstavce"/>
    <w:uiPriority w:val="99"/>
    <w:semiHidden/>
    <w:unhideWhenUsed/>
    <w:rsid w:val="00E838A0"/>
    <w:rPr>
      <w:color w:val="800080" w:themeColor="followedHyperlink"/>
      <w:u w:val="single"/>
    </w:rPr>
  </w:style>
  <w:style w:type="table" w:customStyle="1" w:styleId="Mkatabulky1">
    <w:name w:val="Mřížka tabulky1"/>
    <w:basedOn w:val="Normlntabulka"/>
    <w:next w:val="Mkatabulky"/>
    <w:uiPriority w:val="59"/>
    <w:rsid w:val="00F76072"/>
    <w:pPr>
      <w:spacing w:after="0" w:line="240" w:lineRule="auto"/>
    </w:pPr>
    <w:rPr>
      <w:rFonts w:ascii="Calibri" w:eastAsia="Batang"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F76072"/>
    <w:pPr>
      <w:spacing w:after="0" w:line="240" w:lineRule="auto"/>
    </w:pPr>
    <w:rPr>
      <w:rFonts w:ascii="Calibri" w:eastAsia="Batang"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192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246">
      <w:bodyDiv w:val="1"/>
      <w:marLeft w:val="0"/>
      <w:marRight w:val="0"/>
      <w:marTop w:val="0"/>
      <w:marBottom w:val="0"/>
      <w:divBdr>
        <w:top w:val="none" w:sz="0" w:space="0" w:color="auto"/>
        <w:left w:val="none" w:sz="0" w:space="0" w:color="auto"/>
        <w:bottom w:val="none" w:sz="0" w:space="0" w:color="auto"/>
        <w:right w:val="none" w:sz="0" w:space="0" w:color="auto"/>
      </w:divBdr>
    </w:div>
    <w:div w:id="233517695">
      <w:bodyDiv w:val="1"/>
      <w:marLeft w:val="0"/>
      <w:marRight w:val="0"/>
      <w:marTop w:val="0"/>
      <w:marBottom w:val="0"/>
      <w:divBdr>
        <w:top w:val="none" w:sz="0" w:space="0" w:color="auto"/>
        <w:left w:val="none" w:sz="0" w:space="0" w:color="auto"/>
        <w:bottom w:val="none" w:sz="0" w:space="0" w:color="auto"/>
        <w:right w:val="none" w:sz="0" w:space="0" w:color="auto"/>
      </w:divBdr>
    </w:div>
    <w:div w:id="312299946">
      <w:bodyDiv w:val="1"/>
      <w:marLeft w:val="0"/>
      <w:marRight w:val="0"/>
      <w:marTop w:val="0"/>
      <w:marBottom w:val="0"/>
      <w:divBdr>
        <w:top w:val="none" w:sz="0" w:space="0" w:color="auto"/>
        <w:left w:val="none" w:sz="0" w:space="0" w:color="auto"/>
        <w:bottom w:val="none" w:sz="0" w:space="0" w:color="auto"/>
        <w:right w:val="none" w:sz="0" w:space="0" w:color="auto"/>
      </w:divBdr>
    </w:div>
    <w:div w:id="432016051">
      <w:bodyDiv w:val="1"/>
      <w:marLeft w:val="0"/>
      <w:marRight w:val="0"/>
      <w:marTop w:val="0"/>
      <w:marBottom w:val="0"/>
      <w:divBdr>
        <w:top w:val="none" w:sz="0" w:space="0" w:color="auto"/>
        <w:left w:val="none" w:sz="0" w:space="0" w:color="auto"/>
        <w:bottom w:val="none" w:sz="0" w:space="0" w:color="auto"/>
        <w:right w:val="none" w:sz="0" w:space="0" w:color="auto"/>
      </w:divBdr>
    </w:div>
    <w:div w:id="764958255">
      <w:bodyDiv w:val="1"/>
      <w:marLeft w:val="0"/>
      <w:marRight w:val="0"/>
      <w:marTop w:val="0"/>
      <w:marBottom w:val="0"/>
      <w:divBdr>
        <w:top w:val="none" w:sz="0" w:space="0" w:color="auto"/>
        <w:left w:val="none" w:sz="0" w:space="0" w:color="auto"/>
        <w:bottom w:val="none" w:sz="0" w:space="0" w:color="auto"/>
        <w:right w:val="none" w:sz="0" w:space="0" w:color="auto"/>
      </w:divBdr>
    </w:div>
    <w:div w:id="853763650">
      <w:bodyDiv w:val="1"/>
      <w:marLeft w:val="0"/>
      <w:marRight w:val="0"/>
      <w:marTop w:val="0"/>
      <w:marBottom w:val="0"/>
      <w:divBdr>
        <w:top w:val="none" w:sz="0" w:space="0" w:color="auto"/>
        <w:left w:val="none" w:sz="0" w:space="0" w:color="auto"/>
        <w:bottom w:val="none" w:sz="0" w:space="0" w:color="auto"/>
        <w:right w:val="none" w:sz="0" w:space="0" w:color="auto"/>
      </w:divBdr>
    </w:div>
    <w:div w:id="927999664">
      <w:bodyDiv w:val="1"/>
      <w:marLeft w:val="0"/>
      <w:marRight w:val="0"/>
      <w:marTop w:val="0"/>
      <w:marBottom w:val="0"/>
      <w:divBdr>
        <w:top w:val="none" w:sz="0" w:space="0" w:color="auto"/>
        <w:left w:val="none" w:sz="0" w:space="0" w:color="auto"/>
        <w:bottom w:val="none" w:sz="0" w:space="0" w:color="auto"/>
        <w:right w:val="none" w:sz="0" w:space="0" w:color="auto"/>
      </w:divBdr>
    </w:div>
    <w:div w:id="1045637889">
      <w:bodyDiv w:val="1"/>
      <w:marLeft w:val="0"/>
      <w:marRight w:val="0"/>
      <w:marTop w:val="0"/>
      <w:marBottom w:val="0"/>
      <w:divBdr>
        <w:top w:val="none" w:sz="0" w:space="0" w:color="auto"/>
        <w:left w:val="none" w:sz="0" w:space="0" w:color="auto"/>
        <w:bottom w:val="none" w:sz="0" w:space="0" w:color="auto"/>
        <w:right w:val="none" w:sz="0" w:space="0" w:color="auto"/>
      </w:divBdr>
    </w:div>
    <w:div w:id="1151755259">
      <w:bodyDiv w:val="1"/>
      <w:marLeft w:val="0"/>
      <w:marRight w:val="0"/>
      <w:marTop w:val="0"/>
      <w:marBottom w:val="0"/>
      <w:divBdr>
        <w:top w:val="none" w:sz="0" w:space="0" w:color="auto"/>
        <w:left w:val="none" w:sz="0" w:space="0" w:color="auto"/>
        <w:bottom w:val="none" w:sz="0" w:space="0" w:color="auto"/>
        <w:right w:val="none" w:sz="0" w:space="0" w:color="auto"/>
      </w:divBdr>
    </w:div>
    <w:div w:id="1343700981">
      <w:bodyDiv w:val="1"/>
      <w:marLeft w:val="0"/>
      <w:marRight w:val="0"/>
      <w:marTop w:val="0"/>
      <w:marBottom w:val="0"/>
      <w:divBdr>
        <w:top w:val="none" w:sz="0" w:space="0" w:color="auto"/>
        <w:left w:val="none" w:sz="0" w:space="0" w:color="auto"/>
        <w:bottom w:val="none" w:sz="0" w:space="0" w:color="auto"/>
        <w:right w:val="none" w:sz="0" w:space="0" w:color="auto"/>
      </w:divBdr>
    </w:div>
    <w:div w:id="1403602330">
      <w:bodyDiv w:val="1"/>
      <w:marLeft w:val="0"/>
      <w:marRight w:val="0"/>
      <w:marTop w:val="0"/>
      <w:marBottom w:val="0"/>
      <w:divBdr>
        <w:top w:val="none" w:sz="0" w:space="0" w:color="auto"/>
        <w:left w:val="none" w:sz="0" w:space="0" w:color="auto"/>
        <w:bottom w:val="none" w:sz="0" w:space="0" w:color="auto"/>
        <w:right w:val="none" w:sz="0" w:space="0" w:color="auto"/>
      </w:divBdr>
    </w:div>
    <w:div w:id="1551844684">
      <w:bodyDiv w:val="1"/>
      <w:marLeft w:val="0"/>
      <w:marRight w:val="0"/>
      <w:marTop w:val="0"/>
      <w:marBottom w:val="0"/>
      <w:divBdr>
        <w:top w:val="none" w:sz="0" w:space="0" w:color="auto"/>
        <w:left w:val="none" w:sz="0" w:space="0" w:color="auto"/>
        <w:bottom w:val="none" w:sz="0" w:space="0" w:color="auto"/>
        <w:right w:val="none" w:sz="0" w:space="0" w:color="auto"/>
      </w:divBdr>
    </w:div>
    <w:div w:id="192290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eu.mssf.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taceeu.cz/cs/Microsites/IROP/Vyzvy-v-IROP" TargetMode="External"/><Relationship Id="rId17" Type="http://schemas.openxmlformats.org/officeDocument/2006/relationships/hyperlink" Target="http://www.dotaceeu.cz/iro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rr.cz/cs/kontakty/kontakty-irop/%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aceeu.cz/irop" TargetMode="External"/><Relationship Id="rId5" Type="http://schemas.openxmlformats.org/officeDocument/2006/relationships/settings" Target="settings.xml"/><Relationship Id="rId15" Type="http://schemas.openxmlformats.org/officeDocument/2006/relationships/hyperlink" Target="http://www.mpsv.cz/cs/13916" TargetMode="External"/><Relationship Id="rId10" Type="http://schemas.openxmlformats.org/officeDocument/2006/relationships/hyperlink" Target="http://www.dotaceeu.cz/cs/Microsites/IROP/Vyzvy-v-IRO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taceeu.cz/cs/Microsites/IROP/Vyzvy-v-IROP" TargetMode="External"/><Relationship Id="rId14" Type="http://schemas.openxmlformats.org/officeDocument/2006/relationships/hyperlink" Target="http://www.mpsv.cz/cs/13916"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F0BC-B42C-479E-AEA9-4D652E65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10202</Words>
  <Characters>60195</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Marciszová</dc:creator>
  <cp:lastModifiedBy>Martina Fišerová</cp:lastModifiedBy>
  <cp:revision>6</cp:revision>
  <cp:lastPrinted>2016-06-29T12:15:00Z</cp:lastPrinted>
  <dcterms:created xsi:type="dcterms:W3CDTF">2016-07-01T11:05:00Z</dcterms:created>
  <dcterms:modified xsi:type="dcterms:W3CDTF">2016-07-01T11:42:00Z</dcterms:modified>
</cp:coreProperties>
</file>