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21</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077209">
        <w:rPr>
          <w:rFonts w:ascii="Times New Roman" w:hAnsi="Times New Roman"/>
          <w:b/>
          <w:sz w:val="32"/>
        </w:rPr>
        <w:t>9</w:t>
      </w:r>
      <w:r w:rsidR="00132F94" w:rsidRPr="00077209">
        <w:rPr>
          <w:rFonts w:ascii="Times New Roman" w:hAnsi="Times New Roman"/>
          <w:b/>
          <w:sz w:val="32"/>
        </w:rPr>
        <w:t>. prosince</w:t>
      </w:r>
      <w:r w:rsidR="0060682B" w:rsidRPr="0035720A">
        <w:rPr>
          <w:rFonts w:ascii="Times New Roman" w:hAnsi="Times New Roman"/>
          <w:b/>
          <w:sz w:val="32"/>
        </w:rPr>
        <w:t xml:space="preserve"> 2013</w:t>
      </w:r>
    </w:p>
    <w:p w:rsidR="001E5526" w:rsidRPr="0035720A" w:rsidRDefault="001E5526" w:rsidP="001E5526">
      <w:pPr>
        <w:keepNext/>
        <w:keepLines/>
        <w:spacing w:after="120"/>
        <w:rPr>
          <w:rFonts w:ascii="Times New Roman" w:hAnsi="Times New Roman"/>
          <w:sz w:val="28"/>
        </w:rPr>
      </w:pPr>
    </w:p>
    <w:p w:rsidR="00077209" w:rsidRPr="00077209" w:rsidRDefault="001E5526"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A56B25">
        <w:rPr>
          <w:rFonts w:ascii="Times New Roman" w:hAnsi="Times New Roman"/>
          <w:sz w:val="28"/>
        </w:rPr>
        <w:t>ý</w:t>
      </w:r>
      <w:r w:rsidRPr="0035720A">
        <w:rPr>
          <w:rFonts w:ascii="Times New Roman" w:hAnsi="Times New Roman"/>
          <w:sz w:val="28"/>
        </w:rPr>
        <w:t xml:space="preserve"> žadatel pro tuto výzvu: </w:t>
      </w:r>
      <w:r w:rsidR="004976D3" w:rsidRPr="0035720A">
        <w:rPr>
          <w:rFonts w:ascii="Times New Roman" w:hAnsi="Times New Roman"/>
          <w:sz w:val="28"/>
        </w:rPr>
        <w:tab/>
      </w:r>
      <w:r w:rsidR="00BB58C2" w:rsidRPr="002A4A31">
        <w:rPr>
          <w:rFonts w:ascii="Times New Roman" w:hAnsi="Times New Roman"/>
          <w:b/>
          <w:sz w:val="28"/>
        </w:rPr>
        <w:t>Ministerstvo vnitra</w:t>
      </w:r>
      <w:r w:rsidR="00DD26C4" w:rsidRPr="002A4A31">
        <w:rPr>
          <w:rFonts w:ascii="Times New Roman" w:hAnsi="Times New Roman"/>
          <w:b/>
          <w:sz w:val="28"/>
        </w:rPr>
        <w:t xml:space="preserve"> ČR </w:t>
      </w:r>
      <w:r w:rsidR="004976D3" w:rsidRPr="0035720A">
        <w:rPr>
          <w:rFonts w:ascii="Times New Roman" w:hAnsi="Times New Roman"/>
          <w:b/>
        </w:rPr>
        <w:tab/>
      </w:r>
      <w:r w:rsidR="004976D3" w:rsidRPr="0035720A">
        <w:rPr>
          <w:rFonts w:ascii="Times New Roman" w:hAnsi="Times New Roman"/>
          <w:b/>
        </w:rPr>
        <w:tab/>
      </w:r>
      <w:r w:rsidR="00077209" w:rsidRPr="00077209">
        <w:rPr>
          <w:rFonts w:ascii="Times New Roman" w:hAnsi="Times New Roman"/>
          <w:b/>
          <w:sz w:val="28"/>
          <w:szCs w:val="28"/>
        </w:rPr>
        <w:t xml:space="preserve">Ministerstvo vnitra – </w:t>
      </w:r>
      <w:r w:rsidR="006255C1">
        <w:rPr>
          <w:rFonts w:ascii="Times New Roman" w:hAnsi="Times New Roman"/>
          <w:b/>
          <w:sz w:val="28"/>
          <w:szCs w:val="28"/>
        </w:rPr>
        <w:t>g</w:t>
      </w:r>
      <w:r w:rsidR="006255C1" w:rsidRPr="00077209">
        <w:rPr>
          <w:rFonts w:ascii="Times New Roman" w:hAnsi="Times New Roman"/>
          <w:b/>
          <w:sz w:val="28"/>
          <w:szCs w:val="28"/>
        </w:rPr>
        <w:t>enerální</w:t>
      </w:r>
      <w:r w:rsidR="00077209" w:rsidRPr="00077209">
        <w:rPr>
          <w:rFonts w:ascii="Times New Roman" w:hAnsi="Times New Roman"/>
          <w:b/>
          <w:sz w:val="28"/>
          <w:szCs w:val="28"/>
        </w:rPr>
        <w:t xml:space="preserve"> ředitelství HZS</w:t>
      </w:r>
      <w:r w:rsidR="00077209" w:rsidRPr="00077209">
        <w:rPr>
          <w:rFonts w:ascii="Times New Roman" w:hAnsi="Times New Roman"/>
          <w:b/>
        </w:rPr>
        <w:t xml:space="preserve"> </w:t>
      </w:r>
      <w:r w:rsidR="00077209" w:rsidRPr="00077209">
        <w:rPr>
          <w:rFonts w:ascii="Times New Roman" w:hAnsi="Times New Roman"/>
          <w:b/>
          <w:sz w:val="28"/>
          <w:szCs w:val="28"/>
        </w:rPr>
        <w:t>ČR</w:t>
      </w:r>
    </w:p>
    <w:p w:rsidR="00077209" w:rsidRPr="00077209" w:rsidRDefault="00077209" w:rsidP="00077209">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Ministerstvo vnitra – Policejní prezidium</w:t>
      </w:r>
      <w:r>
        <w:rPr>
          <w:rFonts w:ascii="Times New Roman" w:hAnsi="Times New Roman"/>
          <w:b/>
          <w:sz w:val="28"/>
          <w:szCs w:val="28"/>
        </w:rPr>
        <w:t xml:space="preserve"> ČR</w:t>
      </w:r>
    </w:p>
    <w:p w:rsidR="0023350A" w:rsidRPr="00077209" w:rsidRDefault="00077209" w:rsidP="00077209">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r w:rsidRPr="00077209">
        <w:rPr>
          <w:rFonts w:ascii="Times New Roman" w:hAnsi="Times New Roman"/>
          <w:b/>
          <w:sz w:val="28"/>
          <w:szCs w:val="28"/>
        </w:rPr>
        <w:t>Krajská ředitelství Policie ČR</w:t>
      </w:r>
    </w:p>
    <w:p w:rsidR="00DD26C4" w:rsidRPr="0035720A"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b/>
        </w:rPr>
        <w:tab/>
      </w:r>
      <w:r w:rsidRPr="0035720A">
        <w:rPr>
          <w:rFonts w:ascii="Times New Roman" w:hAnsi="Times New Roman"/>
          <w:b/>
        </w:rPr>
        <w:tab/>
      </w:r>
      <w:r w:rsidR="00DD26C4" w:rsidRPr="0035720A">
        <w:rPr>
          <w:rFonts w:ascii="Times New Roman" w:hAnsi="Times New Roman"/>
          <w:b/>
          <w:sz w:val="24"/>
        </w:rPr>
        <w:t xml:space="preserve"> </w:t>
      </w:r>
    </w:p>
    <w:p w:rsidR="00E6000F" w:rsidRPr="0035720A" w:rsidRDefault="00B83EEC"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cs="Times New Roman"/>
          <w:b/>
          <w:noProof/>
          <w:sz w:val="48"/>
        </w:rPr>
        <w:drawing>
          <wp:anchor distT="0" distB="0" distL="114300" distR="114300" simplePos="0" relativeHeight="251659776" behindDoc="0" locked="0" layoutInCell="1" allowOverlap="1">
            <wp:simplePos x="0" y="0"/>
            <wp:positionH relativeFrom="margin">
              <wp:posOffset>1841500</wp:posOffset>
            </wp:positionH>
            <wp:positionV relativeFrom="margin">
              <wp:posOffset>5743575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4"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DA2051" w:rsidRPr="0035720A">
        <w:rPr>
          <w:rFonts w:ascii="Times New Roman" w:hAnsi="Times New Roman"/>
          <w:sz w:val="28"/>
        </w:rPr>
        <w:tab/>
      </w:r>
      <w:r w:rsidR="00E6000F" w:rsidRPr="0035720A">
        <w:rPr>
          <w:rFonts w:ascii="Times New Roman" w:hAnsi="Times New Roman"/>
          <w:sz w:val="28"/>
        </w:rPr>
        <w:t xml:space="preserve"> </w:t>
      </w:r>
    </w:p>
    <w:p w:rsidR="001E5526" w:rsidRPr="0035720A" w:rsidRDefault="00E6000F"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Default="0023350A" w:rsidP="004976D3">
      <w:pPr>
        <w:rPr>
          <w:rFonts w:ascii="Times New Roman" w:hAnsi="Times New Roman"/>
          <w:sz w:val="28"/>
        </w:rPr>
      </w:pPr>
    </w:p>
    <w:p w:rsidR="00B83EEC" w:rsidRPr="0035720A" w:rsidRDefault="00B83EEC" w:rsidP="004976D3">
      <w:pPr>
        <w:rPr>
          <w:rFonts w:ascii="Times New Roman" w:hAnsi="Times New Roman"/>
          <w:sz w:val="28"/>
        </w:rPr>
      </w:pPr>
    </w:p>
    <w:p w:rsidR="004976D3" w:rsidRPr="0035720A" w:rsidRDefault="004976D3" w:rsidP="004976D3">
      <w:pPr>
        <w:rPr>
          <w:rFonts w:ascii="Times New Roman" w:hAnsi="Times New Roman"/>
          <w:sz w:val="28"/>
        </w:rPr>
      </w:pPr>
      <w:r w:rsidRPr="0035720A">
        <w:rPr>
          <w:rFonts w:ascii="Times New Roman" w:hAnsi="Times New Roman"/>
          <w:sz w:val="28"/>
        </w:rPr>
        <w:t>Vydání 1.</w:t>
      </w:r>
      <w:r w:rsidR="00B83EEC">
        <w:rPr>
          <w:rFonts w:ascii="Times New Roman" w:hAnsi="Times New Roman" w:cs="Times New Roman"/>
          <w:sz w:val="28"/>
        </w:rPr>
        <w:t>0</w:t>
      </w:r>
      <w:r w:rsidRPr="0035720A">
        <w:rPr>
          <w:rFonts w:ascii="Times New Roman" w:hAnsi="Times New Roman"/>
          <w:sz w:val="28"/>
        </w:rPr>
        <w:t xml:space="preserve">, platnost </w:t>
      </w:r>
      <w:r w:rsidRPr="00077209">
        <w:rPr>
          <w:rFonts w:ascii="Times New Roman" w:hAnsi="Times New Roman"/>
          <w:sz w:val="28"/>
        </w:rPr>
        <w:t xml:space="preserve">od </w:t>
      </w:r>
      <w:r w:rsidR="00077209" w:rsidRPr="00077209">
        <w:rPr>
          <w:rFonts w:ascii="Times New Roman" w:hAnsi="Times New Roman" w:cs="Times New Roman"/>
          <w:sz w:val="28"/>
          <w:szCs w:val="28"/>
        </w:rPr>
        <w:t>9</w:t>
      </w:r>
      <w:r w:rsidR="0060682B" w:rsidRPr="00077209">
        <w:rPr>
          <w:rFonts w:ascii="Times New Roman" w:hAnsi="Times New Roman" w:cs="Times New Roman"/>
          <w:sz w:val="28"/>
          <w:szCs w:val="28"/>
        </w:rPr>
        <w:t xml:space="preserve">. </w:t>
      </w:r>
      <w:r w:rsidR="00BB58C2" w:rsidRPr="00077209">
        <w:rPr>
          <w:rFonts w:ascii="Times New Roman" w:hAnsi="Times New Roman" w:cs="Times New Roman"/>
          <w:sz w:val="28"/>
          <w:szCs w:val="28"/>
        </w:rPr>
        <w:t>prosince</w:t>
      </w:r>
      <w:r w:rsidR="0060682B" w:rsidRPr="0035720A">
        <w:rPr>
          <w:rFonts w:ascii="Times New Roman" w:hAnsi="Times New Roman"/>
          <w:sz w:val="28"/>
        </w:rPr>
        <w:t xml:space="preserve"> 2013</w:t>
      </w:r>
    </w:p>
    <w:p w:rsidR="00924B61" w:rsidRPr="00285B0F" w:rsidRDefault="00924B61">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73858666"/>
      <w:bookmarkEnd w:id="0"/>
      <w:bookmarkEnd w:id="1"/>
      <w:bookmarkEnd w:id="2"/>
      <w:bookmarkEnd w:id="3"/>
      <w:r w:rsidRPr="00285B0F">
        <w:lastRenderedPageBreak/>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BC726E">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5"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6"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844237" w:rsidRPr="00CF3A89" w:rsidRDefault="00FD4701">
      <w:pPr>
        <w:pStyle w:val="Obsah1"/>
        <w:rPr>
          <w:rFonts w:asciiTheme="minorHAnsi" w:eastAsiaTheme="minorEastAsia" w:hAnsiTheme="minorHAnsi"/>
          <w:b w:val="0"/>
          <w:sz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73858666" w:history="1">
        <w:r w:rsidR="00844237" w:rsidRPr="00EE2B0B">
          <w:rPr>
            <w:rStyle w:val="Hypertextovodkaz"/>
          </w:rPr>
          <w:t>1</w:t>
        </w:r>
        <w:r w:rsidR="00844237" w:rsidRPr="00CF3A89">
          <w:rPr>
            <w:rFonts w:asciiTheme="minorHAnsi" w:eastAsiaTheme="minorEastAsia" w:hAnsiTheme="minorHAnsi"/>
            <w:b w:val="0"/>
            <w:sz w:val="22"/>
          </w:rPr>
          <w:tab/>
        </w:r>
        <w:r w:rsidR="00844237" w:rsidRPr="00EE2B0B">
          <w:rPr>
            <w:rStyle w:val="Hypertextovodkaz"/>
          </w:rPr>
          <w:t>Úvod</w:t>
        </w:r>
        <w:r w:rsidR="00844237">
          <w:rPr>
            <w:webHidden/>
          </w:rPr>
          <w:tab/>
        </w:r>
        <w:r>
          <w:rPr>
            <w:webHidden/>
          </w:rPr>
          <w:fldChar w:fldCharType="begin"/>
        </w:r>
        <w:r w:rsidR="00844237">
          <w:rPr>
            <w:webHidden/>
          </w:rPr>
          <w:instrText xml:space="preserve"> PAGEREF _Toc373858666 \h </w:instrText>
        </w:r>
        <w:r>
          <w:rPr>
            <w:webHidden/>
          </w:rPr>
        </w:r>
        <w:r>
          <w:rPr>
            <w:webHidden/>
          </w:rPr>
          <w:fldChar w:fldCharType="separate"/>
        </w:r>
        <w:r w:rsidR="00AD7614">
          <w:rPr>
            <w:webHidden/>
          </w:rPr>
          <w:t>2</w:t>
        </w:r>
        <w:r>
          <w:rPr>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67" w:history="1">
        <w:r w:rsidR="00844237" w:rsidRPr="00EE2B0B">
          <w:rPr>
            <w:rStyle w:val="Hypertextovodkaz"/>
          </w:rPr>
          <w:t>2</w:t>
        </w:r>
        <w:r w:rsidR="00844237" w:rsidRPr="00CF3A89">
          <w:rPr>
            <w:rFonts w:asciiTheme="minorHAnsi" w:eastAsiaTheme="minorEastAsia" w:hAnsiTheme="minorHAnsi"/>
            <w:b w:val="0"/>
            <w:sz w:val="22"/>
          </w:rPr>
          <w:tab/>
        </w:r>
        <w:r w:rsidR="00844237" w:rsidRPr="00EE2B0B">
          <w:rPr>
            <w:rStyle w:val="Hypertextovodkaz"/>
          </w:rPr>
          <w:t>Seznam použitých zkratek</w:t>
        </w:r>
        <w:r w:rsidR="00844237">
          <w:rPr>
            <w:webHidden/>
          </w:rPr>
          <w:tab/>
        </w:r>
        <w:r w:rsidR="00FD4701">
          <w:rPr>
            <w:webHidden/>
          </w:rPr>
          <w:fldChar w:fldCharType="begin"/>
        </w:r>
        <w:r w:rsidR="00844237">
          <w:rPr>
            <w:webHidden/>
          </w:rPr>
          <w:instrText xml:space="preserve"> PAGEREF _Toc373858667 \h </w:instrText>
        </w:r>
        <w:r w:rsidR="00FD4701">
          <w:rPr>
            <w:webHidden/>
          </w:rPr>
        </w:r>
        <w:r w:rsidR="00FD4701">
          <w:rPr>
            <w:webHidden/>
          </w:rPr>
          <w:fldChar w:fldCharType="separate"/>
        </w:r>
        <w:r w:rsidR="00AD7614">
          <w:rPr>
            <w:webHidden/>
          </w:rPr>
          <w:t>5</w:t>
        </w:r>
        <w:r w:rsidR="00FD4701">
          <w:rPr>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68" w:history="1">
        <w:r w:rsidR="00844237" w:rsidRPr="00EE2B0B">
          <w:rPr>
            <w:rStyle w:val="Hypertextovodkaz"/>
            <w:rFonts w:cs="Tahoma"/>
            <w:caps/>
            <w:smallCaps/>
          </w:rPr>
          <w:t>3</w:t>
        </w:r>
        <w:r w:rsidR="00844237" w:rsidRPr="00CF3A89">
          <w:rPr>
            <w:rFonts w:asciiTheme="minorHAnsi" w:eastAsiaTheme="minorEastAsia" w:hAnsiTheme="minorHAnsi"/>
            <w:b w:val="0"/>
            <w:sz w:val="22"/>
          </w:rPr>
          <w:tab/>
        </w:r>
        <w:r w:rsidR="00844237" w:rsidRPr="00EE2B0B">
          <w:rPr>
            <w:rStyle w:val="Hypertextovodkaz"/>
          </w:rPr>
          <w:t>Definice pojmů</w:t>
        </w:r>
        <w:r w:rsidR="00844237">
          <w:rPr>
            <w:webHidden/>
          </w:rPr>
          <w:tab/>
        </w:r>
        <w:r w:rsidR="00FD4701">
          <w:rPr>
            <w:webHidden/>
          </w:rPr>
          <w:fldChar w:fldCharType="begin"/>
        </w:r>
        <w:r w:rsidR="00844237">
          <w:rPr>
            <w:webHidden/>
          </w:rPr>
          <w:instrText xml:space="preserve"> PAGEREF _Toc373858668 \h </w:instrText>
        </w:r>
        <w:r w:rsidR="00FD4701">
          <w:rPr>
            <w:webHidden/>
          </w:rPr>
        </w:r>
        <w:r w:rsidR="00FD4701">
          <w:rPr>
            <w:webHidden/>
          </w:rPr>
          <w:fldChar w:fldCharType="separate"/>
        </w:r>
        <w:r w:rsidR="00AD7614">
          <w:rPr>
            <w:webHidden/>
          </w:rPr>
          <w:t>7</w:t>
        </w:r>
        <w:r w:rsidR="00FD4701">
          <w:rPr>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69" w:history="1">
        <w:r w:rsidR="00844237" w:rsidRPr="00EE2B0B">
          <w:rPr>
            <w:rStyle w:val="Hypertextovodkaz"/>
          </w:rPr>
          <w:t>4</w:t>
        </w:r>
        <w:r w:rsidR="00844237" w:rsidRPr="00CF3A89">
          <w:rPr>
            <w:rFonts w:asciiTheme="minorHAnsi" w:eastAsiaTheme="minorEastAsia" w:hAnsiTheme="minorHAnsi"/>
            <w:b w:val="0"/>
            <w:sz w:val="22"/>
          </w:rPr>
          <w:tab/>
        </w:r>
        <w:r w:rsidR="00844237" w:rsidRPr="00EE2B0B">
          <w:rPr>
            <w:rStyle w:val="Hypertextovodkaz"/>
          </w:rPr>
          <w:t>Informace o IOP a podporovaných oblastech</w:t>
        </w:r>
        <w:r w:rsidR="00844237">
          <w:rPr>
            <w:webHidden/>
          </w:rPr>
          <w:tab/>
        </w:r>
        <w:r w:rsidR="00FD4701">
          <w:rPr>
            <w:webHidden/>
          </w:rPr>
          <w:fldChar w:fldCharType="begin"/>
        </w:r>
        <w:r w:rsidR="00844237">
          <w:rPr>
            <w:webHidden/>
          </w:rPr>
          <w:instrText xml:space="preserve"> PAGEREF _Toc373858669 \h </w:instrText>
        </w:r>
        <w:r w:rsidR="00FD4701">
          <w:rPr>
            <w:webHidden/>
          </w:rPr>
        </w:r>
        <w:r w:rsidR="00FD4701">
          <w:rPr>
            <w:webHidden/>
          </w:rPr>
          <w:fldChar w:fldCharType="separate"/>
        </w:r>
        <w:r w:rsidR="00AD7614">
          <w:rPr>
            <w:webHidden/>
          </w:rPr>
          <w:t>11</w:t>
        </w:r>
        <w:r w:rsidR="00FD4701">
          <w:rPr>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70" w:history="1">
        <w:r w:rsidR="00844237" w:rsidRPr="00EE2B0B">
          <w:rPr>
            <w:rStyle w:val="Hypertextovodkaz"/>
            <w:noProof/>
          </w:rPr>
          <w:t>4.1</w:t>
        </w:r>
        <w:r w:rsidR="00844237" w:rsidRPr="00CF3A89">
          <w:rPr>
            <w:rFonts w:asciiTheme="minorHAnsi" w:eastAsiaTheme="minorEastAsia" w:hAnsiTheme="minorHAnsi"/>
            <w:noProof/>
            <w:sz w:val="22"/>
          </w:rPr>
          <w:tab/>
        </w:r>
        <w:r w:rsidR="00844237" w:rsidRPr="00EE2B0B">
          <w:rPr>
            <w:rStyle w:val="Hypertextovodkaz"/>
            <w:noProof/>
          </w:rPr>
          <w:t>Co je IOP</w:t>
        </w:r>
        <w:r w:rsidR="00844237">
          <w:rPr>
            <w:noProof/>
            <w:webHidden/>
          </w:rPr>
          <w:tab/>
        </w:r>
        <w:r w:rsidR="00FD4701">
          <w:rPr>
            <w:noProof/>
            <w:webHidden/>
          </w:rPr>
          <w:fldChar w:fldCharType="begin"/>
        </w:r>
        <w:r w:rsidR="00844237">
          <w:rPr>
            <w:noProof/>
            <w:webHidden/>
          </w:rPr>
          <w:instrText xml:space="preserve"> PAGEREF _Toc373858670 \h </w:instrText>
        </w:r>
        <w:r w:rsidR="00FD4701">
          <w:rPr>
            <w:noProof/>
            <w:webHidden/>
          </w:rPr>
        </w:r>
        <w:r w:rsidR="00FD4701">
          <w:rPr>
            <w:noProof/>
            <w:webHidden/>
          </w:rPr>
          <w:fldChar w:fldCharType="separate"/>
        </w:r>
        <w:r w:rsidR="00AD7614">
          <w:rPr>
            <w:noProof/>
            <w:webHidden/>
          </w:rPr>
          <w:t>11</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71" w:history="1">
        <w:r w:rsidR="00844237" w:rsidRPr="00EE2B0B">
          <w:rPr>
            <w:rStyle w:val="Hypertextovodkaz"/>
            <w:noProof/>
          </w:rPr>
          <w:t>4.2</w:t>
        </w:r>
        <w:r w:rsidR="00844237" w:rsidRPr="00CF3A89">
          <w:rPr>
            <w:rFonts w:asciiTheme="minorHAnsi" w:eastAsiaTheme="minorEastAsia" w:hAnsiTheme="minorHAnsi"/>
            <w:noProof/>
            <w:sz w:val="22"/>
          </w:rPr>
          <w:tab/>
        </w:r>
        <w:r w:rsidR="00844237" w:rsidRPr="00EE2B0B">
          <w:rPr>
            <w:rStyle w:val="Hypertextovodkaz"/>
            <w:noProof/>
          </w:rPr>
          <w:t>Oblast intervence 3.4 – Služby v oblasti bezpečnosti, prevence a řešení rizik</w:t>
        </w:r>
        <w:r w:rsidR="00844237">
          <w:rPr>
            <w:noProof/>
            <w:webHidden/>
          </w:rPr>
          <w:tab/>
        </w:r>
        <w:r w:rsidR="00FD4701">
          <w:rPr>
            <w:noProof/>
            <w:webHidden/>
          </w:rPr>
          <w:fldChar w:fldCharType="begin"/>
        </w:r>
        <w:r w:rsidR="00844237">
          <w:rPr>
            <w:noProof/>
            <w:webHidden/>
          </w:rPr>
          <w:instrText xml:space="preserve"> PAGEREF _Toc373858671 \h </w:instrText>
        </w:r>
        <w:r w:rsidR="00FD4701">
          <w:rPr>
            <w:noProof/>
            <w:webHidden/>
          </w:rPr>
        </w:r>
        <w:r w:rsidR="00FD4701">
          <w:rPr>
            <w:noProof/>
            <w:webHidden/>
          </w:rPr>
          <w:fldChar w:fldCharType="separate"/>
        </w:r>
        <w:r w:rsidR="00AD7614">
          <w:rPr>
            <w:noProof/>
            <w:webHidden/>
          </w:rPr>
          <w:t>12</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2" w:history="1">
        <w:r w:rsidR="00844237" w:rsidRPr="00EE2B0B">
          <w:rPr>
            <w:rStyle w:val="Hypertextovodkaz"/>
            <w:rFonts w:cs="Times New Roman"/>
            <w:noProof/>
          </w:rPr>
          <w:t>4.2.1</w:t>
        </w:r>
        <w:r w:rsidR="00844237" w:rsidRPr="00CF3A89">
          <w:rPr>
            <w:rFonts w:asciiTheme="minorHAnsi" w:eastAsiaTheme="minorEastAsia" w:hAnsiTheme="minorHAnsi"/>
            <w:noProof/>
            <w:sz w:val="22"/>
          </w:rPr>
          <w:tab/>
        </w:r>
        <w:r w:rsidR="00844237" w:rsidRPr="00EE2B0B">
          <w:rPr>
            <w:rStyle w:val="Hypertextovodkaz"/>
            <w:rFonts w:cs="Times New Roman"/>
            <w:noProof/>
          </w:rPr>
          <w:t>Příjemci</w:t>
        </w:r>
        <w:r w:rsidR="00844237">
          <w:rPr>
            <w:noProof/>
            <w:webHidden/>
          </w:rPr>
          <w:tab/>
        </w:r>
        <w:r w:rsidR="00FD4701">
          <w:rPr>
            <w:noProof/>
            <w:webHidden/>
          </w:rPr>
          <w:fldChar w:fldCharType="begin"/>
        </w:r>
        <w:r w:rsidR="00844237">
          <w:rPr>
            <w:noProof/>
            <w:webHidden/>
          </w:rPr>
          <w:instrText xml:space="preserve"> PAGEREF _Toc373858672 \h </w:instrText>
        </w:r>
        <w:r w:rsidR="00FD4701">
          <w:rPr>
            <w:noProof/>
            <w:webHidden/>
          </w:rPr>
        </w:r>
        <w:r w:rsidR="00FD4701">
          <w:rPr>
            <w:noProof/>
            <w:webHidden/>
          </w:rPr>
          <w:fldChar w:fldCharType="separate"/>
        </w:r>
        <w:r w:rsidR="00AD7614">
          <w:rPr>
            <w:noProof/>
            <w:webHidden/>
          </w:rPr>
          <w:t>12</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3" w:history="1">
        <w:r w:rsidR="00844237" w:rsidRPr="00EE2B0B">
          <w:rPr>
            <w:rStyle w:val="Hypertextovodkaz"/>
            <w:noProof/>
          </w:rPr>
          <w:t>4.2.2</w:t>
        </w:r>
        <w:r w:rsidR="00844237" w:rsidRPr="00CF3A89">
          <w:rPr>
            <w:rFonts w:asciiTheme="minorHAnsi" w:eastAsiaTheme="minorEastAsia" w:hAnsiTheme="minorHAnsi"/>
            <w:noProof/>
            <w:sz w:val="22"/>
          </w:rPr>
          <w:tab/>
        </w:r>
        <w:r w:rsidR="00844237" w:rsidRPr="00EE2B0B">
          <w:rPr>
            <w:rStyle w:val="Hypertextovodkaz"/>
            <w:rFonts w:cs="Times New Roman"/>
            <w:noProof/>
          </w:rPr>
          <w:t>Pod</w:t>
        </w:r>
        <w:r w:rsidR="00844237" w:rsidRPr="00EE2B0B">
          <w:rPr>
            <w:rStyle w:val="Hypertextovodkaz"/>
            <w:noProof/>
          </w:rPr>
          <w:t>porovaná aktivita</w:t>
        </w:r>
        <w:r w:rsidR="00844237">
          <w:rPr>
            <w:noProof/>
            <w:webHidden/>
          </w:rPr>
          <w:tab/>
        </w:r>
        <w:r w:rsidR="00FD4701">
          <w:rPr>
            <w:noProof/>
            <w:webHidden/>
          </w:rPr>
          <w:fldChar w:fldCharType="begin"/>
        </w:r>
        <w:r w:rsidR="00844237">
          <w:rPr>
            <w:noProof/>
            <w:webHidden/>
          </w:rPr>
          <w:instrText xml:space="preserve"> PAGEREF _Toc373858673 \h </w:instrText>
        </w:r>
        <w:r w:rsidR="00FD4701">
          <w:rPr>
            <w:noProof/>
            <w:webHidden/>
          </w:rPr>
        </w:r>
        <w:r w:rsidR="00FD4701">
          <w:rPr>
            <w:noProof/>
            <w:webHidden/>
          </w:rPr>
          <w:fldChar w:fldCharType="separate"/>
        </w:r>
        <w:r w:rsidR="00AD7614">
          <w:rPr>
            <w:noProof/>
            <w:webHidden/>
          </w:rPr>
          <w:t>12</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4" w:history="1">
        <w:r w:rsidR="00844237" w:rsidRPr="00EE2B0B">
          <w:rPr>
            <w:rStyle w:val="Hypertextovodkaz"/>
            <w:noProof/>
          </w:rPr>
          <w:t>4.2.3</w:t>
        </w:r>
        <w:r w:rsidR="00844237" w:rsidRPr="00CF3A89">
          <w:rPr>
            <w:rFonts w:asciiTheme="minorHAnsi" w:eastAsiaTheme="minorEastAsia" w:hAnsiTheme="minorHAnsi"/>
            <w:noProof/>
            <w:sz w:val="22"/>
          </w:rPr>
          <w:tab/>
        </w:r>
        <w:r w:rsidR="00844237" w:rsidRPr="00EE2B0B">
          <w:rPr>
            <w:rStyle w:val="Hypertextovodkaz"/>
            <w:noProof/>
          </w:rPr>
          <w:t>Typ podpory</w:t>
        </w:r>
        <w:r w:rsidR="00844237">
          <w:rPr>
            <w:noProof/>
            <w:webHidden/>
          </w:rPr>
          <w:tab/>
        </w:r>
        <w:r w:rsidR="00FD4701">
          <w:rPr>
            <w:noProof/>
            <w:webHidden/>
          </w:rPr>
          <w:fldChar w:fldCharType="begin"/>
        </w:r>
        <w:r w:rsidR="00844237">
          <w:rPr>
            <w:noProof/>
            <w:webHidden/>
          </w:rPr>
          <w:instrText xml:space="preserve"> PAGEREF _Toc373858674 \h </w:instrText>
        </w:r>
        <w:r w:rsidR="00FD4701">
          <w:rPr>
            <w:noProof/>
            <w:webHidden/>
          </w:rPr>
        </w:r>
        <w:r w:rsidR="00FD4701">
          <w:rPr>
            <w:noProof/>
            <w:webHidden/>
          </w:rPr>
          <w:fldChar w:fldCharType="separate"/>
        </w:r>
        <w:r w:rsidR="00AD7614">
          <w:rPr>
            <w:noProof/>
            <w:webHidden/>
          </w:rPr>
          <w:t>13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5" w:history="1">
        <w:r w:rsidR="00844237" w:rsidRPr="00EE2B0B">
          <w:rPr>
            <w:rStyle w:val="Hypertextovodkaz"/>
            <w:noProof/>
          </w:rPr>
          <w:t>4.2.4</w:t>
        </w:r>
        <w:r w:rsidR="00844237" w:rsidRPr="00CF3A89">
          <w:rPr>
            <w:rFonts w:asciiTheme="minorHAnsi" w:eastAsiaTheme="minorEastAsia" w:hAnsiTheme="minorHAnsi"/>
            <w:noProof/>
            <w:sz w:val="22"/>
          </w:rPr>
          <w:tab/>
        </w:r>
        <w:r w:rsidR="00844237" w:rsidRPr="00EE2B0B">
          <w:rPr>
            <w:rStyle w:val="Hypertextovodkaz"/>
            <w:noProof/>
          </w:rPr>
          <w:t>Struktura financování</w:t>
        </w:r>
        <w:r w:rsidR="00844237">
          <w:rPr>
            <w:noProof/>
            <w:webHidden/>
          </w:rPr>
          <w:tab/>
        </w:r>
        <w:r w:rsidR="00FD4701">
          <w:rPr>
            <w:noProof/>
            <w:webHidden/>
          </w:rPr>
          <w:fldChar w:fldCharType="begin"/>
        </w:r>
        <w:r w:rsidR="00844237">
          <w:rPr>
            <w:noProof/>
            <w:webHidden/>
          </w:rPr>
          <w:instrText xml:space="preserve"> PAGEREF _Toc373858675 \h </w:instrText>
        </w:r>
        <w:r w:rsidR="00FD4701">
          <w:rPr>
            <w:noProof/>
            <w:webHidden/>
          </w:rPr>
        </w:r>
        <w:r w:rsidR="00FD4701">
          <w:rPr>
            <w:noProof/>
            <w:webHidden/>
          </w:rPr>
          <w:fldChar w:fldCharType="separate"/>
        </w:r>
        <w:r w:rsidR="00AD7614">
          <w:rPr>
            <w:noProof/>
            <w:webHidden/>
          </w:rPr>
          <w:t>13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6" w:history="1">
        <w:r w:rsidR="00844237" w:rsidRPr="00EE2B0B">
          <w:rPr>
            <w:rStyle w:val="Hypertextovodkaz"/>
            <w:noProof/>
          </w:rPr>
          <w:t>4.2.5</w:t>
        </w:r>
        <w:r w:rsidR="00844237" w:rsidRPr="00CF3A89">
          <w:rPr>
            <w:rFonts w:asciiTheme="minorHAnsi" w:eastAsiaTheme="minorEastAsia" w:hAnsiTheme="minorHAnsi"/>
            <w:noProof/>
            <w:sz w:val="22"/>
          </w:rPr>
          <w:tab/>
        </w:r>
        <w:r w:rsidR="00844237" w:rsidRPr="00EE2B0B">
          <w:rPr>
            <w:rStyle w:val="Hypertextovodkaz"/>
            <w:noProof/>
          </w:rPr>
          <w:t>Způsobilé výdaje</w:t>
        </w:r>
        <w:r w:rsidR="00844237">
          <w:rPr>
            <w:noProof/>
            <w:webHidden/>
          </w:rPr>
          <w:tab/>
        </w:r>
        <w:r w:rsidR="00FD4701">
          <w:rPr>
            <w:noProof/>
            <w:webHidden/>
          </w:rPr>
          <w:fldChar w:fldCharType="begin"/>
        </w:r>
        <w:r w:rsidR="00844237">
          <w:rPr>
            <w:noProof/>
            <w:webHidden/>
          </w:rPr>
          <w:instrText xml:space="preserve"> PAGEREF _Toc373858676 \h </w:instrText>
        </w:r>
        <w:r w:rsidR="00FD4701">
          <w:rPr>
            <w:noProof/>
            <w:webHidden/>
          </w:rPr>
        </w:r>
        <w:r w:rsidR="00FD4701">
          <w:rPr>
            <w:noProof/>
            <w:webHidden/>
          </w:rPr>
          <w:fldChar w:fldCharType="separate"/>
        </w:r>
        <w:r w:rsidR="00AD7614">
          <w:rPr>
            <w:noProof/>
            <w:webHidden/>
          </w:rPr>
          <w:t>13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7" w:history="1">
        <w:r w:rsidR="00844237" w:rsidRPr="00EE2B0B">
          <w:rPr>
            <w:rStyle w:val="Hypertextovodkaz"/>
            <w:noProof/>
          </w:rPr>
          <w:t>4.2.6</w:t>
        </w:r>
        <w:r w:rsidR="00844237" w:rsidRPr="00CF3A89">
          <w:rPr>
            <w:rFonts w:asciiTheme="minorHAnsi" w:eastAsiaTheme="minorEastAsia" w:hAnsiTheme="minorHAnsi"/>
            <w:noProof/>
            <w:sz w:val="22"/>
          </w:rPr>
          <w:tab/>
        </w:r>
        <w:r w:rsidR="00844237" w:rsidRPr="00EE2B0B">
          <w:rPr>
            <w:rStyle w:val="Hypertextovodkaz"/>
            <w:noProof/>
          </w:rPr>
          <w:t>Monitorovací indikátor</w:t>
        </w:r>
        <w:r w:rsidR="00844237">
          <w:rPr>
            <w:noProof/>
            <w:webHidden/>
          </w:rPr>
          <w:tab/>
        </w:r>
        <w:r w:rsidR="00FD4701">
          <w:rPr>
            <w:noProof/>
            <w:webHidden/>
          </w:rPr>
          <w:fldChar w:fldCharType="begin"/>
        </w:r>
        <w:r w:rsidR="00844237">
          <w:rPr>
            <w:noProof/>
            <w:webHidden/>
          </w:rPr>
          <w:instrText xml:space="preserve"> PAGEREF _Toc373858677 \h </w:instrText>
        </w:r>
        <w:r w:rsidR="00FD4701">
          <w:rPr>
            <w:noProof/>
            <w:webHidden/>
          </w:rPr>
        </w:r>
        <w:r w:rsidR="00FD4701">
          <w:rPr>
            <w:noProof/>
            <w:webHidden/>
          </w:rPr>
          <w:fldChar w:fldCharType="separate"/>
        </w:r>
        <w:r w:rsidR="00AD7614">
          <w:rPr>
            <w:noProof/>
            <w:webHidden/>
          </w:rPr>
          <w:t>15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8" w:history="1">
        <w:r w:rsidR="00844237" w:rsidRPr="00EE2B0B">
          <w:rPr>
            <w:rStyle w:val="Hypertextovodkaz"/>
            <w:rFonts w:cs="Times New Roman"/>
            <w:noProof/>
          </w:rPr>
          <w:t>4.2.7</w:t>
        </w:r>
        <w:r w:rsidR="00844237" w:rsidRPr="00CF3A89">
          <w:rPr>
            <w:rFonts w:asciiTheme="minorHAnsi" w:eastAsiaTheme="minorEastAsia" w:hAnsiTheme="minorHAnsi"/>
            <w:noProof/>
            <w:sz w:val="22"/>
          </w:rPr>
          <w:tab/>
        </w:r>
        <w:r w:rsidR="00844237" w:rsidRPr="00EE2B0B">
          <w:rPr>
            <w:rStyle w:val="Hypertextovodkaz"/>
            <w:rFonts w:cs="Times New Roman"/>
            <w:noProof/>
          </w:rPr>
          <w:t>Místo realizace projektů</w:t>
        </w:r>
        <w:r w:rsidR="00844237">
          <w:rPr>
            <w:noProof/>
            <w:webHidden/>
          </w:rPr>
          <w:tab/>
        </w:r>
        <w:r w:rsidR="00FD4701">
          <w:rPr>
            <w:noProof/>
            <w:webHidden/>
          </w:rPr>
          <w:fldChar w:fldCharType="begin"/>
        </w:r>
        <w:r w:rsidR="00844237">
          <w:rPr>
            <w:noProof/>
            <w:webHidden/>
          </w:rPr>
          <w:instrText xml:space="preserve"> PAGEREF _Toc373858678 \h </w:instrText>
        </w:r>
        <w:r w:rsidR="00FD4701">
          <w:rPr>
            <w:noProof/>
            <w:webHidden/>
          </w:rPr>
        </w:r>
        <w:r w:rsidR="00FD4701">
          <w:rPr>
            <w:noProof/>
            <w:webHidden/>
          </w:rPr>
          <w:fldChar w:fldCharType="separate"/>
        </w:r>
        <w:r w:rsidR="00AD7614">
          <w:rPr>
            <w:noProof/>
            <w:webHidden/>
          </w:rPr>
          <w:t>16</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79" w:history="1">
        <w:r w:rsidR="00844237" w:rsidRPr="00EE2B0B">
          <w:rPr>
            <w:rStyle w:val="Hypertextovodkaz"/>
            <w:noProof/>
          </w:rPr>
          <w:t>4.2.8</w:t>
        </w:r>
        <w:r w:rsidR="00844237" w:rsidRPr="00CF3A89">
          <w:rPr>
            <w:rFonts w:asciiTheme="minorHAnsi" w:eastAsiaTheme="minorEastAsia" w:hAnsiTheme="minorHAnsi"/>
            <w:noProof/>
            <w:sz w:val="22"/>
          </w:rPr>
          <w:tab/>
        </w:r>
        <w:r w:rsidR="00844237" w:rsidRPr="00EE2B0B">
          <w:rPr>
            <w:rStyle w:val="Hypertextovodkaz"/>
            <w:noProof/>
          </w:rPr>
          <w:t>Úhrada nákladů za zásah jednotky požární ochrany</w:t>
        </w:r>
        <w:r w:rsidR="00844237">
          <w:rPr>
            <w:noProof/>
            <w:webHidden/>
          </w:rPr>
          <w:tab/>
        </w:r>
        <w:r w:rsidR="00FD4701">
          <w:rPr>
            <w:noProof/>
            <w:webHidden/>
          </w:rPr>
          <w:fldChar w:fldCharType="begin"/>
        </w:r>
        <w:r w:rsidR="00844237">
          <w:rPr>
            <w:noProof/>
            <w:webHidden/>
          </w:rPr>
          <w:instrText xml:space="preserve"> PAGEREF _Toc373858679 \h </w:instrText>
        </w:r>
        <w:r w:rsidR="00FD4701">
          <w:rPr>
            <w:noProof/>
            <w:webHidden/>
          </w:rPr>
        </w:r>
        <w:r w:rsidR="00FD4701">
          <w:rPr>
            <w:noProof/>
            <w:webHidden/>
          </w:rPr>
          <w:fldChar w:fldCharType="separate"/>
        </w:r>
        <w:r w:rsidR="00AD7614">
          <w:rPr>
            <w:noProof/>
            <w:webHidden/>
          </w:rPr>
          <w:t>16</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80" w:history="1">
        <w:r w:rsidR="00844237" w:rsidRPr="00EE2B0B">
          <w:rPr>
            <w:rStyle w:val="Hypertextovodkaz"/>
          </w:rPr>
          <w:t>5</w:t>
        </w:r>
        <w:r w:rsidR="00844237" w:rsidRPr="00CF3A89">
          <w:rPr>
            <w:rFonts w:asciiTheme="minorHAnsi" w:eastAsiaTheme="minorEastAsia" w:hAnsiTheme="minorHAnsi"/>
            <w:b w:val="0"/>
            <w:sz w:val="22"/>
          </w:rPr>
          <w:tab/>
        </w:r>
        <w:r w:rsidR="00844237" w:rsidRPr="00EE2B0B">
          <w:rPr>
            <w:rStyle w:val="Hypertextovodkaz"/>
          </w:rPr>
          <w:t>Vyhlášení výzvy a předkládání projektové žádosti</w:t>
        </w:r>
        <w:r w:rsidR="00844237">
          <w:rPr>
            <w:webHidden/>
          </w:rPr>
          <w:tab/>
        </w:r>
        <w:r w:rsidR="00FD4701">
          <w:rPr>
            <w:webHidden/>
          </w:rPr>
          <w:fldChar w:fldCharType="begin"/>
        </w:r>
        <w:r w:rsidR="00844237">
          <w:rPr>
            <w:webHidden/>
          </w:rPr>
          <w:instrText xml:space="preserve"> PAGEREF _Toc373858680 \h </w:instrText>
        </w:r>
        <w:r w:rsidR="00FD4701">
          <w:rPr>
            <w:webHidden/>
          </w:rPr>
        </w:r>
        <w:r w:rsidR="00FD4701">
          <w:rPr>
            <w:webHidden/>
          </w:rPr>
          <w:fldChar w:fldCharType="separate"/>
        </w:r>
        <w:r w:rsidR="00AD7614">
          <w:rPr>
            <w:webHidden/>
          </w:rPr>
          <w:t>18</w:t>
        </w:r>
        <w:r w:rsidR="00FD4701">
          <w:rPr>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81" w:history="1">
        <w:r w:rsidR="00844237" w:rsidRPr="00EE2B0B">
          <w:rPr>
            <w:rStyle w:val="Hypertextovodkaz"/>
            <w:noProof/>
          </w:rPr>
          <w:t>5.1</w:t>
        </w:r>
        <w:r w:rsidR="00844237" w:rsidRPr="00CF3A89">
          <w:rPr>
            <w:rFonts w:asciiTheme="minorHAnsi" w:eastAsiaTheme="minorEastAsia" w:hAnsiTheme="minorHAnsi"/>
            <w:noProof/>
            <w:sz w:val="22"/>
          </w:rPr>
          <w:tab/>
        </w:r>
        <w:r w:rsidR="00844237" w:rsidRPr="00EE2B0B">
          <w:rPr>
            <w:rStyle w:val="Hypertextovodkaz"/>
            <w:noProof/>
          </w:rPr>
          <w:t>Poskytování informací žadatelům</w:t>
        </w:r>
        <w:r w:rsidR="00844237">
          <w:rPr>
            <w:noProof/>
            <w:webHidden/>
          </w:rPr>
          <w:tab/>
        </w:r>
        <w:r w:rsidR="00FD4701">
          <w:rPr>
            <w:noProof/>
            <w:webHidden/>
          </w:rPr>
          <w:fldChar w:fldCharType="begin"/>
        </w:r>
        <w:r w:rsidR="00844237">
          <w:rPr>
            <w:noProof/>
            <w:webHidden/>
          </w:rPr>
          <w:instrText xml:space="preserve"> PAGEREF _Toc373858681 \h </w:instrText>
        </w:r>
        <w:r w:rsidR="00FD4701">
          <w:rPr>
            <w:noProof/>
            <w:webHidden/>
          </w:rPr>
        </w:r>
        <w:r w:rsidR="00FD4701">
          <w:rPr>
            <w:noProof/>
            <w:webHidden/>
          </w:rPr>
          <w:fldChar w:fldCharType="separate"/>
        </w:r>
        <w:r w:rsidR="00AD7614">
          <w:rPr>
            <w:noProof/>
            <w:webHidden/>
          </w:rPr>
          <w:t>18</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82" w:history="1">
        <w:r w:rsidR="00844237" w:rsidRPr="00EE2B0B">
          <w:rPr>
            <w:rStyle w:val="Hypertextovodkaz"/>
            <w:noProof/>
          </w:rPr>
          <w:t>5.2</w:t>
        </w:r>
        <w:r w:rsidR="00844237" w:rsidRPr="00CF3A89">
          <w:rPr>
            <w:rFonts w:asciiTheme="minorHAnsi" w:eastAsiaTheme="minorEastAsia" w:hAnsiTheme="minorHAnsi"/>
            <w:noProof/>
            <w:sz w:val="22"/>
          </w:rPr>
          <w:tab/>
        </w:r>
        <w:r w:rsidR="00844237" w:rsidRPr="00EE2B0B">
          <w:rPr>
            <w:rStyle w:val="Hypertextovodkaz"/>
            <w:noProof/>
          </w:rPr>
          <w:t>Forma projektové žádosti</w:t>
        </w:r>
        <w:r w:rsidR="00844237">
          <w:rPr>
            <w:noProof/>
            <w:webHidden/>
          </w:rPr>
          <w:tab/>
        </w:r>
        <w:r w:rsidR="00FD4701">
          <w:rPr>
            <w:noProof/>
            <w:webHidden/>
          </w:rPr>
          <w:fldChar w:fldCharType="begin"/>
        </w:r>
        <w:r w:rsidR="00844237">
          <w:rPr>
            <w:noProof/>
            <w:webHidden/>
          </w:rPr>
          <w:instrText xml:space="preserve"> PAGEREF _Toc373858682 \h </w:instrText>
        </w:r>
        <w:r w:rsidR="00FD4701">
          <w:rPr>
            <w:noProof/>
            <w:webHidden/>
          </w:rPr>
        </w:r>
        <w:r w:rsidR="00FD4701">
          <w:rPr>
            <w:noProof/>
            <w:webHidden/>
          </w:rPr>
          <w:fldChar w:fldCharType="separate"/>
        </w:r>
        <w:r w:rsidR="00AD7614">
          <w:rPr>
            <w:noProof/>
            <w:webHidden/>
          </w:rPr>
          <w:t>19</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83" w:history="1">
        <w:r w:rsidR="00844237" w:rsidRPr="00EE2B0B">
          <w:rPr>
            <w:rStyle w:val="Hypertextovodkaz"/>
            <w:noProof/>
          </w:rPr>
          <w:t>5.2.1</w:t>
        </w:r>
        <w:r w:rsidR="00844237" w:rsidRPr="00CF3A89">
          <w:rPr>
            <w:rFonts w:asciiTheme="minorHAnsi" w:eastAsiaTheme="minorEastAsia" w:hAnsiTheme="minorHAnsi"/>
            <w:noProof/>
            <w:sz w:val="22"/>
          </w:rPr>
          <w:tab/>
        </w:r>
        <w:r w:rsidR="00844237" w:rsidRPr="00EE2B0B">
          <w:rPr>
            <w:rStyle w:val="Hypertextovodkaz"/>
            <w:noProof/>
          </w:rPr>
          <w:t>Studie proveditelnosti</w:t>
        </w:r>
        <w:r w:rsidR="00844237">
          <w:rPr>
            <w:noProof/>
            <w:webHidden/>
          </w:rPr>
          <w:tab/>
        </w:r>
        <w:r w:rsidR="00FD4701">
          <w:rPr>
            <w:noProof/>
            <w:webHidden/>
          </w:rPr>
          <w:fldChar w:fldCharType="begin"/>
        </w:r>
        <w:r w:rsidR="00844237">
          <w:rPr>
            <w:noProof/>
            <w:webHidden/>
          </w:rPr>
          <w:instrText xml:space="preserve"> PAGEREF _Toc373858683 \h </w:instrText>
        </w:r>
        <w:r w:rsidR="00FD4701">
          <w:rPr>
            <w:noProof/>
            <w:webHidden/>
          </w:rPr>
        </w:r>
        <w:r w:rsidR="00FD4701">
          <w:rPr>
            <w:noProof/>
            <w:webHidden/>
          </w:rPr>
          <w:fldChar w:fldCharType="separate"/>
        </w:r>
        <w:r w:rsidR="00AD7614">
          <w:rPr>
            <w:noProof/>
            <w:webHidden/>
          </w:rPr>
          <w:t>20</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84" w:history="1">
        <w:r w:rsidR="00844237" w:rsidRPr="00EE2B0B">
          <w:rPr>
            <w:rStyle w:val="Hypertextovodkaz"/>
            <w:noProof/>
          </w:rPr>
          <w:t>5.2.2</w:t>
        </w:r>
        <w:r w:rsidR="00844237" w:rsidRPr="00CF3A89">
          <w:rPr>
            <w:rFonts w:asciiTheme="minorHAnsi" w:eastAsiaTheme="minorEastAsia" w:hAnsiTheme="minorHAnsi"/>
            <w:noProof/>
            <w:sz w:val="22"/>
          </w:rPr>
          <w:tab/>
        </w:r>
        <w:r w:rsidR="00844237" w:rsidRPr="00EE2B0B">
          <w:rPr>
            <w:rStyle w:val="Hypertextovodkaz"/>
            <w:noProof/>
          </w:rPr>
          <w:t>Rozpočet projektu</w:t>
        </w:r>
        <w:r w:rsidR="00844237">
          <w:rPr>
            <w:noProof/>
            <w:webHidden/>
          </w:rPr>
          <w:tab/>
        </w:r>
        <w:r w:rsidR="00FD4701">
          <w:rPr>
            <w:noProof/>
            <w:webHidden/>
          </w:rPr>
          <w:fldChar w:fldCharType="begin"/>
        </w:r>
        <w:r w:rsidR="00844237">
          <w:rPr>
            <w:noProof/>
            <w:webHidden/>
          </w:rPr>
          <w:instrText xml:space="preserve"> PAGEREF _Toc373858684 \h </w:instrText>
        </w:r>
        <w:r w:rsidR="00FD4701">
          <w:rPr>
            <w:noProof/>
            <w:webHidden/>
          </w:rPr>
        </w:r>
        <w:r w:rsidR="00FD4701">
          <w:rPr>
            <w:noProof/>
            <w:webHidden/>
          </w:rPr>
          <w:fldChar w:fldCharType="separate"/>
        </w:r>
        <w:r w:rsidR="00AD7614">
          <w:rPr>
            <w:noProof/>
            <w:webHidden/>
          </w:rPr>
          <w:t>20</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85" w:history="1">
        <w:r w:rsidR="00844237" w:rsidRPr="00EE2B0B">
          <w:rPr>
            <w:rStyle w:val="Hypertextovodkaz"/>
            <w:noProof/>
          </w:rPr>
          <w:t>5.3</w:t>
        </w:r>
        <w:r w:rsidR="00844237" w:rsidRPr="00CF3A89">
          <w:rPr>
            <w:rFonts w:asciiTheme="minorHAnsi" w:eastAsiaTheme="minorEastAsia" w:hAnsiTheme="minorHAnsi"/>
            <w:noProof/>
            <w:sz w:val="22"/>
          </w:rPr>
          <w:tab/>
        </w:r>
        <w:r w:rsidR="00844237" w:rsidRPr="00EE2B0B">
          <w:rPr>
            <w:rStyle w:val="Hypertextovodkaz"/>
            <w:noProof/>
          </w:rPr>
          <w:t>Způsob podání projektové žádosti</w:t>
        </w:r>
        <w:r w:rsidR="00844237">
          <w:rPr>
            <w:noProof/>
            <w:webHidden/>
          </w:rPr>
          <w:tab/>
        </w:r>
        <w:r w:rsidR="00FD4701">
          <w:rPr>
            <w:noProof/>
            <w:webHidden/>
          </w:rPr>
          <w:fldChar w:fldCharType="begin"/>
        </w:r>
        <w:r w:rsidR="00844237">
          <w:rPr>
            <w:noProof/>
            <w:webHidden/>
          </w:rPr>
          <w:instrText xml:space="preserve"> PAGEREF _Toc373858685 \h </w:instrText>
        </w:r>
        <w:r w:rsidR="00FD4701">
          <w:rPr>
            <w:noProof/>
            <w:webHidden/>
          </w:rPr>
        </w:r>
        <w:r w:rsidR="00FD4701">
          <w:rPr>
            <w:noProof/>
            <w:webHidden/>
          </w:rPr>
          <w:fldChar w:fldCharType="separate"/>
        </w:r>
        <w:r w:rsidR="00AD7614">
          <w:rPr>
            <w:noProof/>
            <w:webHidden/>
          </w:rPr>
          <w:t>21</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86" w:history="1">
        <w:r w:rsidR="00844237" w:rsidRPr="00EE2B0B">
          <w:rPr>
            <w:rStyle w:val="Hypertextovodkaz"/>
          </w:rPr>
          <w:t>6</w:t>
        </w:r>
        <w:r w:rsidR="00844237" w:rsidRPr="00CF3A89">
          <w:rPr>
            <w:rFonts w:asciiTheme="minorHAnsi" w:eastAsiaTheme="minorEastAsia" w:hAnsiTheme="minorHAnsi"/>
            <w:b w:val="0"/>
            <w:sz w:val="22"/>
          </w:rPr>
          <w:tab/>
        </w:r>
        <w:r w:rsidR="00844237" w:rsidRPr="00EE2B0B">
          <w:rPr>
            <w:rStyle w:val="Hypertextovodkaz"/>
          </w:rPr>
          <w:t>Co následuje po podání projektové žádosti</w:t>
        </w:r>
        <w:r w:rsidR="00844237">
          <w:rPr>
            <w:webHidden/>
          </w:rPr>
          <w:tab/>
        </w:r>
        <w:r w:rsidR="00FD4701">
          <w:rPr>
            <w:webHidden/>
          </w:rPr>
          <w:fldChar w:fldCharType="begin"/>
        </w:r>
        <w:r w:rsidR="00844237">
          <w:rPr>
            <w:webHidden/>
          </w:rPr>
          <w:instrText xml:space="preserve"> PAGEREF _Toc373858686 \h </w:instrText>
        </w:r>
        <w:r w:rsidR="00FD4701">
          <w:rPr>
            <w:webHidden/>
          </w:rPr>
        </w:r>
        <w:r w:rsidR="00FD4701">
          <w:rPr>
            <w:webHidden/>
          </w:rPr>
          <w:fldChar w:fldCharType="separate"/>
        </w:r>
        <w:r w:rsidR="00AD7614">
          <w:rPr>
            <w:webHidden/>
          </w:rPr>
          <w:t>22</w:t>
        </w:r>
        <w:r w:rsidR="00FD4701">
          <w:rPr>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87" w:history="1">
        <w:r w:rsidR="00844237" w:rsidRPr="00EE2B0B">
          <w:rPr>
            <w:rStyle w:val="Hypertextovodkaz"/>
            <w:noProof/>
          </w:rPr>
          <w:t>6.1</w:t>
        </w:r>
        <w:r w:rsidR="00844237" w:rsidRPr="00CF3A89">
          <w:rPr>
            <w:rFonts w:asciiTheme="minorHAnsi" w:eastAsiaTheme="minorEastAsia" w:hAnsiTheme="minorHAnsi"/>
            <w:noProof/>
            <w:sz w:val="22"/>
          </w:rPr>
          <w:tab/>
        </w:r>
        <w:r w:rsidR="00844237" w:rsidRPr="00EE2B0B">
          <w:rPr>
            <w:rStyle w:val="Hypertextovodkaz"/>
            <w:noProof/>
          </w:rPr>
          <w:t>Orientační harmonogram administrace projektů</w:t>
        </w:r>
        <w:r w:rsidR="00844237">
          <w:rPr>
            <w:noProof/>
            <w:webHidden/>
          </w:rPr>
          <w:tab/>
        </w:r>
        <w:r w:rsidR="00FD4701">
          <w:rPr>
            <w:noProof/>
            <w:webHidden/>
          </w:rPr>
          <w:fldChar w:fldCharType="begin"/>
        </w:r>
        <w:r w:rsidR="00844237">
          <w:rPr>
            <w:noProof/>
            <w:webHidden/>
          </w:rPr>
          <w:instrText xml:space="preserve"> PAGEREF _Toc373858687 \h </w:instrText>
        </w:r>
        <w:r w:rsidR="00FD4701">
          <w:rPr>
            <w:noProof/>
            <w:webHidden/>
          </w:rPr>
        </w:r>
        <w:r w:rsidR="00FD4701">
          <w:rPr>
            <w:noProof/>
            <w:webHidden/>
          </w:rPr>
          <w:fldChar w:fldCharType="separate"/>
        </w:r>
        <w:r w:rsidR="00AD7614">
          <w:rPr>
            <w:noProof/>
            <w:webHidden/>
          </w:rPr>
          <w:t>22</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88" w:history="1">
        <w:r w:rsidR="00844237" w:rsidRPr="00EE2B0B">
          <w:rPr>
            <w:rStyle w:val="Hypertextovodkaz"/>
            <w:noProof/>
          </w:rPr>
          <w:t>6.2</w:t>
        </w:r>
        <w:r w:rsidR="00844237" w:rsidRPr="00CF3A89">
          <w:rPr>
            <w:rFonts w:asciiTheme="minorHAnsi" w:eastAsiaTheme="minorEastAsia" w:hAnsiTheme="minorHAnsi"/>
            <w:noProof/>
            <w:sz w:val="22"/>
          </w:rPr>
          <w:tab/>
        </w:r>
        <w:r w:rsidR="00844237" w:rsidRPr="00EE2B0B">
          <w:rPr>
            <w:rStyle w:val="Hypertextovodkaz"/>
            <w:noProof/>
          </w:rPr>
          <w:t>Posuzování žádosti</w:t>
        </w:r>
        <w:r w:rsidR="00844237">
          <w:rPr>
            <w:noProof/>
            <w:webHidden/>
          </w:rPr>
          <w:tab/>
        </w:r>
        <w:r w:rsidR="00FD4701">
          <w:rPr>
            <w:noProof/>
            <w:webHidden/>
          </w:rPr>
          <w:fldChar w:fldCharType="begin"/>
        </w:r>
        <w:r w:rsidR="00844237">
          <w:rPr>
            <w:noProof/>
            <w:webHidden/>
          </w:rPr>
          <w:instrText xml:space="preserve"> PAGEREF _Toc373858688 \h </w:instrText>
        </w:r>
        <w:r w:rsidR="00FD4701">
          <w:rPr>
            <w:noProof/>
            <w:webHidden/>
          </w:rPr>
        </w:r>
        <w:r w:rsidR="00FD4701">
          <w:rPr>
            <w:noProof/>
            <w:webHidden/>
          </w:rPr>
          <w:fldChar w:fldCharType="separate"/>
        </w:r>
        <w:r w:rsidR="00AD7614">
          <w:rPr>
            <w:noProof/>
            <w:webHidden/>
          </w:rPr>
          <w:t>23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89" w:history="1">
        <w:r w:rsidR="00844237" w:rsidRPr="00EE2B0B">
          <w:rPr>
            <w:rStyle w:val="Hypertextovodkaz"/>
            <w:noProof/>
          </w:rPr>
          <w:t>6.2.1</w:t>
        </w:r>
        <w:r w:rsidR="00844237" w:rsidRPr="00CF3A89">
          <w:rPr>
            <w:rFonts w:asciiTheme="minorHAnsi" w:eastAsiaTheme="minorEastAsia" w:hAnsiTheme="minorHAnsi"/>
            <w:noProof/>
            <w:sz w:val="22"/>
          </w:rPr>
          <w:tab/>
        </w:r>
        <w:r w:rsidR="00844237" w:rsidRPr="00EE2B0B">
          <w:rPr>
            <w:rStyle w:val="Hypertextovodkaz"/>
            <w:noProof/>
          </w:rPr>
          <w:t>Posouzení přijatelnosti projektu</w:t>
        </w:r>
        <w:r w:rsidR="00844237">
          <w:rPr>
            <w:noProof/>
            <w:webHidden/>
          </w:rPr>
          <w:tab/>
        </w:r>
        <w:r w:rsidR="00FD4701">
          <w:rPr>
            <w:noProof/>
            <w:webHidden/>
          </w:rPr>
          <w:fldChar w:fldCharType="begin"/>
        </w:r>
        <w:r w:rsidR="00844237">
          <w:rPr>
            <w:noProof/>
            <w:webHidden/>
          </w:rPr>
          <w:instrText xml:space="preserve"> PAGEREF _Toc373858689 \h </w:instrText>
        </w:r>
        <w:r w:rsidR="00FD4701">
          <w:rPr>
            <w:noProof/>
            <w:webHidden/>
          </w:rPr>
        </w:r>
        <w:r w:rsidR="00FD4701">
          <w:rPr>
            <w:noProof/>
            <w:webHidden/>
          </w:rPr>
          <w:fldChar w:fldCharType="separate"/>
        </w:r>
        <w:r w:rsidR="00AD7614">
          <w:rPr>
            <w:noProof/>
            <w:webHidden/>
          </w:rPr>
          <w:t>23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90" w:history="1">
        <w:r w:rsidR="00844237" w:rsidRPr="00EE2B0B">
          <w:rPr>
            <w:rStyle w:val="Hypertextovodkaz"/>
            <w:noProof/>
          </w:rPr>
          <w:t>6.2.2</w:t>
        </w:r>
        <w:r w:rsidR="00844237" w:rsidRPr="00CF3A89">
          <w:rPr>
            <w:rFonts w:asciiTheme="minorHAnsi" w:eastAsiaTheme="minorEastAsia" w:hAnsiTheme="minorHAnsi"/>
            <w:noProof/>
            <w:sz w:val="22"/>
          </w:rPr>
          <w:tab/>
        </w:r>
        <w:r w:rsidR="00844237" w:rsidRPr="00EE2B0B">
          <w:rPr>
            <w:rStyle w:val="Hypertextovodkaz"/>
            <w:noProof/>
          </w:rPr>
          <w:t>Kontrola formálních náležitostí</w:t>
        </w:r>
        <w:r w:rsidR="00844237">
          <w:rPr>
            <w:noProof/>
            <w:webHidden/>
          </w:rPr>
          <w:tab/>
        </w:r>
        <w:r w:rsidR="00FD4701">
          <w:rPr>
            <w:noProof/>
            <w:webHidden/>
          </w:rPr>
          <w:fldChar w:fldCharType="begin"/>
        </w:r>
        <w:r w:rsidR="00844237">
          <w:rPr>
            <w:noProof/>
            <w:webHidden/>
          </w:rPr>
          <w:instrText xml:space="preserve"> PAGEREF _Toc373858690 \h </w:instrText>
        </w:r>
        <w:r w:rsidR="00FD4701">
          <w:rPr>
            <w:noProof/>
            <w:webHidden/>
          </w:rPr>
        </w:r>
        <w:r w:rsidR="00FD4701">
          <w:rPr>
            <w:noProof/>
            <w:webHidden/>
          </w:rPr>
          <w:fldChar w:fldCharType="separate"/>
        </w:r>
        <w:r w:rsidR="00AD7614">
          <w:rPr>
            <w:noProof/>
            <w:webHidden/>
          </w:rPr>
          <w:t>24</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91" w:history="1">
        <w:r w:rsidR="00844237" w:rsidRPr="00EE2B0B">
          <w:rPr>
            <w:rStyle w:val="Hypertextovodkaz"/>
            <w:noProof/>
          </w:rPr>
          <w:t>6.2.3</w:t>
        </w:r>
        <w:r w:rsidR="00844237" w:rsidRPr="00CF3A89">
          <w:rPr>
            <w:rFonts w:asciiTheme="minorHAnsi" w:eastAsiaTheme="minorEastAsia" w:hAnsiTheme="minorHAnsi"/>
            <w:noProof/>
            <w:sz w:val="22"/>
          </w:rPr>
          <w:tab/>
        </w:r>
        <w:r w:rsidR="00844237" w:rsidRPr="00EE2B0B">
          <w:rPr>
            <w:rStyle w:val="Hypertextovodkaz"/>
            <w:noProof/>
          </w:rPr>
          <w:t>Hodnocení kvality projektů</w:t>
        </w:r>
        <w:r w:rsidR="00844237">
          <w:rPr>
            <w:noProof/>
            <w:webHidden/>
          </w:rPr>
          <w:tab/>
        </w:r>
        <w:r w:rsidR="00FD4701">
          <w:rPr>
            <w:noProof/>
            <w:webHidden/>
          </w:rPr>
          <w:fldChar w:fldCharType="begin"/>
        </w:r>
        <w:r w:rsidR="00844237">
          <w:rPr>
            <w:noProof/>
            <w:webHidden/>
          </w:rPr>
          <w:instrText xml:space="preserve"> PAGEREF _Toc373858691 \h </w:instrText>
        </w:r>
        <w:r w:rsidR="00FD4701">
          <w:rPr>
            <w:noProof/>
            <w:webHidden/>
          </w:rPr>
        </w:r>
        <w:r w:rsidR="00FD4701">
          <w:rPr>
            <w:noProof/>
            <w:webHidden/>
          </w:rPr>
          <w:fldChar w:fldCharType="separate"/>
        </w:r>
        <w:r w:rsidR="00AD7614">
          <w:rPr>
            <w:noProof/>
            <w:webHidden/>
          </w:rPr>
          <w:t>24</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92" w:history="1">
        <w:r w:rsidR="00844237" w:rsidRPr="00EE2B0B">
          <w:rPr>
            <w:rStyle w:val="Hypertextovodkaz"/>
            <w:noProof/>
          </w:rPr>
          <w:t>6.2.4</w:t>
        </w:r>
        <w:r w:rsidR="00844237" w:rsidRPr="00CF3A89">
          <w:rPr>
            <w:rFonts w:asciiTheme="minorHAnsi" w:eastAsiaTheme="minorEastAsia" w:hAnsiTheme="minorHAnsi"/>
            <w:noProof/>
            <w:sz w:val="22"/>
          </w:rPr>
          <w:tab/>
        </w:r>
        <w:r w:rsidR="00844237" w:rsidRPr="00EE2B0B">
          <w:rPr>
            <w:rStyle w:val="Hypertextovodkaz"/>
            <w:noProof/>
          </w:rPr>
          <w:t>Ex-ante analýza rizik a kontrola ex-ante</w:t>
        </w:r>
        <w:r w:rsidR="00844237">
          <w:rPr>
            <w:noProof/>
            <w:webHidden/>
          </w:rPr>
          <w:tab/>
        </w:r>
        <w:r w:rsidR="00FD4701">
          <w:rPr>
            <w:noProof/>
            <w:webHidden/>
          </w:rPr>
          <w:fldChar w:fldCharType="begin"/>
        </w:r>
        <w:r w:rsidR="00844237">
          <w:rPr>
            <w:noProof/>
            <w:webHidden/>
          </w:rPr>
          <w:instrText xml:space="preserve"> PAGEREF _Toc373858692 \h </w:instrText>
        </w:r>
        <w:r w:rsidR="00FD4701">
          <w:rPr>
            <w:noProof/>
            <w:webHidden/>
          </w:rPr>
        </w:r>
        <w:r w:rsidR="00FD4701">
          <w:rPr>
            <w:noProof/>
            <w:webHidden/>
          </w:rPr>
          <w:fldChar w:fldCharType="separate"/>
        </w:r>
        <w:r w:rsidR="00AD7614">
          <w:rPr>
            <w:noProof/>
            <w:webHidden/>
          </w:rPr>
          <w:t>26</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93" w:history="1">
        <w:r w:rsidR="00844237" w:rsidRPr="00EE2B0B">
          <w:rPr>
            <w:rStyle w:val="Hypertextovodkaz"/>
            <w:noProof/>
          </w:rPr>
          <w:t>6.2.5</w:t>
        </w:r>
        <w:r w:rsidR="00844237" w:rsidRPr="00CF3A89">
          <w:rPr>
            <w:rFonts w:asciiTheme="minorHAnsi" w:eastAsiaTheme="minorEastAsia" w:hAnsiTheme="minorHAnsi"/>
            <w:noProof/>
            <w:sz w:val="22"/>
          </w:rPr>
          <w:tab/>
        </w:r>
        <w:r w:rsidR="00844237" w:rsidRPr="00EE2B0B">
          <w:rPr>
            <w:rStyle w:val="Hypertextovodkaz"/>
            <w:noProof/>
          </w:rPr>
          <w:t>Schvalování projektů</w:t>
        </w:r>
        <w:r w:rsidR="00844237">
          <w:rPr>
            <w:noProof/>
            <w:webHidden/>
          </w:rPr>
          <w:tab/>
        </w:r>
        <w:r w:rsidR="00FD4701">
          <w:rPr>
            <w:noProof/>
            <w:webHidden/>
          </w:rPr>
          <w:fldChar w:fldCharType="begin"/>
        </w:r>
        <w:r w:rsidR="00844237">
          <w:rPr>
            <w:noProof/>
            <w:webHidden/>
          </w:rPr>
          <w:instrText xml:space="preserve"> PAGEREF _Toc373858693 \h </w:instrText>
        </w:r>
        <w:r w:rsidR="00FD4701">
          <w:rPr>
            <w:noProof/>
            <w:webHidden/>
          </w:rPr>
        </w:r>
        <w:r w:rsidR="00FD4701">
          <w:rPr>
            <w:noProof/>
            <w:webHidden/>
          </w:rPr>
          <w:fldChar w:fldCharType="separate"/>
        </w:r>
        <w:r w:rsidR="00AD7614">
          <w:rPr>
            <w:noProof/>
            <w:webHidden/>
          </w:rPr>
          <w:t>27</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694" w:history="1">
        <w:r w:rsidR="00844237" w:rsidRPr="00EE2B0B">
          <w:rPr>
            <w:rStyle w:val="Hypertextovodkaz"/>
            <w:noProof/>
          </w:rPr>
          <w:t>6.2.6</w:t>
        </w:r>
        <w:r w:rsidR="00844237" w:rsidRPr="00CF3A89">
          <w:rPr>
            <w:rFonts w:asciiTheme="minorHAnsi" w:eastAsiaTheme="minorEastAsia" w:hAnsiTheme="minorHAnsi"/>
            <w:noProof/>
            <w:sz w:val="22"/>
          </w:rPr>
          <w:tab/>
        </w:r>
        <w:r w:rsidR="00844237" w:rsidRPr="00EE2B0B">
          <w:rPr>
            <w:rStyle w:val="Hypertextovodkaz"/>
            <w:noProof/>
          </w:rPr>
          <w:t>Vydání právního aktu, řídicí dokumentace a Podmínek</w:t>
        </w:r>
        <w:r w:rsidR="00844237">
          <w:rPr>
            <w:noProof/>
            <w:webHidden/>
          </w:rPr>
          <w:tab/>
        </w:r>
        <w:r w:rsidR="00FD4701">
          <w:rPr>
            <w:noProof/>
            <w:webHidden/>
          </w:rPr>
          <w:fldChar w:fldCharType="begin"/>
        </w:r>
        <w:r w:rsidR="00844237">
          <w:rPr>
            <w:noProof/>
            <w:webHidden/>
          </w:rPr>
          <w:instrText xml:space="preserve"> PAGEREF _Toc373858694 \h </w:instrText>
        </w:r>
        <w:r w:rsidR="00FD4701">
          <w:rPr>
            <w:noProof/>
            <w:webHidden/>
          </w:rPr>
        </w:r>
        <w:r w:rsidR="00FD4701">
          <w:rPr>
            <w:noProof/>
            <w:webHidden/>
          </w:rPr>
          <w:fldChar w:fldCharType="separate"/>
        </w:r>
        <w:r w:rsidR="00AD7614">
          <w:rPr>
            <w:noProof/>
            <w:webHidden/>
          </w:rPr>
          <w:t>27</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695" w:history="1">
        <w:r w:rsidR="00844237" w:rsidRPr="00EE2B0B">
          <w:rPr>
            <w:rStyle w:val="Hypertextovodkaz"/>
          </w:rPr>
          <w:t>7</w:t>
        </w:r>
        <w:r w:rsidR="00844237" w:rsidRPr="00CF3A89">
          <w:rPr>
            <w:rFonts w:asciiTheme="minorHAnsi" w:eastAsiaTheme="minorEastAsia" w:hAnsiTheme="minorHAnsi"/>
            <w:b w:val="0"/>
            <w:sz w:val="22"/>
          </w:rPr>
          <w:tab/>
        </w:r>
        <w:r w:rsidR="00844237" w:rsidRPr="00EE2B0B">
          <w:rPr>
            <w:rStyle w:val="Hypertextovodkaz"/>
          </w:rPr>
          <w:t>Realizace projektu</w:t>
        </w:r>
        <w:r w:rsidR="00844237">
          <w:rPr>
            <w:webHidden/>
          </w:rPr>
          <w:tab/>
        </w:r>
        <w:r w:rsidR="00FD4701">
          <w:rPr>
            <w:webHidden/>
          </w:rPr>
          <w:fldChar w:fldCharType="begin"/>
        </w:r>
        <w:r w:rsidR="00844237">
          <w:rPr>
            <w:webHidden/>
          </w:rPr>
          <w:instrText xml:space="preserve"> PAGEREF _Toc373858695 \h </w:instrText>
        </w:r>
        <w:r w:rsidR="00FD4701">
          <w:rPr>
            <w:webHidden/>
          </w:rPr>
        </w:r>
        <w:r w:rsidR="00FD4701">
          <w:rPr>
            <w:webHidden/>
          </w:rPr>
          <w:fldChar w:fldCharType="separate"/>
        </w:r>
        <w:r w:rsidR="00AD7614">
          <w:rPr>
            <w:webHidden/>
          </w:rPr>
          <w:t>29</w:t>
        </w:r>
        <w:r w:rsidR="00FD4701">
          <w:rPr>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96" w:history="1">
        <w:r w:rsidR="00844237" w:rsidRPr="00EE2B0B">
          <w:rPr>
            <w:rStyle w:val="Hypertextovodkaz"/>
            <w:noProof/>
          </w:rPr>
          <w:t>7.1</w:t>
        </w:r>
        <w:r w:rsidR="00844237" w:rsidRPr="00CF3A89">
          <w:rPr>
            <w:rFonts w:asciiTheme="minorHAnsi" w:eastAsiaTheme="minorEastAsia" w:hAnsiTheme="minorHAnsi"/>
            <w:noProof/>
            <w:sz w:val="22"/>
          </w:rPr>
          <w:tab/>
        </w:r>
        <w:r w:rsidR="00844237" w:rsidRPr="00EE2B0B">
          <w:rPr>
            <w:rStyle w:val="Hypertextovodkaz"/>
            <w:noProof/>
          </w:rPr>
          <w:t>Termíny přípravy a realizace projektu, uvedené ve Stanovení výdajů</w:t>
        </w:r>
        <w:r w:rsidR="00844237">
          <w:rPr>
            <w:noProof/>
            <w:webHidden/>
          </w:rPr>
          <w:tab/>
        </w:r>
        <w:r w:rsidR="00FD4701">
          <w:rPr>
            <w:noProof/>
            <w:webHidden/>
          </w:rPr>
          <w:fldChar w:fldCharType="begin"/>
        </w:r>
        <w:r w:rsidR="00844237">
          <w:rPr>
            <w:noProof/>
            <w:webHidden/>
          </w:rPr>
          <w:instrText xml:space="preserve"> PAGEREF _Toc373858696 \h </w:instrText>
        </w:r>
        <w:r w:rsidR="00FD4701">
          <w:rPr>
            <w:noProof/>
            <w:webHidden/>
          </w:rPr>
        </w:r>
        <w:r w:rsidR="00FD4701">
          <w:rPr>
            <w:noProof/>
            <w:webHidden/>
          </w:rPr>
          <w:fldChar w:fldCharType="separate"/>
        </w:r>
        <w:r w:rsidR="00AD7614">
          <w:rPr>
            <w:noProof/>
            <w:webHidden/>
          </w:rPr>
          <w:t>29</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97" w:history="1">
        <w:r w:rsidR="00844237" w:rsidRPr="00EE2B0B">
          <w:rPr>
            <w:rStyle w:val="Hypertextovodkaz"/>
            <w:noProof/>
          </w:rPr>
          <w:t>7.2</w:t>
        </w:r>
        <w:r w:rsidR="00844237" w:rsidRPr="00CF3A89">
          <w:rPr>
            <w:rFonts w:asciiTheme="minorHAnsi" w:eastAsiaTheme="minorEastAsia" w:hAnsiTheme="minorHAnsi"/>
            <w:noProof/>
            <w:sz w:val="22"/>
          </w:rPr>
          <w:tab/>
        </w:r>
        <w:r w:rsidR="00844237" w:rsidRPr="00EE2B0B">
          <w:rPr>
            <w:rStyle w:val="Hypertextovodkaz"/>
            <w:noProof/>
          </w:rPr>
          <w:t>Povinnosti příjemců</w:t>
        </w:r>
        <w:r w:rsidR="00844237">
          <w:rPr>
            <w:noProof/>
            <w:webHidden/>
          </w:rPr>
          <w:tab/>
        </w:r>
        <w:r w:rsidR="00FD4701">
          <w:rPr>
            <w:noProof/>
            <w:webHidden/>
          </w:rPr>
          <w:fldChar w:fldCharType="begin"/>
        </w:r>
        <w:r w:rsidR="00844237">
          <w:rPr>
            <w:noProof/>
            <w:webHidden/>
          </w:rPr>
          <w:instrText xml:space="preserve"> PAGEREF _Toc373858697 \h </w:instrText>
        </w:r>
        <w:r w:rsidR="00FD4701">
          <w:rPr>
            <w:noProof/>
            <w:webHidden/>
          </w:rPr>
        </w:r>
        <w:r w:rsidR="00FD4701">
          <w:rPr>
            <w:noProof/>
            <w:webHidden/>
          </w:rPr>
          <w:fldChar w:fldCharType="separate"/>
        </w:r>
        <w:r w:rsidR="00AD7614">
          <w:rPr>
            <w:noProof/>
            <w:webHidden/>
          </w:rPr>
          <w:t>29</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98" w:history="1">
        <w:r w:rsidR="00844237" w:rsidRPr="00EE2B0B">
          <w:rPr>
            <w:rStyle w:val="Hypertextovodkaz"/>
            <w:noProof/>
          </w:rPr>
          <w:t>7.3</w:t>
        </w:r>
        <w:r w:rsidR="00844237" w:rsidRPr="00CF3A89">
          <w:rPr>
            <w:rFonts w:asciiTheme="minorHAnsi" w:eastAsiaTheme="minorEastAsia" w:hAnsiTheme="minorHAnsi"/>
            <w:noProof/>
            <w:sz w:val="22"/>
          </w:rPr>
          <w:tab/>
        </w:r>
        <w:r w:rsidR="00844237" w:rsidRPr="00EE2B0B">
          <w:rPr>
            <w:rStyle w:val="Hypertextovodkaz"/>
            <w:noProof/>
          </w:rPr>
          <w:t>Vedení účetnictví</w:t>
        </w:r>
        <w:r w:rsidR="00844237">
          <w:rPr>
            <w:noProof/>
            <w:webHidden/>
          </w:rPr>
          <w:tab/>
        </w:r>
        <w:r w:rsidR="00FD4701">
          <w:rPr>
            <w:noProof/>
            <w:webHidden/>
          </w:rPr>
          <w:fldChar w:fldCharType="begin"/>
        </w:r>
        <w:r w:rsidR="00844237">
          <w:rPr>
            <w:noProof/>
            <w:webHidden/>
          </w:rPr>
          <w:instrText xml:space="preserve"> PAGEREF _Toc373858698 \h </w:instrText>
        </w:r>
        <w:r w:rsidR="00FD4701">
          <w:rPr>
            <w:noProof/>
            <w:webHidden/>
          </w:rPr>
        </w:r>
        <w:r w:rsidR="00FD4701">
          <w:rPr>
            <w:noProof/>
            <w:webHidden/>
          </w:rPr>
          <w:fldChar w:fldCharType="separate"/>
        </w:r>
        <w:r w:rsidR="00AD7614">
          <w:rPr>
            <w:noProof/>
            <w:webHidden/>
          </w:rPr>
          <w:t>31</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699" w:history="1">
        <w:r w:rsidR="00844237" w:rsidRPr="00EE2B0B">
          <w:rPr>
            <w:rStyle w:val="Hypertextovodkaz"/>
            <w:noProof/>
          </w:rPr>
          <w:t>7.4</w:t>
        </w:r>
        <w:r w:rsidR="00844237" w:rsidRPr="00CF3A89">
          <w:rPr>
            <w:rFonts w:asciiTheme="minorHAnsi" w:eastAsiaTheme="minorEastAsia" w:hAnsiTheme="minorHAnsi"/>
            <w:noProof/>
            <w:sz w:val="22"/>
          </w:rPr>
          <w:tab/>
        </w:r>
        <w:r w:rsidR="00844237" w:rsidRPr="00EE2B0B">
          <w:rPr>
            <w:rStyle w:val="Hypertextovodkaz"/>
            <w:noProof/>
          </w:rPr>
          <w:t>Archivace</w:t>
        </w:r>
        <w:r w:rsidR="00844237">
          <w:rPr>
            <w:noProof/>
            <w:webHidden/>
          </w:rPr>
          <w:tab/>
        </w:r>
        <w:r w:rsidR="00FD4701">
          <w:rPr>
            <w:noProof/>
            <w:webHidden/>
          </w:rPr>
          <w:fldChar w:fldCharType="begin"/>
        </w:r>
        <w:r w:rsidR="00844237">
          <w:rPr>
            <w:noProof/>
            <w:webHidden/>
          </w:rPr>
          <w:instrText xml:space="preserve"> PAGEREF _Toc373858699 \h </w:instrText>
        </w:r>
        <w:r w:rsidR="00FD4701">
          <w:rPr>
            <w:noProof/>
            <w:webHidden/>
          </w:rPr>
        </w:r>
        <w:r w:rsidR="00FD4701">
          <w:rPr>
            <w:noProof/>
            <w:webHidden/>
          </w:rPr>
          <w:fldChar w:fldCharType="separate"/>
        </w:r>
        <w:r w:rsidR="00AD7614">
          <w:rPr>
            <w:noProof/>
            <w:webHidden/>
          </w:rPr>
          <w:t>31</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0" w:history="1">
        <w:r w:rsidR="00844237" w:rsidRPr="00EE2B0B">
          <w:rPr>
            <w:rStyle w:val="Hypertextovodkaz"/>
            <w:noProof/>
          </w:rPr>
          <w:t>7.5</w:t>
        </w:r>
        <w:r w:rsidR="00844237" w:rsidRPr="00CF3A89">
          <w:rPr>
            <w:rFonts w:asciiTheme="minorHAnsi" w:eastAsiaTheme="minorEastAsia" w:hAnsiTheme="minorHAnsi"/>
            <w:noProof/>
            <w:sz w:val="22"/>
          </w:rPr>
          <w:tab/>
        </w:r>
        <w:r w:rsidR="00844237" w:rsidRPr="00EE2B0B">
          <w:rPr>
            <w:rStyle w:val="Hypertextovodkaz"/>
            <w:noProof/>
          </w:rPr>
          <w:t>Informování o projektu, propagace projektu</w:t>
        </w:r>
        <w:r w:rsidR="00844237">
          <w:rPr>
            <w:noProof/>
            <w:webHidden/>
          </w:rPr>
          <w:tab/>
        </w:r>
        <w:r w:rsidR="00FD4701">
          <w:rPr>
            <w:noProof/>
            <w:webHidden/>
          </w:rPr>
          <w:fldChar w:fldCharType="begin"/>
        </w:r>
        <w:r w:rsidR="00844237">
          <w:rPr>
            <w:noProof/>
            <w:webHidden/>
          </w:rPr>
          <w:instrText xml:space="preserve"> PAGEREF _Toc373858700 \h </w:instrText>
        </w:r>
        <w:r w:rsidR="00FD4701">
          <w:rPr>
            <w:noProof/>
            <w:webHidden/>
          </w:rPr>
        </w:r>
        <w:r w:rsidR="00FD4701">
          <w:rPr>
            <w:noProof/>
            <w:webHidden/>
          </w:rPr>
          <w:fldChar w:fldCharType="separate"/>
        </w:r>
        <w:r w:rsidR="00AD7614">
          <w:rPr>
            <w:noProof/>
            <w:webHidden/>
          </w:rPr>
          <w:t>32</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1" w:history="1">
        <w:r w:rsidR="00844237" w:rsidRPr="00EE2B0B">
          <w:rPr>
            <w:rStyle w:val="Hypertextovodkaz"/>
            <w:noProof/>
          </w:rPr>
          <w:t>7.6</w:t>
        </w:r>
        <w:r w:rsidR="00844237" w:rsidRPr="00CF3A89">
          <w:rPr>
            <w:rFonts w:asciiTheme="minorHAnsi" w:eastAsiaTheme="minorEastAsia" w:hAnsiTheme="minorHAnsi"/>
            <w:noProof/>
            <w:sz w:val="22"/>
          </w:rPr>
          <w:tab/>
        </w:r>
        <w:r w:rsidR="00844237" w:rsidRPr="00EE2B0B">
          <w:rPr>
            <w:rStyle w:val="Hypertextovodkaz"/>
            <w:noProof/>
          </w:rPr>
          <w:t>Podmínky pro zadávání zakázek</w:t>
        </w:r>
        <w:r w:rsidR="00844237">
          <w:rPr>
            <w:noProof/>
            <w:webHidden/>
          </w:rPr>
          <w:tab/>
        </w:r>
        <w:r w:rsidR="00FD4701">
          <w:rPr>
            <w:noProof/>
            <w:webHidden/>
          </w:rPr>
          <w:fldChar w:fldCharType="begin"/>
        </w:r>
        <w:r w:rsidR="00844237">
          <w:rPr>
            <w:noProof/>
            <w:webHidden/>
          </w:rPr>
          <w:instrText xml:space="preserve"> PAGEREF _Toc373858701 \h </w:instrText>
        </w:r>
        <w:r w:rsidR="00FD4701">
          <w:rPr>
            <w:noProof/>
            <w:webHidden/>
          </w:rPr>
        </w:r>
        <w:r w:rsidR="00FD4701">
          <w:rPr>
            <w:noProof/>
            <w:webHidden/>
          </w:rPr>
          <w:fldChar w:fldCharType="separate"/>
        </w:r>
        <w:r w:rsidR="00AD7614">
          <w:rPr>
            <w:noProof/>
            <w:webHidden/>
          </w:rPr>
          <w:t>33</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2" w:history="1">
        <w:r w:rsidR="00844237" w:rsidRPr="00EE2B0B">
          <w:rPr>
            <w:rStyle w:val="Hypertextovodkaz"/>
            <w:noProof/>
          </w:rPr>
          <w:t>7.7</w:t>
        </w:r>
        <w:r w:rsidR="00844237" w:rsidRPr="00CF3A89">
          <w:rPr>
            <w:rFonts w:asciiTheme="minorHAnsi" w:eastAsiaTheme="minorEastAsia" w:hAnsiTheme="minorHAnsi"/>
            <w:noProof/>
            <w:sz w:val="22"/>
          </w:rPr>
          <w:tab/>
        </w:r>
        <w:r w:rsidR="00844237" w:rsidRPr="00EE2B0B">
          <w:rPr>
            <w:rStyle w:val="Hypertextovodkaz"/>
            <w:noProof/>
          </w:rPr>
          <w:t>Monitorování postupu projektů</w:t>
        </w:r>
        <w:r w:rsidR="00844237">
          <w:rPr>
            <w:noProof/>
            <w:webHidden/>
          </w:rPr>
          <w:tab/>
        </w:r>
        <w:r w:rsidR="00FD4701">
          <w:rPr>
            <w:noProof/>
            <w:webHidden/>
          </w:rPr>
          <w:fldChar w:fldCharType="begin"/>
        </w:r>
        <w:r w:rsidR="00844237">
          <w:rPr>
            <w:noProof/>
            <w:webHidden/>
          </w:rPr>
          <w:instrText xml:space="preserve"> PAGEREF _Toc373858702 \h </w:instrText>
        </w:r>
        <w:r w:rsidR="00FD4701">
          <w:rPr>
            <w:noProof/>
            <w:webHidden/>
          </w:rPr>
        </w:r>
        <w:r w:rsidR="00FD4701">
          <w:rPr>
            <w:noProof/>
            <w:webHidden/>
          </w:rPr>
          <w:fldChar w:fldCharType="separate"/>
        </w:r>
        <w:r w:rsidR="00AD7614">
          <w:rPr>
            <w:noProof/>
            <w:webHidden/>
          </w:rPr>
          <w:t>39</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3" w:history="1">
        <w:r w:rsidR="00844237" w:rsidRPr="00EE2B0B">
          <w:rPr>
            <w:rStyle w:val="Hypertextovodkaz"/>
            <w:noProof/>
          </w:rPr>
          <w:t>7.8</w:t>
        </w:r>
        <w:r w:rsidR="00844237" w:rsidRPr="00CF3A89">
          <w:rPr>
            <w:rFonts w:asciiTheme="minorHAnsi" w:eastAsiaTheme="minorEastAsia" w:hAnsiTheme="minorHAnsi"/>
            <w:noProof/>
            <w:sz w:val="22"/>
          </w:rPr>
          <w:tab/>
        </w:r>
        <w:r w:rsidR="00844237" w:rsidRPr="00EE2B0B">
          <w:rPr>
            <w:rStyle w:val="Hypertextovodkaz"/>
            <w:noProof/>
          </w:rPr>
          <w:t>Změny v projektu, změny Stanovení výdajů</w:t>
        </w:r>
        <w:r w:rsidR="00844237">
          <w:rPr>
            <w:noProof/>
            <w:webHidden/>
          </w:rPr>
          <w:tab/>
        </w:r>
        <w:r w:rsidR="00FD4701">
          <w:rPr>
            <w:noProof/>
            <w:webHidden/>
          </w:rPr>
          <w:fldChar w:fldCharType="begin"/>
        </w:r>
        <w:r w:rsidR="00844237">
          <w:rPr>
            <w:noProof/>
            <w:webHidden/>
          </w:rPr>
          <w:instrText xml:space="preserve"> PAGEREF _Toc373858703 \h </w:instrText>
        </w:r>
        <w:r w:rsidR="00FD4701">
          <w:rPr>
            <w:noProof/>
            <w:webHidden/>
          </w:rPr>
        </w:r>
        <w:r w:rsidR="00FD4701">
          <w:rPr>
            <w:noProof/>
            <w:webHidden/>
          </w:rPr>
          <w:fldChar w:fldCharType="separate"/>
        </w:r>
        <w:r w:rsidR="00AD7614">
          <w:rPr>
            <w:noProof/>
            <w:webHidden/>
          </w:rPr>
          <w:t>41</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4" w:history="1">
        <w:r w:rsidR="00844237" w:rsidRPr="00EE2B0B">
          <w:rPr>
            <w:rStyle w:val="Hypertextovodkaz"/>
            <w:noProof/>
          </w:rPr>
          <w:t>7.9</w:t>
        </w:r>
        <w:r w:rsidR="00844237" w:rsidRPr="00CF3A89">
          <w:rPr>
            <w:rFonts w:asciiTheme="minorHAnsi" w:eastAsiaTheme="minorEastAsia" w:hAnsiTheme="minorHAnsi"/>
            <w:noProof/>
            <w:sz w:val="22"/>
          </w:rPr>
          <w:tab/>
        </w:r>
        <w:r w:rsidR="00844237" w:rsidRPr="00EE2B0B">
          <w:rPr>
            <w:rStyle w:val="Hypertextovodkaz"/>
            <w:noProof/>
          </w:rPr>
          <w:t>Odstoupení od realizace projektu</w:t>
        </w:r>
        <w:r w:rsidR="00844237">
          <w:rPr>
            <w:noProof/>
            <w:webHidden/>
          </w:rPr>
          <w:tab/>
        </w:r>
        <w:r w:rsidR="00FD4701">
          <w:rPr>
            <w:noProof/>
            <w:webHidden/>
          </w:rPr>
          <w:fldChar w:fldCharType="begin"/>
        </w:r>
        <w:r w:rsidR="00844237">
          <w:rPr>
            <w:noProof/>
            <w:webHidden/>
          </w:rPr>
          <w:instrText xml:space="preserve"> PAGEREF _Toc373858704 \h </w:instrText>
        </w:r>
        <w:r w:rsidR="00FD4701">
          <w:rPr>
            <w:noProof/>
            <w:webHidden/>
          </w:rPr>
        </w:r>
        <w:r w:rsidR="00FD4701">
          <w:rPr>
            <w:noProof/>
            <w:webHidden/>
          </w:rPr>
          <w:fldChar w:fldCharType="separate"/>
        </w:r>
        <w:r w:rsidR="00AD7614">
          <w:rPr>
            <w:noProof/>
            <w:webHidden/>
          </w:rPr>
          <w:t>43</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5" w:history="1">
        <w:r w:rsidR="00844237" w:rsidRPr="00EE2B0B">
          <w:rPr>
            <w:rStyle w:val="Hypertextovodkaz"/>
            <w:noProof/>
          </w:rPr>
          <w:t>7.10</w:t>
        </w:r>
        <w:r w:rsidR="00844237" w:rsidRPr="00CF3A89">
          <w:rPr>
            <w:rFonts w:asciiTheme="minorHAnsi" w:eastAsiaTheme="minorEastAsia" w:hAnsiTheme="minorHAnsi"/>
            <w:noProof/>
            <w:sz w:val="22"/>
          </w:rPr>
          <w:tab/>
        </w:r>
        <w:r w:rsidR="00844237" w:rsidRPr="00EE2B0B">
          <w:rPr>
            <w:rStyle w:val="Hypertextovodkaz"/>
            <w:noProof/>
          </w:rPr>
          <w:t>Nesrovnalosti, porušení rozpočtové kázně, porušení Stanovení výdajů nebo Podmínek</w:t>
        </w:r>
        <w:r w:rsidR="00844237">
          <w:rPr>
            <w:noProof/>
            <w:webHidden/>
          </w:rPr>
          <w:tab/>
        </w:r>
        <w:r w:rsidR="00FD4701">
          <w:rPr>
            <w:noProof/>
            <w:webHidden/>
          </w:rPr>
          <w:fldChar w:fldCharType="begin"/>
        </w:r>
        <w:r w:rsidR="00844237">
          <w:rPr>
            <w:noProof/>
            <w:webHidden/>
          </w:rPr>
          <w:instrText xml:space="preserve"> PAGEREF _Toc373858705 \h </w:instrText>
        </w:r>
        <w:r w:rsidR="00FD4701">
          <w:rPr>
            <w:noProof/>
            <w:webHidden/>
          </w:rPr>
        </w:r>
        <w:r w:rsidR="00FD4701">
          <w:rPr>
            <w:noProof/>
            <w:webHidden/>
          </w:rPr>
          <w:fldChar w:fldCharType="separate"/>
        </w:r>
        <w:r w:rsidR="00AD7614">
          <w:rPr>
            <w:noProof/>
            <w:webHidden/>
          </w:rPr>
          <w:t>44</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06" w:history="1">
        <w:r w:rsidR="00844237" w:rsidRPr="00EE2B0B">
          <w:rPr>
            <w:rStyle w:val="Hypertextovodkaz"/>
            <w:noProof/>
          </w:rPr>
          <w:t>7.11</w:t>
        </w:r>
        <w:r w:rsidR="00844237" w:rsidRPr="00CF3A89">
          <w:rPr>
            <w:rFonts w:asciiTheme="minorHAnsi" w:eastAsiaTheme="minorEastAsia" w:hAnsiTheme="minorHAnsi"/>
            <w:noProof/>
            <w:sz w:val="22"/>
          </w:rPr>
          <w:tab/>
        </w:r>
        <w:r w:rsidR="00844237" w:rsidRPr="00EE2B0B">
          <w:rPr>
            <w:rStyle w:val="Hypertextovodkaz"/>
            <w:noProof/>
          </w:rPr>
          <w:t>Čerpání dotace</w:t>
        </w:r>
        <w:r w:rsidR="00844237">
          <w:rPr>
            <w:noProof/>
            <w:webHidden/>
          </w:rPr>
          <w:tab/>
        </w:r>
        <w:r w:rsidR="00FD4701">
          <w:rPr>
            <w:noProof/>
            <w:webHidden/>
          </w:rPr>
          <w:fldChar w:fldCharType="begin"/>
        </w:r>
        <w:r w:rsidR="00844237">
          <w:rPr>
            <w:noProof/>
            <w:webHidden/>
          </w:rPr>
          <w:instrText xml:space="preserve"> PAGEREF _Toc373858706 \h </w:instrText>
        </w:r>
        <w:r w:rsidR="00FD4701">
          <w:rPr>
            <w:noProof/>
            <w:webHidden/>
          </w:rPr>
        </w:r>
        <w:r w:rsidR="00FD4701">
          <w:rPr>
            <w:noProof/>
            <w:webHidden/>
          </w:rPr>
          <w:fldChar w:fldCharType="separate"/>
        </w:r>
        <w:r w:rsidR="00AD7614">
          <w:rPr>
            <w:noProof/>
            <w:webHidden/>
          </w:rPr>
          <w:t>45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07" w:history="1">
        <w:r w:rsidR="00844237" w:rsidRPr="00EE2B0B">
          <w:rPr>
            <w:rStyle w:val="Hypertextovodkaz"/>
            <w:noProof/>
          </w:rPr>
          <w:t>7.11.1</w:t>
        </w:r>
        <w:r w:rsidR="00844237" w:rsidRPr="00CF3A89">
          <w:rPr>
            <w:rFonts w:asciiTheme="minorHAnsi" w:eastAsiaTheme="minorEastAsia" w:hAnsiTheme="minorHAnsi"/>
            <w:noProof/>
            <w:sz w:val="22"/>
          </w:rPr>
          <w:tab/>
        </w:r>
        <w:r w:rsidR="00844237" w:rsidRPr="00EE2B0B">
          <w:rPr>
            <w:rStyle w:val="Hypertextovodkaz"/>
            <w:noProof/>
          </w:rPr>
          <w:t>Zřízení účtu pro projekt</w:t>
        </w:r>
        <w:r w:rsidR="00844237">
          <w:rPr>
            <w:noProof/>
            <w:webHidden/>
          </w:rPr>
          <w:tab/>
        </w:r>
        <w:r w:rsidR="00FD4701">
          <w:rPr>
            <w:noProof/>
            <w:webHidden/>
          </w:rPr>
          <w:fldChar w:fldCharType="begin"/>
        </w:r>
        <w:r w:rsidR="00844237">
          <w:rPr>
            <w:noProof/>
            <w:webHidden/>
          </w:rPr>
          <w:instrText xml:space="preserve"> PAGEREF _Toc373858707 \h </w:instrText>
        </w:r>
        <w:r w:rsidR="00FD4701">
          <w:rPr>
            <w:noProof/>
            <w:webHidden/>
          </w:rPr>
        </w:r>
        <w:r w:rsidR="00FD4701">
          <w:rPr>
            <w:noProof/>
            <w:webHidden/>
          </w:rPr>
          <w:fldChar w:fldCharType="separate"/>
        </w:r>
        <w:r w:rsidR="00AD7614">
          <w:rPr>
            <w:noProof/>
            <w:webHidden/>
          </w:rPr>
          <w:t>45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08" w:history="1">
        <w:r w:rsidR="00844237" w:rsidRPr="00EE2B0B">
          <w:rPr>
            <w:rStyle w:val="Hypertextovodkaz"/>
            <w:noProof/>
          </w:rPr>
          <w:t>7.11.2</w:t>
        </w:r>
        <w:r w:rsidR="00844237" w:rsidRPr="00CF3A89">
          <w:rPr>
            <w:rFonts w:asciiTheme="minorHAnsi" w:eastAsiaTheme="minorEastAsia" w:hAnsiTheme="minorHAnsi"/>
            <w:noProof/>
            <w:sz w:val="22"/>
          </w:rPr>
          <w:tab/>
        </w:r>
        <w:r w:rsidR="00844237" w:rsidRPr="00EE2B0B">
          <w:rPr>
            <w:rStyle w:val="Hypertextovodkaz"/>
            <w:noProof/>
          </w:rPr>
          <w:t>Rozpočtování</w:t>
        </w:r>
        <w:r w:rsidR="00844237">
          <w:rPr>
            <w:noProof/>
            <w:webHidden/>
          </w:rPr>
          <w:tab/>
        </w:r>
        <w:r w:rsidR="00FD4701">
          <w:rPr>
            <w:noProof/>
            <w:webHidden/>
          </w:rPr>
          <w:fldChar w:fldCharType="begin"/>
        </w:r>
        <w:r w:rsidR="00844237">
          <w:rPr>
            <w:noProof/>
            <w:webHidden/>
          </w:rPr>
          <w:instrText xml:space="preserve"> PAGEREF _Toc373858708 \h </w:instrText>
        </w:r>
        <w:r w:rsidR="00FD4701">
          <w:rPr>
            <w:noProof/>
            <w:webHidden/>
          </w:rPr>
        </w:r>
        <w:r w:rsidR="00FD4701">
          <w:rPr>
            <w:noProof/>
            <w:webHidden/>
          </w:rPr>
          <w:fldChar w:fldCharType="separate"/>
        </w:r>
        <w:r w:rsidR="00AD7614">
          <w:rPr>
            <w:noProof/>
            <w:webHidden/>
          </w:rPr>
          <w:t>45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09" w:history="1">
        <w:r w:rsidR="00844237" w:rsidRPr="00EE2B0B">
          <w:rPr>
            <w:rStyle w:val="Hypertextovodkaz"/>
            <w:rFonts w:cs="Times New Roman"/>
            <w:noProof/>
          </w:rPr>
          <w:t>7.11.3</w:t>
        </w:r>
        <w:r w:rsidR="00844237" w:rsidRPr="00CF3A89">
          <w:rPr>
            <w:rFonts w:asciiTheme="minorHAnsi" w:eastAsiaTheme="minorEastAsia" w:hAnsiTheme="minorHAnsi"/>
            <w:noProof/>
            <w:sz w:val="22"/>
          </w:rPr>
          <w:tab/>
        </w:r>
        <w:r w:rsidR="00844237" w:rsidRPr="00EE2B0B">
          <w:rPr>
            <w:rStyle w:val="Hypertextovodkaz"/>
            <w:noProof/>
          </w:rPr>
          <w:t>Způsob financování</w:t>
        </w:r>
        <w:r w:rsidR="00844237">
          <w:rPr>
            <w:noProof/>
            <w:webHidden/>
          </w:rPr>
          <w:tab/>
        </w:r>
        <w:r w:rsidR="00FD4701">
          <w:rPr>
            <w:noProof/>
            <w:webHidden/>
          </w:rPr>
          <w:fldChar w:fldCharType="begin"/>
        </w:r>
        <w:r w:rsidR="00844237">
          <w:rPr>
            <w:noProof/>
            <w:webHidden/>
          </w:rPr>
          <w:instrText xml:space="preserve"> PAGEREF _Toc373858709 \h </w:instrText>
        </w:r>
        <w:r w:rsidR="00FD4701">
          <w:rPr>
            <w:noProof/>
            <w:webHidden/>
          </w:rPr>
        </w:r>
        <w:r w:rsidR="00FD4701">
          <w:rPr>
            <w:noProof/>
            <w:webHidden/>
          </w:rPr>
          <w:fldChar w:fldCharType="separate"/>
        </w:r>
        <w:r w:rsidR="00AD7614">
          <w:rPr>
            <w:noProof/>
            <w:webHidden/>
          </w:rPr>
          <w:t>45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0" w:history="1">
        <w:r w:rsidR="00844237" w:rsidRPr="00EE2B0B">
          <w:rPr>
            <w:rStyle w:val="Hypertextovodkaz"/>
            <w:noProof/>
          </w:rPr>
          <w:t>7.11.4</w:t>
        </w:r>
        <w:r w:rsidR="00844237" w:rsidRPr="00CF3A89">
          <w:rPr>
            <w:rFonts w:asciiTheme="minorHAnsi" w:eastAsiaTheme="minorEastAsia" w:hAnsiTheme="minorHAnsi"/>
            <w:noProof/>
            <w:sz w:val="22"/>
          </w:rPr>
          <w:tab/>
        </w:r>
        <w:r w:rsidR="00844237" w:rsidRPr="00EE2B0B">
          <w:rPr>
            <w:rStyle w:val="Hypertextovodkaz"/>
            <w:noProof/>
          </w:rPr>
          <w:t>Způsob vyplnění zjednodušené žádosti o platbu</w:t>
        </w:r>
        <w:r w:rsidR="00844237">
          <w:rPr>
            <w:noProof/>
            <w:webHidden/>
          </w:rPr>
          <w:tab/>
        </w:r>
        <w:r w:rsidR="00FD4701">
          <w:rPr>
            <w:noProof/>
            <w:webHidden/>
          </w:rPr>
          <w:fldChar w:fldCharType="begin"/>
        </w:r>
        <w:r w:rsidR="00844237">
          <w:rPr>
            <w:noProof/>
            <w:webHidden/>
          </w:rPr>
          <w:instrText xml:space="preserve"> PAGEREF _Toc373858710 \h </w:instrText>
        </w:r>
        <w:r w:rsidR="00FD4701">
          <w:rPr>
            <w:noProof/>
            <w:webHidden/>
          </w:rPr>
        </w:r>
        <w:r w:rsidR="00FD4701">
          <w:rPr>
            <w:noProof/>
            <w:webHidden/>
          </w:rPr>
          <w:fldChar w:fldCharType="separate"/>
        </w:r>
        <w:r w:rsidR="00AD7614">
          <w:rPr>
            <w:noProof/>
            <w:webHidden/>
          </w:rPr>
          <w:t>47</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1" w:history="1">
        <w:r w:rsidR="00844237" w:rsidRPr="00EE2B0B">
          <w:rPr>
            <w:rStyle w:val="Hypertextovodkaz"/>
            <w:noProof/>
          </w:rPr>
          <w:t>7.11.5</w:t>
        </w:r>
        <w:r w:rsidR="00844237" w:rsidRPr="00CF3A89">
          <w:rPr>
            <w:rFonts w:asciiTheme="minorHAnsi" w:eastAsiaTheme="minorEastAsia" w:hAnsiTheme="minorHAnsi"/>
            <w:noProof/>
            <w:sz w:val="22"/>
          </w:rPr>
          <w:tab/>
        </w:r>
        <w:r w:rsidR="00844237" w:rsidRPr="00EE2B0B">
          <w:rPr>
            <w:rStyle w:val="Hypertextovodkaz"/>
            <w:noProof/>
          </w:rPr>
          <w:t>Přenesená daňová povinnost a vykazování DPH</w:t>
        </w:r>
        <w:r w:rsidR="00844237">
          <w:rPr>
            <w:noProof/>
            <w:webHidden/>
          </w:rPr>
          <w:tab/>
        </w:r>
        <w:r w:rsidR="00FD4701">
          <w:rPr>
            <w:noProof/>
            <w:webHidden/>
          </w:rPr>
          <w:fldChar w:fldCharType="begin"/>
        </w:r>
        <w:r w:rsidR="00844237">
          <w:rPr>
            <w:noProof/>
            <w:webHidden/>
          </w:rPr>
          <w:instrText xml:space="preserve"> PAGEREF _Toc373858711 \h </w:instrText>
        </w:r>
        <w:r w:rsidR="00FD4701">
          <w:rPr>
            <w:noProof/>
            <w:webHidden/>
          </w:rPr>
        </w:r>
        <w:r w:rsidR="00FD4701">
          <w:rPr>
            <w:noProof/>
            <w:webHidden/>
          </w:rPr>
          <w:fldChar w:fldCharType="separate"/>
        </w:r>
        <w:r w:rsidR="00AD7614">
          <w:rPr>
            <w:noProof/>
            <w:webHidden/>
          </w:rPr>
          <w:t>48</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712" w:history="1">
        <w:r w:rsidR="00844237" w:rsidRPr="00EE2B0B">
          <w:rPr>
            <w:rStyle w:val="Hypertextovodkaz"/>
          </w:rPr>
          <w:t>8</w:t>
        </w:r>
        <w:r w:rsidR="00844237" w:rsidRPr="00CF3A89">
          <w:rPr>
            <w:rFonts w:asciiTheme="minorHAnsi" w:eastAsiaTheme="minorEastAsia" w:hAnsiTheme="minorHAnsi"/>
            <w:b w:val="0"/>
            <w:sz w:val="22"/>
          </w:rPr>
          <w:tab/>
        </w:r>
        <w:r w:rsidR="00844237" w:rsidRPr="00EE2B0B">
          <w:rPr>
            <w:rStyle w:val="Hypertextovodkaz"/>
          </w:rPr>
          <w:t>Stížnosti a odvolání</w:t>
        </w:r>
        <w:r w:rsidR="00844237">
          <w:rPr>
            <w:webHidden/>
          </w:rPr>
          <w:tab/>
        </w:r>
        <w:r w:rsidR="00FD4701">
          <w:rPr>
            <w:webHidden/>
          </w:rPr>
          <w:fldChar w:fldCharType="begin"/>
        </w:r>
        <w:r w:rsidR="00844237">
          <w:rPr>
            <w:webHidden/>
          </w:rPr>
          <w:instrText xml:space="preserve"> PAGEREF _Toc373858712 \h </w:instrText>
        </w:r>
        <w:r w:rsidR="00FD4701">
          <w:rPr>
            <w:webHidden/>
          </w:rPr>
        </w:r>
        <w:r w:rsidR="00FD4701">
          <w:rPr>
            <w:webHidden/>
          </w:rPr>
          <w:fldChar w:fldCharType="separate"/>
        </w:r>
        <w:r w:rsidR="00AD7614">
          <w:rPr>
            <w:webHidden/>
          </w:rPr>
          <w:t>50</w:t>
        </w:r>
        <w:r w:rsidR="00FD4701">
          <w:rPr>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713" w:history="1">
        <w:r w:rsidR="00844237" w:rsidRPr="00EE2B0B">
          <w:rPr>
            <w:rStyle w:val="Hypertextovodkaz"/>
          </w:rPr>
          <w:t>9</w:t>
        </w:r>
        <w:r w:rsidR="00844237" w:rsidRPr="00CF3A89">
          <w:rPr>
            <w:rFonts w:asciiTheme="minorHAnsi" w:eastAsiaTheme="minorEastAsia" w:hAnsiTheme="minorHAnsi"/>
            <w:b w:val="0"/>
            <w:sz w:val="22"/>
          </w:rPr>
          <w:tab/>
        </w:r>
        <w:r w:rsidR="00844237" w:rsidRPr="00EE2B0B">
          <w:rPr>
            <w:rStyle w:val="Hypertextovodkaz"/>
          </w:rPr>
          <w:t>Kontroly projektu</w:t>
        </w:r>
        <w:r w:rsidR="00844237">
          <w:rPr>
            <w:webHidden/>
          </w:rPr>
          <w:tab/>
        </w:r>
        <w:r w:rsidR="00FD4701">
          <w:rPr>
            <w:webHidden/>
          </w:rPr>
          <w:fldChar w:fldCharType="begin"/>
        </w:r>
        <w:r w:rsidR="00844237">
          <w:rPr>
            <w:webHidden/>
          </w:rPr>
          <w:instrText xml:space="preserve"> PAGEREF _Toc373858713 \h </w:instrText>
        </w:r>
        <w:r w:rsidR="00FD4701">
          <w:rPr>
            <w:webHidden/>
          </w:rPr>
        </w:r>
        <w:r w:rsidR="00FD4701">
          <w:rPr>
            <w:webHidden/>
          </w:rPr>
          <w:fldChar w:fldCharType="separate"/>
        </w:r>
        <w:r w:rsidR="00AD7614">
          <w:rPr>
            <w:webHidden/>
          </w:rPr>
          <w:t>52</w:t>
        </w:r>
        <w:r w:rsidR="00FD4701">
          <w:rPr>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14" w:history="1">
        <w:r w:rsidR="00844237" w:rsidRPr="00EE2B0B">
          <w:rPr>
            <w:rStyle w:val="Hypertextovodkaz"/>
            <w:noProof/>
          </w:rPr>
          <w:t>9.1</w:t>
        </w:r>
        <w:r w:rsidR="00844237" w:rsidRPr="00CF3A89">
          <w:rPr>
            <w:rFonts w:asciiTheme="minorHAnsi" w:eastAsiaTheme="minorEastAsia" w:hAnsiTheme="minorHAnsi"/>
            <w:noProof/>
            <w:sz w:val="22"/>
          </w:rPr>
          <w:tab/>
        </w:r>
        <w:r w:rsidR="00844237" w:rsidRPr="00EE2B0B">
          <w:rPr>
            <w:rStyle w:val="Hypertextovodkaz"/>
            <w:noProof/>
          </w:rPr>
          <w:t>Základní druhy kontrol</w:t>
        </w:r>
        <w:r w:rsidR="00844237">
          <w:rPr>
            <w:noProof/>
            <w:webHidden/>
          </w:rPr>
          <w:tab/>
        </w:r>
        <w:r w:rsidR="00FD4701">
          <w:rPr>
            <w:noProof/>
            <w:webHidden/>
          </w:rPr>
          <w:fldChar w:fldCharType="begin"/>
        </w:r>
        <w:r w:rsidR="00844237">
          <w:rPr>
            <w:noProof/>
            <w:webHidden/>
          </w:rPr>
          <w:instrText xml:space="preserve"> PAGEREF _Toc373858714 \h </w:instrText>
        </w:r>
        <w:r w:rsidR="00FD4701">
          <w:rPr>
            <w:noProof/>
            <w:webHidden/>
          </w:rPr>
        </w:r>
        <w:r w:rsidR="00FD4701">
          <w:rPr>
            <w:noProof/>
            <w:webHidden/>
          </w:rPr>
          <w:fldChar w:fldCharType="separate"/>
        </w:r>
        <w:r w:rsidR="00AD7614">
          <w:rPr>
            <w:noProof/>
            <w:webHidden/>
          </w:rPr>
          <w:t>52</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5" w:history="1">
        <w:r w:rsidR="00844237" w:rsidRPr="00EE2B0B">
          <w:rPr>
            <w:rStyle w:val="Hypertextovodkaz"/>
            <w:noProof/>
          </w:rPr>
          <w:t>9.1.1</w:t>
        </w:r>
        <w:r w:rsidR="00844237" w:rsidRPr="00CF3A89">
          <w:rPr>
            <w:rFonts w:asciiTheme="minorHAnsi" w:eastAsiaTheme="minorEastAsia" w:hAnsiTheme="minorHAnsi"/>
            <w:noProof/>
            <w:sz w:val="22"/>
          </w:rPr>
          <w:tab/>
        </w:r>
        <w:r w:rsidR="00844237" w:rsidRPr="00EE2B0B">
          <w:rPr>
            <w:rStyle w:val="Hypertextovodkaz"/>
            <w:noProof/>
          </w:rPr>
          <w:t>Kontroly z hlediska realizace projektu</w:t>
        </w:r>
        <w:r w:rsidR="00844237">
          <w:rPr>
            <w:noProof/>
            <w:webHidden/>
          </w:rPr>
          <w:tab/>
        </w:r>
        <w:r w:rsidR="00FD4701">
          <w:rPr>
            <w:noProof/>
            <w:webHidden/>
          </w:rPr>
          <w:fldChar w:fldCharType="begin"/>
        </w:r>
        <w:r w:rsidR="00844237">
          <w:rPr>
            <w:noProof/>
            <w:webHidden/>
          </w:rPr>
          <w:instrText xml:space="preserve"> PAGEREF _Toc373858715 \h </w:instrText>
        </w:r>
        <w:r w:rsidR="00FD4701">
          <w:rPr>
            <w:noProof/>
            <w:webHidden/>
          </w:rPr>
        </w:r>
        <w:r w:rsidR="00FD4701">
          <w:rPr>
            <w:noProof/>
            <w:webHidden/>
          </w:rPr>
          <w:fldChar w:fldCharType="separate"/>
        </w:r>
        <w:r w:rsidR="00AD7614">
          <w:rPr>
            <w:noProof/>
            <w:webHidden/>
          </w:rPr>
          <w:t>52</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6" w:history="1">
        <w:r w:rsidR="00844237" w:rsidRPr="00EE2B0B">
          <w:rPr>
            <w:rStyle w:val="Hypertextovodkaz"/>
            <w:noProof/>
          </w:rPr>
          <w:t>9.1.2</w:t>
        </w:r>
        <w:r w:rsidR="00844237" w:rsidRPr="00CF3A89">
          <w:rPr>
            <w:rFonts w:asciiTheme="minorHAnsi" w:eastAsiaTheme="minorEastAsia" w:hAnsiTheme="minorHAnsi"/>
            <w:noProof/>
            <w:sz w:val="22"/>
          </w:rPr>
          <w:tab/>
        </w:r>
        <w:r w:rsidR="00844237" w:rsidRPr="00EE2B0B">
          <w:rPr>
            <w:rStyle w:val="Hypertextovodkaz"/>
            <w:noProof/>
          </w:rPr>
          <w:t>Kontroly z hlediska charakteru a zaměření</w:t>
        </w:r>
        <w:r w:rsidR="00844237">
          <w:rPr>
            <w:noProof/>
            <w:webHidden/>
          </w:rPr>
          <w:tab/>
        </w:r>
        <w:r w:rsidR="00FD4701">
          <w:rPr>
            <w:noProof/>
            <w:webHidden/>
          </w:rPr>
          <w:fldChar w:fldCharType="begin"/>
        </w:r>
        <w:r w:rsidR="00844237">
          <w:rPr>
            <w:noProof/>
            <w:webHidden/>
          </w:rPr>
          <w:instrText xml:space="preserve"> PAGEREF _Toc373858716 \h </w:instrText>
        </w:r>
        <w:r w:rsidR="00FD4701">
          <w:rPr>
            <w:noProof/>
            <w:webHidden/>
          </w:rPr>
        </w:r>
        <w:r w:rsidR="00FD4701">
          <w:rPr>
            <w:noProof/>
            <w:webHidden/>
          </w:rPr>
          <w:fldChar w:fldCharType="separate"/>
        </w:r>
        <w:r w:rsidR="00AD7614">
          <w:rPr>
            <w:noProof/>
            <w:webHidden/>
          </w:rPr>
          <w:t>52</w:t>
        </w:r>
        <w:r w:rsidR="00FD4701">
          <w:rPr>
            <w:noProof/>
            <w:webHidden/>
          </w:rPr>
          <w:fldChar w:fldCharType="end"/>
        </w:r>
      </w:hyperlink>
    </w:p>
    <w:p w:rsidR="00844237" w:rsidRPr="00CF3A89" w:rsidRDefault="00177035">
      <w:pPr>
        <w:pStyle w:val="Obsah2"/>
        <w:tabs>
          <w:tab w:val="left" w:pos="880"/>
          <w:tab w:val="right" w:leader="dot" w:pos="9060"/>
        </w:tabs>
        <w:rPr>
          <w:rFonts w:asciiTheme="minorHAnsi" w:eastAsiaTheme="minorEastAsia" w:hAnsiTheme="minorHAnsi"/>
          <w:noProof/>
          <w:sz w:val="22"/>
        </w:rPr>
      </w:pPr>
      <w:hyperlink w:anchor="_Toc373858717" w:history="1">
        <w:r w:rsidR="00844237" w:rsidRPr="00EE2B0B">
          <w:rPr>
            <w:rStyle w:val="Hypertextovodkaz"/>
            <w:noProof/>
          </w:rPr>
          <w:t>9.2</w:t>
        </w:r>
        <w:r w:rsidR="00844237" w:rsidRPr="00CF3A89">
          <w:rPr>
            <w:rFonts w:asciiTheme="minorHAnsi" w:eastAsiaTheme="minorEastAsia" w:hAnsiTheme="minorHAnsi"/>
            <w:noProof/>
            <w:sz w:val="22"/>
          </w:rPr>
          <w:tab/>
        </w:r>
        <w:r w:rsidR="00844237" w:rsidRPr="00EE2B0B">
          <w:rPr>
            <w:rStyle w:val="Hypertextovodkaz"/>
            <w:noProof/>
          </w:rPr>
          <w:t>Fyzická kontrola na místě</w:t>
        </w:r>
        <w:r w:rsidR="00844237">
          <w:rPr>
            <w:noProof/>
            <w:webHidden/>
          </w:rPr>
          <w:tab/>
        </w:r>
        <w:r w:rsidR="00FD4701">
          <w:rPr>
            <w:noProof/>
            <w:webHidden/>
          </w:rPr>
          <w:fldChar w:fldCharType="begin"/>
        </w:r>
        <w:r w:rsidR="00844237">
          <w:rPr>
            <w:noProof/>
            <w:webHidden/>
          </w:rPr>
          <w:instrText xml:space="preserve"> PAGEREF _Toc373858717 \h </w:instrText>
        </w:r>
        <w:r w:rsidR="00FD4701">
          <w:rPr>
            <w:noProof/>
            <w:webHidden/>
          </w:rPr>
        </w:r>
        <w:r w:rsidR="00FD4701">
          <w:rPr>
            <w:noProof/>
            <w:webHidden/>
          </w:rPr>
          <w:fldChar w:fldCharType="separate"/>
        </w:r>
        <w:r w:rsidR="00AD7614">
          <w:rPr>
            <w:noProof/>
            <w:webHidden/>
          </w:rPr>
          <w:t>53</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8" w:history="1">
        <w:r w:rsidR="00844237" w:rsidRPr="00EE2B0B">
          <w:rPr>
            <w:rStyle w:val="Hypertextovodkaz"/>
            <w:noProof/>
          </w:rPr>
          <w:t>9.2.1</w:t>
        </w:r>
        <w:r w:rsidR="00844237" w:rsidRPr="00CF3A89">
          <w:rPr>
            <w:rFonts w:asciiTheme="minorHAnsi" w:eastAsiaTheme="minorEastAsia" w:hAnsiTheme="minorHAnsi"/>
            <w:noProof/>
            <w:sz w:val="22"/>
          </w:rPr>
          <w:tab/>
        </w:r>
        <w:r w:rsidR="00844237" w:rsidRPr="00EE2B0B">
          <w:rPr>
            <w:rStyle w:val="Hypertextovodkaz"/>
            <w:noProof/>
          </w:rPr>
          <w:t>Práva žadatele/příjemce jako kontrolovaného subjektu</w:t>
        </w:r>
        <w:r w:rsidR="00844237">
          <w:rPr>
            <w:noProof/>
            <w:webHidden/>
          </w:rPr>
          <w:tab/>
        </w:r>
        <w:r w:rsidR="00FD4701">
          <w:rPr>
            <w:noProof/>
            <w:webHidden/>
          </w:rPr>
          <w:fldChar w:fldCharType="begin"/>
        </w:r>
        <w:r w:rsidR="00844237">
          <w:rPr>
            <w:noProof/>
            <w:webHidden/>
          </w:rPr>
          <w:instrText xml:space="preserve"> PAGEREF _Toc373858718 \h </w:instrText>
        </w:r>
        <w:r w:rsidR="00FD4701">
          <w:rPr>
            <w:noProof/>
            <w:webHidden/>
          </w:rPr>
        </w:r>
        <w:r w:rsidR="00FD4701">
          <w:rPr>
            <w:noProof/>
            <w:webHidden/>
          </w:rPr>
          <w:fldChar w:fldCharType="separate"/>
        </w:r>
        <w:r w:rsidR="00AD7614">
          <w:rPr>
            <w:noProof/>
            <w:webHidden/>
          </w:rPr>
          <w:t>54</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19" w:history="1">
        <w:r w:rsidR="00844237" w:rsidRPr="00EE2B0B">
          <w:rPr>
            <w:rStyle w:val="Hypertextovodkaz"/>
            <w:noProof/>
          </w:rPr>
          <w:t>9.2.2</w:t>
        </w:r>
        <w:r w:rsidR="00844237" w:rsidRPr="00CF3A89">
          <w:rPr>
            <w:rFonts w:asciiTheme="minorHAnsi" w:eastAsiaTheme="minorEastAsia" w:hAnsiTheme="minorHAnsi"/>
            <w:noProof/>
            <w:sz w:val="22"/>
          </w:rPr>
          <w:tab/>
        </w:r>
        <w:r w:rsidR="00844237" w:rsidRPr="00EE2B0B">
          <w:rPr>
            <w:rStyle w:val="Hypertextovodkaz"/>
            <w:noProof/>
          </w:rPr>
          <w:t>Povinnosti žadatele/příjemce jako kontrolovaného subjektu</w:t>
        </w:r>
        <w:r w:rsidR="00844237">
          <w:rPr>
            <w:noProof/>
            <w:webHidden/>
          </w:rPr>
          <w:tab/>
        </w:r>
        <w:r w:rsidR="00FD4701">
          <w:rPr>
            <w:noProof/>
            <w:webHidden/>
          </w:rPr>
          <w:fldChar w:fldCharType="begin"/>
        </w:r>
        <w:r w:rsidR="00844237">
          <w:rPr>
            <w:noProof/>
            <w:webHidden/>
          </w:rPr>
          <w:instrText xml:space="preserve"> PAGEREF _Toc373858719 \h </w:instrText>
        </w:r>
        <w:r w:rsidR="00FD4701">
          <w:rPr>
            <w:noProof/>
            <w:webHidden/>
          </w:rPr>
        </w:r>
        <w:r w:rsidR="00FD4701">
          <w:rPr>
            <w:noProof/>
            <w:webHidden/>
          </w:rPr>
          <w:fldChar w:fldCharType="separate"/>
        </w:r>
        <w:r w:rsidR="00AD7614">
          <w:rPr>
            <w:noProof/>
            <w:webHidden/>
          </w:rPr>
          <w:t>54</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20" w:history="1">
        <w:r w:rsidR="00844237" w:rsidRPr="00EE2B0B">
          <w:rPr>
            <w:rStyle w:val="Hypertextovodkaz"/>
            <w:noProof/>
          </w:rPr>
          <w:t>9.2.3</w:t>
        </w:r>
        <w:r w:rsidR="00844237" w:rsidRPr="00CF3A89">
          <w:rPr>
            <w:rFonts w:asciiTheme="minorHAnsi" w:eastAsiaTheme="minorEastAsia" w:hAnsiTheme="minorHAnsi"/>
            <w:noProof/>
            <w:sz w:val="22"/>
          </w:rPr>
          <w:tab/>
        </w:r>
        <w:r w:rsidR="00844237" w:rsidRPr="00EE2B0B">
          <w:rPr>
            <w:rStyle w:val="Hypertextovodkaz"/>
            <w:noProof/>
          </w:rPr>
          <w:t>Zahájení fyzické kontroly na místě</w:t>
        </w:r>
        <w:r w:rsidR="00844237">
          <w:rPr>
            <w:noProof/>
            <w:webHidden/>
          </w:rPr>
          <w:tab/>
        </w:r>
        <w:r w:rsidR="00FD4701">
          <w:rPr>
            <w:noProof/>
            <w:webHidden/>
          </w:rPr>
          <w:fldChar w:fldCharType="begin"/>
        </w:r>
        <w:r w:rsidR="00844237">
          <w:rPr>
            <w:noProof/>
            <w:webHidden/>
          </w:rPr>
          <w:instrText xml:space="preserve"> PAGEREF _Toc373858720 \h </w:instrText>
        </w:r>
        <w:r w:rsidR="00FD4701">
          <w:rPr>
            <w:noProof/>
            <w:webHidden/>
          </w:rPr>
        </w:r>
        <w:r w:rsidR="00FD4701">
          <w:rPr>
            <w:noProof/>
            <w:webHidden/>
          </w:rPr>
          <w:fldChar w:fldCharType="separate"/>
        </w:r>
        <w:r w:rsidR="00AD7614">
          <w:rPr>
            <w:noProof/>
            <w:webHidden/>
          </w:rPr>
          <w:t>55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21" w:history="1">
        <w:r w:rsidR="00844237" w:rsidRPr="00EE2B0B">
          <w:rPr>
            <w:rStyle w:val="Hypertextovodkaz"/>
            <w:noProof/>
          </w:rPr>
          <w:t>9.2.4</w:t>
        </w:r>
        <w:r w:rsidR="00844237" w:rsidRPr="00CF3A89">
          <w:rPr>
            <w:rFonts w:asciiTheme="minorHAnsi" w:eastAsiaTheme="minorEastAsia" w:hAnsiTheme="minorHAnsi"/>
            <w:noProof/>
            <w:sz w:val="22"/>
          </w:rPr>
          <w:tab/>
        </w:r>
        <w:r w:rsidR="00844237" w:rsidRPr="00EE2B0B">
          <w:rPr>
            <w:rStyle w:val="Hypertextovodkaz"/>
            <w:noProof/>
          </w:rPr>
          <w:t>Protokol/zápis z kontroly</w:t>
        </w:r>
        <w:r w:rsidR="00844237">
          <w:rPr>
            <w:noProof/>
            <w:webHidden/>
          </w:rPr>
          <w:tab/>
        </w:r>
        <w:r w:rsidR="00FD4701">
          <w:rPr>
            <w:noProof/>
            <w:webHidden/>
          </w:rPr>
          <w:fldChar w:fldCharType="begin"/>
        </w:r>
        <w:r w:rsidR="00844237">
          <w:rPr>
            <w:noProof/>
            <w:webHidden/>
          </w:rPr>
          <w:instrText xml:space="preserve"> PAGEREF _Toc373858721 \h </w:instrText>
        </w:r>
        <w:r w:rsidR="00FD4701">
          <w:rPr>
            <w:noProof/>
            <w:webHidden/>
          </w:rPr>
        </w:r>
        <w:r w:rsidR="00FD4701">
          <w:rPr>
            <w:noProof/>
            <w:webHidden/>
          </w:rPr>
          <w:fldChar w:fldCharType="separate"/>
        </w:r>
        <w:r w:rsidR="00AD7614">
          <w:rPr>
            <w:noProof/>
            <w:webHidden/>
          </w:rPr>
          <w:t>55</w:t>
        </w:r>
        <w:r w:rsidR="00FD4701">
          <w:rPr>
            <w:noProof/>
            <w:webHidden/>
          </w:rPr>
          <w:fldChar w:fldCharType="end"/>
        </w:r>
      </w:hyperlink>
    </w:p>
    <w:p w:rsidR="00844237" w:rsidRPr="00CF3A89" w:rsidRDefault="00177035">
      <w:pPr>
        <w:pStyle w:val="Obsah3"/>
        <w:tabs>
          <w:tab w:val="left" w:pos="1320"/>
          <w:tab w:val="right" w:leader="dot" w:pos="9060"/>
        </w:tabs>
        <w:rPr>
          <w:rFonts w:asciiTheme="minorHAnsi" w:eastAsiaTheme="minorEastAsia" w:hAnsiTheme="minorHAnsi"/>
          <w:noProof/>
          <w:sz w:val="22"/>
        </w:rPr>
      </w:pPr>
      <w:hyperlink w:anchor="_Toc373858722" w:history="1">
        <w:r w:rsidR="00844237" w:rsidRPr="00EE2B0B">
          <w:rPr>
            <w:rStyle w:val="Hypertextovodkaz"/>
            <w:noProof/>
          </w:rPr>
          <w:t>9.2.5</w:t>
        </w:r>
        <w:r w:rsidR="00844237" w:rsidRPr="00CF3A89">
          <w:rPr>
            <w:rFonts w:asciiTheme="minorHAnsi" w:eastAsiaTheme="minorEastAsia" w:hAnsiTheme="minorHAnsi"/>
            <w:noProof/>
            <w:sz w:val="22"/>
          </w:rPr>
          <w:tab/>
        </w:r>
        <w:r w:rsidR="00844237" w:rsidRPr="00EE2B0B">
          <w:rPr>
            <w:rStyle w:val="Hypertextovodkaz"/>
            <w:noProof/>
          </w:rPr>
          <w:t>Řízení o námitkách kontrolovaného subjektu</w:t>
        </w:r>
        <w:r w:rsidR="00844237">
          <w:rPr>
            <w:noProof/>
            <w:webHidden/>
          </w:rPr>
          <w:tab/>
        </w:r>
        <w:r w:rsidR="00FD4701">
          <w:rPr>
            <w:noProof/>
            <w:webHidden/>
          </w:rPr>
          <w:fldChar w:fldCharType="begin"/>
        </w:r>
        <w:r w:rsidR="00844237">
          <w:rPr>
            <w:noProof/>
            <w:webHidden/>
          </w:rPr>
          <w:instrText xml:space="preserve"> PAGEREF _Toc373858722 \h </w:instrText>
        </w:r>
        <w:r w:rsidR="00FD4701">
          <w:rPr>
            <w:noProof/>
            <w:webHidden/>
          </w:rPr>
        </w:r>
        <w:r w:rsidR="00FD4701">
          <w:rPr>
            <w:noProof/>
            <w:webHidden/>
          </w:rPr>
          <w:fldChar w:fldCharType="separate"/>
        </w:r>
        <w:r w:rsidR="00AD7614">
          <w:rPr>
            <w:noProof/>
            <w:webHidden/>
          </w:rPr>
          <w:t>56</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723" w:history="1">
        <w:r w:rsidR="00844237" w:rsidRPr="00EE2B0B">
          <w:rPr>
            <w:rStyle w:val="Hypertextovodkaz"/>
          </w:rPr>
          <w:t>10</w:t>
        </w:r>
        <w:r w:rsidR="00844237" w:rsidRPr="00CF3A89">
          <w:rPr>
            <w:rFonts w:asciiTheme="minorHAnsi" w:eastAsiaTheme="minorEastAsia" w:hAnsiTheme="minorHAnsi"/>
            <w:b w:val="0"/>
            <w:sz w:val="22"/>
          </w:rPr>
          <w:tab/>
        </w:r>
        <w:r w:rsidR="00844237" w:rsidRPr="00EE2B0B">
          <w:rPr>
            <w:rStyle w:val="Hypertextovodkaz"/>
          </w:rPr>
          <w:t>Základní právní předpisy a dokumenty</w:t>
        </w:r>
        <w:r w:rsidR="00844237">
          <w:rPr>
            <w:webHidden/>
          </w:rPr>
          <w:tab/>
        </w:r>
        <w:r w:rsidR="00FD4701">
          <w:rPr>
            <w:webHidden/>
          </w:rPr>
          <w:fldChar w:fldCharType="begin"/>
        </w:r>
        <w:r w:rsidR="00844237">
          <w:rPr>
            <w:webHidden/>
          </w:rPr>
          <w:instrText xml:space="preserve"> PAGEREF _Toc373858723 \h </w:instrText>
        </w:r>
        <w:r w:rsidR="00FD4701">
          <w:rPr>
            <w:webHidden/>
          </w:rPr>
        </w:r>
        <w:r w:rsidR="00FD4701">
          <w:rPr>
            <w:webHidden/>
          </w:rPr>
          <w:fldChar w:fldCharType="separate"/>
        </w:r>
        <w:r w:rsidR="00AD7614">
          <w:rPr>
            <w:webHidden/>
          </w:rPr>
          <w:t>57</w:t>
        </w:r>
        <w:r w:rsidR="00FD4701">
          <w:rPr>
            <w:webHidden/>
          </w:rPr>
          <w:fldChar w:fldCharType="end"/>
        </w:r>
      </w:hyperlink>
    </w:p>
    <w:p w:rsidR="00844237" w:rsidRPr="00CF3A89" w:rsidRDefault="00177035">
      <w:pPr>
        <w:pStyle w:val="Obsah2"/>
        <w:tabs>
          <w:tab w:val="right" w:leader="dot" w:pos="9060"/>
        </w:tabs>
        <w:rPr>
          <w:rFonts w:asciiTheme="minorHAnsi" w:eastAsiaTheme="minorEastAsia" w:hAnsiTheme="minorHAnsi"/>
          <w:noProof/>
          <w:sz w:val="22"/>
        </w:rPr>
      </w:pPr>
      <w:hyperlink w:anchor="_Toc373858724" w:history="1">
        <w:r w:rsidR="00844237" w:rsidRPr="00EE2B0B">
          <w:rPr>
            <w:rStyle w:val="Hypertextovodkaz"/>
            <w:noProof/>
          </w:rPr>
          <w:t>Základní legislativa EU</w:t>
        </w:r>
        <w:r w:rsidR="00844237">
          <w:rPr>
            <w:noProof/>
            <w:webHidden/>
          </w:rPr>
          <w:tab/>
        </w:r>
        <w:r w:rsidR="00FD4701">
          <w:rPr>
            <w:noProof/>
            <w:webHidden/>
          </w:rPr>
          <w:fldChar w:fldCharType="begin"/>
        </w:r>
        <w:r w:rsidR="00844237">
          <w:rPr>
            <w:noProof/>
            <w:webHidden/>
          </w:rPr>
          <w:instrText xml:space="preserve"> PAGEREF _Toc373858724 \h </w:instrText>
        </w:r>
        <w:r w:rsidR="00FD4701">
          <w:rPr>
            <w:noProof/>
            <w:webHidden/>
          </w:rPr>
        </w:r>
        <w:r w:rsidR="00FD4701">
          <w:rPr>
            <w:noProof/>
            <w:webHidden/>
          </w:rPr>
          <w:fldChar w:fldCharType="separate"/>
        </w:r>
        <w:r w:rsidR="00AD7614">
          <w:rPr>
            <w:noProof/>
            <w:webHidden/>
          </w:rPr>
          <w:t>57</w:t>
        </w:r>
        <w:r w:rsidR="00FD4701">
          <w:rPr>
            <w:noProof/>
            <w:webHidden/>
          </w:rPr>
          <w:fldChar w:fldCharType="end"/>
        </w:r>
      </w:hyperlink>
    </w:p>
    <w:p w:rsidR="00844237" w:rsidRPr="00CF3A89" w:rsidRDefault="00177035">
      <w:pPr>
        <w:pStyle w:val="Obsah2"/>
        <w:tabs>
          <w:tab w:val="right" w:leader="dot" w:pos="9060"/>
        </w:tabs>
        <w:rPr>
          <w:rFonts w:asciiTheme="minorHAnsi" w:eastAsiaTheme="minorEastAsia" w:hAnsiTheme="minorHAnsi"/>
          <w:noProof/>
          <w:sz w:val="22"/>
        </w:rPr>
      </w:pPr>
      <w:hyperlink w:anchor="_Toc373858725" w:history="1">
        <w:r w:rsidR="00844237" w:rsidRPr="00EE2B0B">
          <w:rPr>
            <w:rStyle w:val="Hypertextovodkaz"/>
            <w:noProof/>
          </w:rPr>
          <w:t>Základní právní předpisy a dokumenty ČR</w:t>
        </w:r>
        <w:r w:rsidR="00844237">
          <w:rPr>
            <w:noProof/>
            <w:webHidden/>
          </w:rPr>
          <w:tab/>
        </w:r>
        <w:r w:rsidR="00FD4701">
          <w:rPr>
            <w:noProof/>
            <w:webHidden/>
          </w:rPr>
          <w:fldChar w:fldCharType="begin"/>
        </w:r>
        <w:r w:rsidR="00844237">
          <w:rPr>
            <w:noProof/>
            <w:webHidden/>
          </w:rPr>
          <w:instrText xml:space="preserve"> PAGEREF _Toc373858725 \h </w:instrText>
        </w:r>
        <w:r w:rsidR="00FD4701">
          <w:rPr>
            <w:noProof/>
            <w:webHidden/>
          </w:rPr>
        </w:r>
        <w:r w:rsidR="00FD4701">
          <w:rPr>
            <w:noProof/>
            <w:webHidden/>
          </w:rPr>
          <w:fldChar w:fldCharType="separate"/>
        </w:r>
        <w:r w:rsidR="00AD7614">
          <w:rPr>
            <w:noProof/>
            <w:webHidden/>
          </w:rPr>
          <w:t>58</w:t>
        </w:r>
        <w:r w:rsidR="00FD4701">
          <w:rPr>
            <w:noProof/>
            <w:webHidden/>
          </w:rPr>
          <w:fldChar w:fldCharType="end"/>
        </w:r>
      </w:hyperlink>
    </w:p>
    <w:p w:rsidR="00844237" w:rsidRPr="00CF3A89" w:rsidRDefault="00177035">
      <w:pPr>
        <w:pStyle w:val="Obsah1"/>
        <w:rPr>
          <w:rFonts w:asciiTheme="minorHAnsi" w:eastAsiaTheme="minorEastAsia" w:hAnsiTheme="minorHAnsi"/>
          <w:b w:val="0"/>
          <w:sz w:val="22"/>
        </w:rPr>
      </w:pPr>
      <w:hyperlink w:anchor="_Toc373858726" w:history="1">
        <w:r w:rsidR="00844237" w:rsidRPr="00EE2B0B">
          <w:rPr>
            <w:rStyle w:val="Hypertextovodkaz"/>
          </w:rPr>
          <w:t>11</w:t>
        </w:r>
        <w:r w:rsidR="00844237" w:rsidRPr="00CF3A89">
          <w:rPr>
            <w:rFonts w:asciiTheme="minorHAnsi" w:eastAsiaTheme="minorEastAsia" w:hAnsiTheme="minorHAnsi"/>
            <w:b w:val="0"/>
            <w:sz w:val="22"/>
          </w:rPr>
          <w:tab/>
        </w:r>
        <w:r w:rsidR="00844237" w:rsidRPr="00EE2B0B">
          <w:rPr>
            <w:rStyle w:val="Hypertextovodkaz"/>
          </w:rPr>
          <w:t>Seznam příloh</w:t>
        </w:r>
        <w:r w:rsidR="00844237">
          <w:rPr>
            <w:webHidden/>
          </w:rPr>
          <w:tab/>
        </w:r>
        <w:r w:rsidR="00FD4701">
          <w:rPr>
            <w:webHidden/>
          </w:rPr>
          <w:fldChar w:fldCharType="begin"/>
        </w:r>
        <w:r w:rsidR="00844237">
          <w:rPr>
            <w:webHidden/>
          </w:rPr>
          <w:instrText xml:space="preserve"> PAGEREF _Toc373858726 \h </w:instrText>
        </w:r>
        <w:r w:rsidR="00FD4701">
          <w:rPr>
            <w:webHidden/>
          </w:rPr>
        </w:r>
        <w:r w:rsidR="00FD4701">
          <w:rPr>
            <w:webHidden/>
          </w:rPr>
          <w:fldChar w:fldCharType="separate"/>
        </w:r>
        <w:r w:rsidR="00AD7614">
          <w:rPr>
            <w:webHidden/>
          </w:rPr>
          <w:t>63</w:t>
        </w:r>
        <w:r w:rsidR="00FD4701">
          <w:rPr>
            <w:webHidden/>
          </w:rPr>
          <w:fldChar w:fldCharType="end"/>
        </w:r>
      </w:hyperlink>
    </w:p>
    <w:p w:rsidR="00AB5446" w:rsidRDefault="00FD4701"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pPr>
        <w:pStyle w:val="Nadpis1"/>
        <w:ind w:left="454" w:hanging="454"/>
        <w:rPr>
          <w:szCs w:val="40"/>
        </w:rPr>
      </w:pPr>
      <w:r>
        <w:rPr>
          <w:szCs w:val="40"/>
        </w:rPr>
        <w:br w:type="page"/>
      </w:r>
      <w:bookmarkStart w:id="9" w:name="_Toc346195838"/>
      <w:bookmarkStart w:id="10" w:name="_Toc328732729"/>
      <w:bookmarkStart w:id="11" w:name="_Toc365638257"/>
      <w:bookmarkStart w:id="12" w:name="_Toc373858667"/>
      <w:r w:rsidR="008B203A" w:rsidRPr="00AB5446">
        <w:rPr>
          <w:szCs w:val="40"/>
        </w:rPr>
        <w:lastRenderedPageBreak/>
        <w:t>Seznam použitých zkratek</w:t>
      </w:r>
      <w:bookmarkEnd w:id="9"/>
      <w:bookmarkEnd w:id="10"/>
      <w:bookmarkEnd w:id="11"/>
      <w:bookmarkEnd w:id="1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Evidenční dotační systém / 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E97DB1">
            <w:pPr>
              <w:rPr>
                <w:rFonts w:ascii="Times New Roman" w:hAnsi="Times New Roman" w:cs="Times New Roman"/>
                <w:b/>
                <w:bCs/>
                <w:sz w:val="24"/>
                <w:szCs w:val="24"/>
              </w:rPr>
            </w:pPr>
            <w:r w:rsidRPr="004F1AE3">
              <w:rPr>
                <w:rFonts w:ascii="Times New Roman" w:hAnsi="Times New Roman" w:cs="Times New Roman"/>
                <w:b/>
                <w:bCs/>
                <w:sz w:val="24"/>
                <w:szCs w:val="24"/>
              </w:rPr>
              <w:t xml:space="preserve">FÚ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Finanční úřad</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HoP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Hlášení o pokroku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HW</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Hardware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KONV</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Konvergence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64039F" w:rsidRPr="004F1AE3">
        <w:trPr>
          <w:trHeight w:val="330"/>
        </w:trPr>
        <w:tc>
          <w:tcPr>
            <w:tcW w:w="1445" w:type="dxa"/>
            <w:shd w:val="clear" w:color="auto" w:fill="auto"/>
          </w:tcPr>
          <w:p w:rsidR="0064039F" w:rsidRPr="004F1AE3" w:rsidRDefault="0064039F" w:rsidP="00865F46">
            <w:pPr>
              <w:rPr>
                <w:rFonts w:ascii="Times New Roman" w:hAnsi="Times New Roman" w:cs="Times New Roman"/>
                <w:b/>
                <w:bCs/>
                <w:sz w:val="24"/>
                <w:szCs w:val="24"/>
              </w:rPr>
            </w:pPr>
            <w:r w:rsidRPr="004F1AE3">
              <w:rPr>
                <w:rFonts w:ascii="Times New Roman" w:hAnsi="Times New Roman" w:cs="Times New Roman"/>
                <w:b/>
                <w:bCs/>
                <w:sz w:val="24"/>
                <w:szCs w:val="24"/>
              </w:rPr>
              <w:t>MV</w:t>
            </w:r>
            <w:r w:rsidR="008B203A" w:rsidRPr="004F1AE3">
              <w:rPr>
                <w:rFonts w:ascii="Times New Roman" w:hAnsi="Times New Roman" w:cs="Times New Roman"/>
                <w:b/>
                <w:bCs/>
                <w:sz w:val="24"/>
                <w:szCs w:val="24"/>
              </w:rPr>
              <w:t xml:space="preserve"> ČR</w:t>
            </w:r>
          </w:p>
        </w:tc>
        <w:tc>
          <w:tcPr>
            <w:tcW w:w="7195" w:type="dxa"/>
            <w:shd w:val="clear" w:color="auto" w:fill="auto"/>
          </w:tcPr>
          <w:p w:rsidR="0064039F" w:rsidRPr="004F1AE3" w:rsidRDefault="0064039F" w:rsidP="00865F46">
            <w:pPr>
              <w:rPr>
                <w:rFonts w:ascii="Times New Roman" w:hAnsi="Times New Roman" w:cs="Times New Roman"/>
                <w:sz w:val="24"/>
                <w:szCs w:val="24"/>
              </w:rPr>
            </w:pPr>
            <w:r w:rsidRPr="004F1AE3">
              <w:rPr>
                <w:rFonts w:ascii="Times New Roman" w:hAnsi="Times New Roman" w:cs="Times New Roman"/>
                <w:sz w:val="24"/>
                <w:szCs w:val="24"/>
              </w:rPr>
              <w:t>Ministerstvo vnitra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Monitorovací zpráva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Unités Territoriales Statistique – statistické územní jednotky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OLAF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úřad pro boj proti podvodům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OR MMR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rozpočtu Ministerstva pro místní rozvoj</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OŘOP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Odbor řízení operačních programů MMR</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OSS</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Organizační složka státu</w:t>
            </w:r>
          </w:p>
        </w:tc>
      </w:tr>
      <w:tr w:rsidR="00B75BB9" w:rsidRPr="004F1AE3">
        <w:trPr>
          <w:trHeight w:val="330"/>
        </w:trPr>
        <w:tc>
          <w:tcPr>
            <w:tcW w:w="1445" w:type="dxa"/>
            <w:shd w:val="clear" w:color="auto" w:fill="auto"/>
          </w:tcPr>
          <w:p w:rsidR="00B75BB9" w:rsidRPr="004F1AE3" w:rsidRDefault="0064039F"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PCO</w:t>
            </w:r>
          </w:p>
        </w:tc>
        <w:tc>
          <w:tcPr>
            <w:tcW w:w="7195" w:type="dxa"/>
            <w:shd w:val="clear" w:color="auto" w:fill="auto"/>
          </w:tcPr>
          <w:p w:rsidR="00B75BB9" w:rsidRPr="004F1AE3" w:rsidRDefault="0064039F" w:rsidP="00865F46">
            <w:pPr>
              <w:keepNext/>
              <w:keepLines/>
              <w:rPr>
                <w:rFonts w:ascii="Times New Roman" w:hAnsi="Times New Roman" w:cs="Times New Roman"/>
                <w:sz w:val="24"/>
                <w:szCs w:val="24"/>
              </w:rPr>
            </w:pPr>
            <w:r w:rsidRPr="004F1AE3">
              <w:rPr>
                <w:rFonts w:ascii="Times New Roman" w:hAnsi="Times New Roman" w:cs="Times New Roman"/>
                <w:sz w:val="24"/>
                <w:szCs w:val="24"/>
              </w:rPr>
              <w:t xml:space="preserve">Platební a certifikační orgán </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PPŽP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Příručka pro žadatele a příjemce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lastRenderedPageBreak/>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Regionální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SP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Studie proveditelnosti</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VK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Výběrová komise</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VŘ</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Výběrové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 xml:space="preserve">ZŘ </w:t>
            </w:r>
          </w:p>
        </w:tc>
        <w:tc>
          <w:tcPr>
            <w:tcW w:w="7195" w:type="dxa"/>
            <w:shd w:val="clear" w:color="auto" w:fill="auto"/>
          </w:tcPr>
          <w:p w:rsidR="00B75BB9" w:rsidRPr="004F1AE3" w:rsidRDefault="00B75BB9" w:rsidP="00865F46">
            <w:pPr>
              <w:keepNext/>
              <w:keepLines/>
              <w:rPr>
                <w:rFonts w:ascii="Times New Roman" w:hAnsi="Times New Roman" w:cs="Times New Roman"/>
                <w:bCs/>
                <w:sz w:val="24"/>
                <w:szCs w:val="24"/>
              </w:rPr>
            </w:pPr>
            <w:r w:rsidRPr="004F1AE3">
              <w:rPr>
                <w:rFonts w:ascii="Times New Roman" w:hAnsi="Times New Roman" w:cs="Times New Roman"/>
                <w:bCs/>
                <w:sz w:val="24"/>
                <w:szCs w:val="24"/>
              </w:rPr>
              <w:t>Zadávací řízení</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ŽoP (ZŽoP)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3" w:name="_Toc285113212"/>
      <w:bookmarkStart w:id="14" w:name="_Toc285113324"/>
      <w:bookmarkStart w:id="15" w:name="_Toc285113408"/>
      <w:bookmarkStart w:id="16" w:name="_Toc311644707"/>
      <w:bookmarkStart w:id="17" w:name="_Toc346195839"/>
      <w:bookmarkStart w:id="18" w:name="_Toc328732730"/>
      <w:bookmarkStart w:id="19" w:name="_Toc365638258"/>
      <w:bookmarkStart w:id="20" w:name="_Toc373858668"/>
      <w:r w:rsidR="00EA49F3" w:rsidRPr="00EA49F3">
        <w:rPr>
          <w:szCs w:val="40"/>
        </w:rPr>
        <w:lastRenderedPageBreak/>
        <w:t>Definice pojmů</w:t>
      </w:r>
      <w:bookmarkEnd w:id="13"/>
      <w:bookmarkEnd w:id="14"/>
      <w:bookmarkEnd w:id="15"/>
      <w:bookmarkEnd w:id="16"/>
      <w:bookmarkEnd w:id="17"/>
      <w:bookmarkEnd w:id="18"/>
      <w:bookmarkEnd w:id="19"/>
      <w:bookmarkEnd w:id="20"/>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7"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r w:rsidR="007042FE" w:rsidRPr="007042FE">
        <w:rPr>
          <w:b w:val="0"/>
        </w:rPr>
        <w:t xml:space="preserve">Přímá úhrada nákladů za zásah jednotky požární ochrany dle zákona č. 160/2013 Sb., o spolufinancování bezpečnostního systému, není příjmem podle čl. 55 Nařízení Rady (ES) 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A46711" w:rsidRDefault="00A46711" w:rsidP="00A46711">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w:t>
      </w:r>
      <w:r w:rsidRPr="00E81A28">
        <w:rPr>
          <w:b w:val="0"/>
        </w:rPr>
        <w:lastRenderedPageBreak/>
        <w:t xml:space="preserve">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18"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1" w:name="_Toc322697042"/>
      <w:bookmarkStart w:id="22" w:name="_Toc322697372"/>
      <w:bookmarkStart w:id="23" w:name="_Toc322697704"/>
      <w:bookmarkStart w:id="24" w:name="_Toc322697960"/>
      <w:bookmarkStart w:id="25" w:name="_Toc322698211"/>
      <w:bookmarkStart w:id="26" w:name="_Toc323217781"/>
      <w:bookmarkStart w:id="27" w:name="_Toc324935158"/>
      <w:bookmarkStart w:id="28" w:name="_Toc322697043"/>
      <w:bookmarkStart w:id="29" w:name="_Toc322697373"/>
      <w:bookmarkStart w:id="30" w:name="_Toc322697705"/>
      <w:bookmarkStart w:id="31" w:name="_Toc322697961"/>
      <w:bookmarkStart w:id="32" w:name="_Toc322698212"/>
      <w:bookmarkStart w:id="33" w:name="_Toc323217782"/>
      <w:bookmarkStart w:id="34" w:name="_Toc324935159"/>
      <w:bookmarkStart w:id="35" w:name="_Toc322697044"/>
      <w:bookmarkStart w:id="36" w:name="_Toc322697374"/>
      <w:bookmarkStart w:id="37" w:name="_Toc322697706"/>
      <w:bookmarkStart w:id="38" w:name="_Toc322697962"/>
      <w:bookmarkStart w:id="39" w:name="_Toc322698213"/>
      <w:bookmarkStart w:id="40" w:name="_Toc323217783"/>
      <w:bookmarkStart w:id="41" w:name="_Toc324935160"/>
      <w:bookmarkStart w:id="42" w:name="_Toc244415563"/>
      <w:bookmarkStart w:id="43" w:name="_Toc346195840"/>
      <w:bookmarkStart w:id="44" w:name="_Toc328732731"/>
      <w:bookmarkStart w:id="45" w:name="_Toc365638259"/>
      <w:bookmarkStart w:id="46" w:name="_Toc37385866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24B61">
        <w:lastRenderedPageBreak/>
        <w:t xml:space="preserve">Informace o IOP a podporovaných </w:t>
      </w:r>
      <w:bookmarkEnd w:id="42"/>
      <w:r w:rsidR="00924B61" w:rsidRPr="0004113D">
        <w:t>oblastech</w:t>
      </w:r>
      <w:bookmarkEnd w:id="43"/>
      <w:bookmarkEnd w:id="44"/>
      <w:bookmarkEnd w:id="45"/>
      <w:bookmarkEnd w:id="46"/>
    </w:p>
    <w:p w:rsidR="007B2A95" w:rsidRPr="00285B0F" w:rsidRDefault="00924B61">
      <w:pPr>
        <w:pStyle w:val="Nadpis2"/>
        <w:keepLines/>
      </w:pPr>
      <w:bookmarkStart w:id="47" w:name="_Toc322697046"/>
      <w:bookmarkStart w:id="48" w:name="_Toc322697376"/>
      <w:bookmarkStart w:id="49" w:name="_Toc322697708"/>
      <w:bookmarkStart w:id="50" w:name="_Toc322697964"/>
      <w:bookmarkStart w:id="51" w:name="_Toc322698215"/>
      <w:bookmarkStart w:id="52" w:name="_Toc323217785"/>
      <w:bookmarkStart w:id="53" w:name="_Toc324935162"/>
      <w:bookmarkStart w:id="54" w:name="_Toc346195841"/>
      <w:bookmarkStart w:id="55" w:name="_Toc328732732"/>
      <w:bookmarkStart w:id="56" w:name="_Toc365638260"/>
      <w:bookmarkStart w:id="57" w:name="_Toc373858670"/>
      <w:bookmarkEnd w:id="47"/>
      <w:bookmarkEnd w:id="48"/>
      <w:bookmarkEnd w:id="49"/>
      <w:bookmarkEnd w:id="50"/>
      <w:bookmarkEnd w:id="51"/>
      <w:bookmarkEnd w:id="52"/>
      <w:bookmarkEnd w:id="53"/>
      <w:r w:rsidRPr="00285B0F">
        <w:t>Co je IOP</w:t>
      </w:r>
      <w:bookmarkEnd w:id="54"/>
      <w:bookmarkEnd w:id="55"/>
      <w:bookmarkEnd w:id="56"/>
      <w:bookmarkEnd w:id="5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pPr>
        <w:pStyle w:val="Nadpis2"/>
        <w:keepLines/>
        <w:rPr>
          <w:lang w:val="cs-CZ"/>
        </w:rPr>
      </w:pPr>
      <w:bookmarkStart w:id="58" w:name="_Toc328732733"/>
      <w:bookmarkStart w:id="59" w:name="_Toc365638261"/>
      <w:bookmarkStart w:id="60" w:name="_Toc346195842"/>
      <w:bookmarkStart w:id="61" w:name="_Toc373858671"/>
      <w:r w:rsidRPr="00645E69">
        <w:rPr>
          <w:lang w:val="cs-CZ"/>
        </w:rPr>
        <w:t xml:space="preserve">Oblast intervence </w:t>
      </w:r>
      <w:bookmarkEnd w:id="58"/>
      <w:bookmarkEnd w:id="59"/>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0"/>
      <w:bookmarkEnd w:id="61"/>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CF5DCC" w:rsidRDefault="00FD4701">
      <w:pPr>
        <w:pStyle w:val="Nadpis3"/>
        <w:keepLines/>
        <w:rPr>
          <w:rFonts w:cs="Times New Roman"/>
          <w:noProof/>
          <w:sz w:val="24"/>
          <w:szCs w:val="24"/>
        </w:rPr>
      </w:pPr>
      <w:bookmarkStart w:id="62" w:name="_Toc327281930"/>
      <w:bookmarkStart w:id="63" w:name="_Toc327282326"/>
      <w:bookmarkStart w:id="64" w:name="_Toc327281931"/>
      <w:bookmarkStart w:id="65" w:name="_Toc327282327"/>
      <w:bookmarkStart w:id="66" w:name="_Toc346195843"/>
      <w:bookmarkStart w:id="67" w:name="_Toc328732736"/>
      <w:bookmarkStart w:id="68" w:name="_Toc365638264"/>
      <w:bookmarkStart w:id="69" w:name="_Toc373858672"/>
      <w:bookmarkEnd w:id="62"/>
      <w:bookmarkEnd w:id="63"/>
      <w:bookmarkEnd w:id="64"/>
      <w:bookmarkEnd w:id="65"/>
      <w:r w:rsidRPr="00FD4701">
        <w:rPr>
          <w:rFonts w:cs="Times New Roman"/>
          <w:noProof/>
          <w:sz w:val="24"/>
          <w:szCs w:val="24"/>
        </w:rPr>
        <w:t>Příjemci</w:t>
      </w:r>
      <w:bookmarkEnd w:id="66"/>
      <w:bookmarkEnd w:id="67"/>
      <w:bookmarkEnd w:id="68"/>
      <w:bookmarkEnd w:id="69"/>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21</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851321" w:rsidRDefault="0039336F"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Pr>
          <w:rFonts w:ascii="Times New Roman" w:hAnsi="Times New Roman" w:cs="Times New Roman"/>
          <w:b/>
          <w:bCs/>
          <w:sz w:val="24"/>
          <w:szCs w:val="24"/>
        </w:rPr>
        <w:t>Ministerstvo vnitra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 xml:space="preserve">Ministerstvo vnitra – </w:t>
      </w:r>
      <w:r w:rsidR="006255C1">
        <w:rPr>
          <w:rFonts w:ascii="Times New Roman" w:hAnsi="Times New Roman" w:cs="Times New Roman"/>
          <w:b/>
          <w:bCs/>
          <w:sz w:val="24"/>
          <w:szCs w:val="24"/>
        </w:rPr>
        <w:t>g</w:t>
      </w:r>
      <w:r w:rsidR="006255C1" w:rsidRPr="00851321">
        <w:rPr>
          <w:rFonts w:ascii="Times New Roman" w:hAnsi="Times New Roman" w:cs="Times New Roman"/>
          <w:b/>
          <w:bCs/>
          <w:sz w:val="24"/>
          <w:szCs w:val="24"/>
        </w:rPr>
        <w:t>enerální</w:t>
      </w:r>
      <w:r w:rsidRPr="00851321">
        <w:rPr>
          <w:rFonts w:ascii="Times New Roman" w:hAnsi="Times New Roman" w:cs="Times New Roman"/>
          <w:b/>
          <w:bCs/>
          <w:sz w:val="24"/>
          <w:szCs w:val="24"/>
        </w:rPr>
        <w:t xml:space="preserve"> ředitelství HZS ČR</w:t>
      </w:r>
    </w:p>
    <w:p w:rsidR="00851321" w:rsidRPr="00851321"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Ministerstvo vnitra – Policejní prezidium ČR</w:t>
      </w:r>
    </w:p>
    <w:p w:rsidR="0049313D"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bCs/>
          <w:sz w:val="24"/>
          <w:szCs w:val="24"/>
        </w:rPr>
      </w:pPr>
      <w:r w:rsidRPr="00851321">
        <w:rPr>
          <w:rFonts w:ascii="Times New Roman" w:hAnsi="Times New Roman" w:cs="Times New Roman"/>
          <w:b/>
          <w:bCs/>
          <w:sz w:val="24"/>
          <w:szCs w:val="24"/>
        </w:rPr>
        <w:t>Krajská ředitelství Policie ČR</w:t>
      </w:r>
    </w:p>
    <w:p w:rsidR="00851321" w:rsidRPr="00403928" w:rsidRDefault="00851321" w:rsidP="00851321">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7B2A95" w:rsidRPr="00CF5DCC" w:rsidRDefault="00FD4701">
      <w:pPr>
        <w:pStyle w:val="Nadpis3"/>
        <w:keepLines/>
      </w:pPr>
      <w:bookmarkStart w:id="70" w:name="_Toc344384674"/>
      <w:bookmarkStart w:id="71" w:name="_Toc344384675"/>
      <w:bookmarkStart w:id="72" w:name="_Toc344384676"/>
      <w:bookmarkStart w:id="73" w:name="_Toc344384677"/>
      <w:bookmarkStart w:id="74" w:name="_Toc344384678"/>
      <w:bookmarkStart w:id="75" w:name="_Toc344384679"/>
      <w:bookmarkStart w:id="76" w:name="_Toc344384682"/>
      <w:bookmarkStart w:id="77" w:name="_Toc344384683"/>
      <w:bookmarkStart w:id="78" w:name="_Toc344384685"/>
      <w:bookmarkStart w:id="79" w:name="_Toc344384686"/>
      <w:bookmarkStart w:id="80" w:name="_Toc344384688"/>
      <w:bookmarkStart w:id="81" w:name="_Toc327281933"/>
      <w:bookmarkStart w:id="82" w:name="_Toc327282329"/>
      <w:bookmarkStart w:id="83" w:name="_Toc327281934"/>
      <w:bookmarkStart w:id="84" w:name="_Toc327282330"/>
      <w:bookmarkStart w:id="85" w:name="_Toc346195844"/>
      <w:bookmarkStart w:id="86" w:name="_Toc37385867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D4701">
        <w:rPr>
          <w:rFonts w:cs="Times New Roman"/>
          <w:sz w:val="24"/>
          <w:szCs w:val="24"/>
        </w:rPr>
        <w:t>Pod</w:t>
      </w:r>
      <w:r w:rsidRPr="00FD4701">
        <w:t>porovaná aktivita</w:t>
      </w:r>
      <w:bookmarkEnd w:id="85"/>
      <w:bookmarkEnd w:id="86"/>
    </w:p>
    <w:p w:rsidR="000623DE" w:rsidRDefault="00FD4701" w:rsidP="000623DE">
      <w:pPr>
        <w:keepNext/>
        <w:keepLines/>
        <w:autoSpaceDE w:val="0"/>
        <w:autoSpaceDN w:val="0"/>
        <w:adjustRightInd w:val="0"/>
        <w:rPr>
          <w:rFonts w:ascii="Times New Roman" w:hAnsi="Times New Roman" w:cs="Times New Roman"/>
          <w:b/>
          <w:sz w:val="24"/>
        </w:rPr>
      </w:pPr>
      <w:r w:rsidRPr="00FD4701">
        <w:rPr>
          <w:rFonts w:ascii="Times New Roman" w:hAnsi="Times New Roman" w:cs="Times New Roman"/>
          <w:b/>
          <w:sz w:val="24"/>
        </w:rPr>
        <w:t>Zajištění efektivní hlasové a datové komunikace složek IZS při řešení mimořádných událostí</w:t>
      </w:r>
      <w:r w:rsidR="006255C1">
        <w:rPr>
          <w:rFonts w:ascii="Times New Roman" w:hAnsi="Times New Roman" w:cs="Times New Roman"/>
          <w:b/>
          <w:sz w:val="24"/>
        </w:rPr>
        <w:t xml:space="preserve"> </w:t>
      </w:r>
      <w:r w:rsidR="006255C1" w:rsidRPr="006255C1">
        <w:rPr>
          <w:rFonts w:ascii="Times New Roman" w:hAnsi="Times New Roman" w:cs="Times New Roman"/>
          <w:b/>
          <w:sz w:val="24"/>
        </w:rPr>
        <w:t>IZS prostřednictvím efektivní hlasové a datové komunikace složek IZS</w:t>
      </w:r>
      <w:r w:rsidR="000623DE">
        <w:rPr>
          <w:rFonts w:ascii="Times New Roman" w:hAnsi="Times New Roman" w:cs="Times New Roman"/>
          <w:b/>
          <w:sz w:val="24"/>
        </w:rPr>
        <w:t>.</w:t>
      </w:r>
    </w:p>
    <w:p w:rsidR="00916DD5" w:rsidRDefault="000623DE" w:rsidP="00916DD5">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e </w:t>
      </w:r>
      <w:r w:rsidRPr="00916DD5">
        <w:rPr>
          <w:rFonts w:ascii="Times New Roman" w:hAnsi="Times New Roman"/>
          <w:sz w:val="24"/>
        </w:rPr>
        <w:t xml:space="preserve">zvýšení </w:t>
      </w:r>
      <w:r w:rsidR="006255C1">
        <w:rPr>
          <w:rFonts w:ascii="Times New Roman" w:hAnsi="Times New Roman"/>
          <w:sz w:val="24"/>
        </w:rPr>
        <w:t xml:space="preserve">efektivnosti, </w:t>
      </w:r>
      <w:r w:rsidRPr="00916DD5">
        <w:rPr>
          <w:rFonts w:ascii="Times New Roman" w:hAnsi="Times New Roman"/>
          <w:sz w:val="24"/>
        </w:rPr>
        <w:t xml:space="preserve">kapacity a spolehlivosti hromadné radiokomunikační sítě </w:t>
      </w:r>
      <w:r w:rsidR="006255C1">
        <w:rPr>
          <w:rFonts w:ascii="Times New Roman" w:hAnsi="Times New Roman"/>
          <w:sz w:val="24"/>
        </w:rPr>
        <w:t>i</w:t>
      </w:r>
      <w:r w:rsidRPr="00916DD5">
        <w:rPr>
          <w:rFonts w:ascii="Times New Roman" w:hAnsi="Times New Roman"/>
          <w:sz w:val="24"/>
        </w:rPr>
        <w:t>ntegrovaného záchranného systému</w:t>
      </w:r>
      <w:r w:rsidR="00916DD5">
        <w:rPr>
          <w:rFonts w:ascii="Times New Roman" w:hAnsi="Times New Roman"/>
          <w:sz w:val="24"/>
        </w:rPr>
        <w:t>.</w:t>
      </w:r>
    </w:p>
    <w:p w:rsidR="000623DE" w:rsidRPr="00916DD5" w:rsidRDefault="00916DD5" w:rsidP="00916DD5">
      <w:pPr>
        <w:rPr>
          <w:rFonts w:ascii="Times New Roman" w:hAnsi="Times New Roman"/>
          <w:sz w:val="24"/>
        </w:rPr>
      </w:pPr>
      <w:r>
        <w:rPr>
          <w:rFonts w:ascii="Times New Roman" w:hAnsi="Times New Roman"/>
          <w:sz w:val="24"/>
        </w:rPr>
        <w:t>Aktivity:</w:t>
      </w:r>
      <w:r w:rsidR="000623DE" w:rsidRPr="00916DD5">
        <w:rPr>
          <w:rFonts w:ascii="Times New Roman" w:hAnsi="Times New Roman"/>
          <w:sz w:val="24"/>
        </w:rPr>
        <w:t xml:space="preserve">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zavedení nových funkcí hromadné radiokomunikační sítě </w:t>
      </w:r>
      <w:r w:rsidR="006255C1">
        <w:rPr>
          <w:rFonts w:ascii="Times New Roman" w:hAnsi="Times New Roman"/>
          <w:sz w:val="24"/>
        </w:rPr>
        <w:t>i</w:t>
      </w:r>
      <w:r w:rsidRPr="000623DE">
        <w:rPr>
          <w:rFonts w:ascii="Times New Roman" w:hAnsi="Times New Roman"/>
          <w:sz w:val="24"/>
        </w:rPr>
        <w:t>ntegrovaného záchranného systému</w:t>
      </w:r>
      <w:r w:rsidR="00916DD5">
        <w:rPr>
          <w:rFonts w:ascii="Times New Roman" w:hAnsi="Times New Roman"/>
          <w:sz w:val="24"/>
        </w:rPr>
        <w:t>,</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lastRenderedPageBreak/>
        <w:t>zajištění bezpečné</w:t>
      </w:r>
      <w:r w:rsidR="00916DD5">
        <w:rPr>
          <w:rFonts w:ascii="Times New Roman" w:hAnsi="Times New Roman"/>
          <w:sz w:val="24"/>
        </w:rPr>
        <w:t>ho</w:t>
      </w:r>
      <w:r w:rsidRPr="000623DE">
        <w:rPr>
          <w:rFonts w:ascii="Times New Roman" w:hAnsi="Times New Roman"/>
          <w:sz w:val="24"/>
        </w:rPr>
        <w:t xml:space="preserve"> a spolehlivé</w:t>
      </w:r>
      <w:r w:rsidR="00916DD5">
        <w:rPr>
          <w:rFonts w:ascii="Times New Roman" w:hAnsi="Times New Roman"/>
          <w:sz w:val="24"/>
        </w:rPr>
        <w:t>ho</w:t>
      </w:r>
      <w:r w:rsidRPr="000623DE">
        <w:rPr>
          <w:rFonts w:ascii="Times New Roman" w:hAnsi="Times New Roman"/>
          <w:sz w:val="24"/>
        </w:rPr>
        <w:t xml:space="preserve"> propojení sítě s další komunikační a operační technikou a vybavením složek </w:t>
      </w:r>
      <w:r w:rsidR="006255C1">
        <w:rPr>
          <w:rFonts w:ascii="Times New Roman" w:hAnsi="Times New Roman"/>
          <w:sz w:val="24"/>
        </w:rPr>
        <w:t>i</w:t>
      </w:r>
      <w:r w:rsidRPr="000623DE">
        <w:rPr>
          <w:rFonts w:ascii="Times New Roman" w:hAnsi="Times New Roman"/>
          <w:sz w:val="24"/>
        </w:rPr>
        <w:t xml:space="preserve">ntegrovaného záchranného systému, která se nachází mimo tuto síť,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posílení</w:t>
      </w:r>
      <w:r w:rsidR="006255C1">
        <w:rPr>
          <w:rFonts w:ascii="Times New Roman" w:hAnsi="Times New Roman"/>
          <w:sz w:val="24"/>
        </w:rPr>
        <w:t>,</w:t>
      </w:r>
      <w:r w:rsidR="00CA2534">
        <w:rPr>
          <w:rFonts w:ascii="Times New Roman" w:hAnsi="Times New Roman"/>
          <w:sz w:val="24"/>
        </w:rPr>
        <w:t xml:space="preserve"> </w:t>
      </w:r>
      <w:r w:rsidRPr="000623DE">
        <w:rPr>
          <w:rFonts w:ascii="Times New Roman" w:hAnsi="Times New Roman"/>
          <w:sz w:val="24"/>
        </w:rPr>
        <w:t xml:space="preserve">modernizace a </w:t>
      </w:r>
      <w:r w:rsidR="006255C1" w:rsidRPr="000623DE">
        <w:rPr>
          <w:rFonts w:ascii="Times New Roman" w:hAnsi="Times New Roman"/>
          <w:sz w:val="24"/>
        </w:rPr>
        <w:t>výstavb</w:t>
      </w:r>
      <w:r w:rsidR="006255C1">
        <w:rPr>
          <w:rFonts w:ascii="Times New Roman" w:hAnsi="Times New Roman"/>
          <w:sz w:val="24"/>
        </w:rPr>
        <w:t>a</w:t>
      </w:r>
      <w:r w:rsidRPr="000623DE">
        <w:rPr>
          <w:rFonts w:ascii="Times New Roman" w:hAnsi="Times New Roman"/>
          <w:sz w:val="24"/>
        </w:rPr>
        <w:t xml:space="preserve"> infrastruktury základnových stanic a ústředen,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nákup, modernizac</w:t>
      </w:r>
      <w:r w:rsidR="00916DD5">
        <w:rPr>
          <w:rFonts w:ascii="Times New Roman" w:hAnsi="Times New Roman"/>
          <w:sz w:val="24"/>
        </w:rPr>
        <w:t>e</w:t>
      </w:r>
      <w:r w:rsidRPr="000623DE">
        <w:rPr>
          <w:rFonts w:ascii="Times New Roman" w:hAnsi="Times New Roman"/>
          <w:sz w:val="24"/>
        </w:rPr>
        <w:t xml:space="preserve"> a aktualizac</w:t>
      </w:r>
      <w:r w:rsidR="00916DD5">
        <w:rPr>
          <w:rFonts w:ascii="Times New Roman" w:hAnsi="Times New Roman"/>
          <w:sz w:val="24"/>
        </w:rPr>
        <w:t>e</w:t>
      </w:r>
      <w:r w:rsidRPr="000623DE">
        <w:rPr>
          <w:rFonts w:ascii="Times New Roman" w:hAnsi="Times New Roman"/>
          <w:sz w:val="24"/>
        </w:rPr>
        <w:t xml:space="preserve"> programového vybavení sítě, </w:t>
      </w:r>
    </w:p>
    <w:p w:rsidR="000623DE" w:rsidRPr="000623DE"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 xml:space="preserve">zvýšení propustnosti a spolehlivosti sítě při nasazení většího počtu jednotek IZS nebo v oblastech s nepříznivým terénem pro šíření radiového signálu pomocí mobilních opakovačů a spojových vozidel, </w:t>
      </w:r>
    </w:p>
    <w:p w:rsidR="00851321" w:rsidRDefault="000623DE" w:rsidP="000623DE">
      <w:pPr>
        <w:pStyle w:val="Odstavecseseznamem"/>
        <w:numPr>
          <w:ilvl w:val="0"/>
          <w:numId w:val="310"/>
        </w:numPr>
        <w:jc w:val="both"/>
        <w:rPr>
          <w:rFonts w:ascii="Times New Roman" w:hAnsi="Times New Roman"/>
          <w:sz w:val="24"/>
        </w:rPr>
      </w:pPr>
      <w:r w:rsidRPr="000623DE">
        <w:rPr>
          <w:rFonts w:ascii="Times New Roman" w:hAnsi="Times New Roman"/>
          <w:sz w:val="24"/>
        </w:rPr>
        <w:t>pořízení moderních koncových zařízení sítě a příslušenství k</w:t>
      </w:r>
      <w:r>
        <w:rPr>
          <w:rFonts w:ascii="Times New Roman" w:hAnsi="Times New Roman"/>
          <w:sz w:val="24"/>
        </w:rPr>
        <w:t> </w:t>
      </w:r>
      <w:r w:rsidRPr="000623DE">
        <w:rPr>
          <w:rFonts w:ascii="Times New Roman" w:hAnsi="Times New Roman"/>
          <w:sz w:val="24"/>
        </w:rPr>
        <w:t>nim</w:t>
      </w:r>
      <w:r>
        <w:rPr>
          <w:rFonts w:ascii="Times New Roman" w:hAnsi="Times New Roman"/>
          <w:sz w:val="24"/>
        </w:rPr>
        <w:t>.</w:t>
      </w:r>
    </w:p>
    <w:p w:rsidR="000623DE" w:rsidRPr="000623DE" w:rsidRDefault="000623DE" w:rsidP="000623DE">
      <w:pPr>
        <w:pStyle w:val="Odstavecseseznamem"/>
        <w:jc w:val="both"/>
        <w:rPr>
          <w:rFonts w:ascii="Times New Roman" w:hAnsi="Times New Roman"/>
          <w:sz w:val="24"/>
        </w:rPr>
      </w:pPr>
    </w:p>
    <w:p w:rsidR="00851321" w:rsidRPr="00A65370" w:rsidRDefault="00851321">
      <w:pPr>
        <w:pStyle w:val="Nadpis3"/>
        <w:keepLines/>
      </w:pPr>
      <w:bookmarkStart w:id="87" w:name="_Toc346195845"/>
      <w:bookmarkStart w:id="88" w:name="_Toc328732738"/>
      <w:bookmarkStart w:id="89" w:name="_Toc365638266"/>
      <w:bookmarkStart w:id="90" w:name="_Toc373858674"/>
      <w:r w:rsidRPr="00A65370">
        <w:t>Typ podpory</w:t>
      </w:r>
      <w:bookmarkEnd w:id="87"/>
      <w:bookmarkEnd w:id="88"/>
      <w:bookmarkEnd w:id="89"/>
      <w:bookmarkEnd w:id="90"/>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48085A"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1" w:name="_Toc190082363"/>
      <w:bookmarkStart w:id="92" w:name="_Toc285113222"/>
      <w:bookmarkStart w:id="93" w:name="_Toc285113334"/>
      <w:bookmarkStart w:id="94" w:name="_Toc285113418"/>
      <w:bookmarkStart w:id="95" w:name="_Toc311644717"/>
      <w:bookmarkStart w:id="96" w:name="_Toc346195846"/>
      <w:bookmarkStart w:id="97" w:name="_Toc328732740"/>
      <w:bookmarkStart w:id="98" w:name="_Toc365638267"/>
      <w:bookmarkStart w:id="99" w:name="_Toc373858675"/>
      <w:r w:rsidRPr="00A65370">
        <w:t>Struktura financování</w:t>
      </w:r>
      <w:bookmarkEnd w:id="91"/>
      <w:bookmarkEnd w:id="92"/>
      <w:bookmarkEnd w:id="93"/>
      <w:bookmarkEnd w:id="94"/>
      <w:bookmarkEnd w:id="95"/>
      <w:bookmarkEnd w:id="96"/>
      <w:bookmarkEnd w:id="97"/>
      <w:bookmarkEnd w:id="98"/>
      <w:bookmarkEnd w:id="99"/>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51321" w:rsidRDefault="00851321" w:rsidP="00851321">
      <w:pPr>
        <w:rPr>
          <w:rFonts w:ascii="Times New Roman" w:hAnsi="Times New Roman" w:cs="Times New Roman"/>
          <w:sz w:val="24"/>
        </w:rPr>
      </w:pPr>
    </w:p>
    <w:p w:rsidR="000623DE" w:rsidRDefault="000623DE">
      <w:pPr>
        <w:pStyle w:val="Nadpis3"/>
        <w:keepLines/>
      </w:pPr>
      <w:bookmarkStart w:id="100" w:name="_Toc346195847"/>
      <w:bookmarkStart w:id="101" w:name="_Toc328732741"/>
      <w:bookmarkStart w:id="102" w:name="_Toc365638268"/>
      <w:bookmarkStart w:id="103" w:name="_Toc373858676"/>
      <w:r>
        <w:t>Způsobilé výdaje</w:t>
      </w:r>
      <w:bookmarkEnd w:id="100"/>
      <w:bookmarkEnd w:id="101"/>
      <w:bookmarkEnd w:id="102"/>
      <w:bookmarkEnd w:id="103"/>
    </w:p>
    <w:p w:rsidR="000623DE" w:rsidRPr="00BF0739" w:rsidRDefault="000623DE" w:rsidP="000623DE">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0623DE" w:rsidRPr="00BF0739" w:rsidRDefault="000623DE" w:rsidP="000623DE">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0623DE" w:rsidRPr="00B7099E" w:rsidRDefault="000623DE" w:rsidP="000623DE">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rozpočtované prostředky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 v</w:t>
      </w:r>
      <w:r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Pr>
          <w:rFonts w:ascii="Times New Roman" w:hAnsi="Times New Roman" w:cs="Times New Roman"/>
          <w:noProof/>
          <w:color w:val="231F20"/>
          <w:sz w:val="24"/>
          <w:szCs w:val="24"/>
        </w:rPr>
        <w:t>,</w:t>
      </w:r>
    </w:p>
    <w:p w:rsidR="000623DE" w:rsidRPr="00B7099E" w:rsidRDefault="000623DE" w:rsidP="000623DE">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0623DE" w:rsidRDefault="000623DE" w:rsidP="00851321">
      <w:pPr>
        <w:rPr>
          <w:rFonts w:ascii="Times New Roman" w:hAnsi="Times New Roman" w:cs="Times New Roman"/>
          <w:sz w:val="24"/>
        </w:rPr>
      </w:pPr>
    </w:p>
    <w:p w:rsidR="00851321" w:rsidRPr="00B7099E" w:rsidRDefault="00851321" w:rsidP="00851321">
      <w:pPr>
        <w:keepNext/>
        <w:keepLines/>
        <w:numPr>
          <w:ilvl w:val="0"/>
          <w:numId w:val="13"/>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lastRenderedPageBreak/>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skutečně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Stanovení výdajů ukončena;</w:t>
      </w:r>
      <w:r>
        <w:rPr>
          <w:rFonts w:ascii="Times New Roman" w:hAnsi="Times New Roman" w:cs="Times New Roman"/>
          <w:noProof/>
          <w:sz w:val="24"/>
          <w:szCs w:val="24"/>
        </w:rPr>
        <w:t xml:space="preserve"> d</w:t>
      </w:r>
      <w:r w:rsidRPr="00B7099E">
        <w:rPr>
          <w:rFonts w:ascii="Times New Roman" w:hAnsi="Times New Roman" w:cs="Times New Roman"/>
          <w:noProof/>
          <w:sz w:val="24"/>
          <w:szCs w:val="24"/>
        </w:rPr>
        <w:t>aný výdaj se musí vztahovat k dané etapě</w:t>
      </w:r>
      <w:r>
        <w:rPr>
          <w:rFonts w:ascii="Times New Roman" w:hAnsi="Times New Roman" w:cs="Times New Roman"/>
          <w:noProof/>
          <w:sz w:val="24"/>
          <w:szCs w:val="24"/>
        </w:rPr>
        <w:t>;</w:t>
      </w:r>
    </w:p>
    <w:p w:rsidR="00851321" w:rsidRPr="00B7099E" w:rsidRDefault="00851321" w:rsidP="00851321">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w:t>
      </w:r>
      <w:r>
        <w:rPr>
          <w:rFonts w:ascii="Times New Roman" w:hAnsi="Times New Roman" w:cs="Times New Roman"/>
          <w:noProof/>
          <w:color w:val="231F20"/>
          <w:sz w:val="24"/>
          <w:szCs w:val="24"/>
        </w:rPr>
        <w:t xml:space="preserve">identifikovatelné, </w:t>
      </w:r>
      <w:r w:rsidRPr="00B7099E">
        <w:rPr>
          <w:rFonts w:ascii="Times New Roman" w:hAnsi="Times New Roman" w:cs="Times New Roman"/>
          <w:noProof/>
          <w:color w:val="231F20"/>
          <w:sz w:val="24"/>
          <w:szCs w:val="24"/>
        </w:rPr>
        <w:t>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4" w:name="_Toc323555540"/>
      <w:bookmarkStart w:id="105" w:name="_Toc323556773"/>
      <w:bookmarkStart w:id="106" w:name="_Toc323555546"/>
      <w:bookmarkStart w:id="107" w:name="_Toc323556779"/>
      <w:bookmarkStart w:id="108" w:name="_Toc323555554"/>
      <w:bookmarkStart w:id="109" w:name="_Toc323556787"/>
      <w:bookmarkStart w:id="110" w:name="_Toc323555555"/>
      <w:bookmarkStart w:id="111" w:name="_Toc323556788"/>
      <w:bookmarkEnd w:id="104"/>
      <w:bookmarkEnd w:id="105"/>
      <w:bookmarkEnd w:id="106"/>
      <w:bookmarkEnd w:id="107"/>
      <w:bookmarkEnd w:id="108"/>
      <w:bookmarkEnd w:id="109"/>
      <w:bookmarkEnd w:id="110"/>
      <w:bookmarkEnd w:id="111"/>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476DF0" w:rsidRPr="00476DF0" w:rsidRDefault="00E1613E" w:rsidP="0060682B">
      <w:pPr>
        <w:keepNext/>
        <w:keepLines/>
        <w:autoSpaceDE w:val="0"/>
        <w:autoSpaceDN w:val="0"/>
        <w:adjustRightInd w:val="0"/>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CRR</w:t>
      </w:r>
      <w:r w:rsidR="00425900">
        <w:rPr>
          <w:rFonts w:ascii="Times New Roman" w:hAnsi="Times New Roman" w:cs="Times New Roman"/>
          <w:bCs/>
          <w:noProof/>
          <w:color w:val="231F20"/>
          <w:sz w:val="24"/>
          <w:szCs w:val="24"/>
        </w:rPr>
        <w:t xml:space="preserve"> ČR</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Cs/>
          <w:noProof/>
          <w:color w:val="231F20"/>
          <w:sz w:val="24"/>
          <w:szCs w:val="24"/>
        </w:rPr>
        <w:t>posuz</w:t>
      </w:r>
      <w:r>
        <w:rPr>
          <w:rFonts w:ascii="Times New Roman" w:hAnsi="Times New Roman" w:cs="Times New Roman"/>
          <w:bCs/>
          <w:noProof/>
          <w:color w:val="231F20"/>
          <w:sz w:val="24"/>
          <w:szCs w:val="24"/>
        </w:rPr>
        <w:t>uje</w:t>
      </w:r>
      <w:r w:rsidR="00476DF0" w:rsidRPr="00476DF0">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odůvodněnost</w:t>
      </w:r>
      <w:r>
        <w:rPr>
          <w:rFonts w:ascii="Times New Roman" w:hAnsi="Times New Roman" w:cs="Times New Roman"/>
          <w:b/>
          <w:bCs/>
          <w:noProof/>
          <w:color w:val="231F20"/>
          <w:sz w:val="24"/>
          <w:szCs w:val="24"/>
        </w:rPr>
        <w:t xml:space="preserve"> výdajů</w:t>
      </w:r>
      <w:r w:rsidR="00476DF0" w:rsidRPr="00476DF0">
        <w:rPr>
          <w:rFonts w:ascii="Times New Roman" w:hAnsi="Times New Roman" w:cs="Times New Roman"/>
          <w:bCs/>
          <w:noProof/>
          <w:color w:val="231F20"/>
          <w:sz w:val="24"/>
          <w:szCs w:val="24"/>
        </w:rPr>
        <w:t xml:space="preserve">, </w:t>
      </w:r>
      <w:r w:rsidR="00FD4701" w:rsidRPr="00FD4701">
        <w:rPr>
          <w:rFonts w:ascii="Times New Roman" w:hAnsi="Times New Roman" w:cs="Times New Roman"/>
          <w:b/>
          <w:bCs/>
          <w:noProof/>
          <w:color w:val="231F20"/>
          <w:sz w:val="24"/>
          <w:szCs w:val="24"/>
        </w:rPr>
        <w:t>jejich</w:t>
      </w:r>
      <w:r>
        <w:rPr>
          <w:rFonts w:ascii="Times New Roman" w:hAnsi="Times New Roman" w:cs="Times New Roman"/>
          <w:bCs/>
          <w:noProof/>
          <w:color w:val="231F20"/>
          <w:sz w:val="24"/>
          <w:szCs w:val="24"/>
        </w:rPr>
        <w:t xml:space="preserve"> </w:t>
      </w:r>
      <w:r w:rsidR="00476DF0" w:rsidRPr="00476DF0">
        <w:rPr>
          <w:rFonts w:ascii="Times New Roman" w:hAnsi="Times New Roman" w:cs="Times New Roman"/>
          <w:b/>
          <w:bCs/>
          <w:noProof/>
          <w:color w:val="231F20"/>
          <w:sz w:val="24"/>
          <w:szCs w:val="24"/>
        </w:rPr>
        <w:t>zařazení do jednotlivých kategorií rozpočtu</w:t>
      </w:r>
      <w:r w:rsidR="00476DF0" w:rsidRPr="00476DF0">
        <w:rPr>
          <w:rFonts w:ascii="Times New Roman" w:hAnsi="Times New Roman" w:cs="Times New Roman"/>
          <w:bCs/>
          <w:noProof/>
          <w:color w:val="231F20"/>
          <w:sz w:val="24"/>
          <w:szCs w:val="24"/>
        </w:rPr>
        <w:t xml:space="preserve"> a co </w:t>
      </w:r>
      <w:r w:rsidR="00476DF0" w:rsidRPr="00476DF0">
        <w:rPr>
          <w:rFonts w:ascii="Times New Roman" w:hAnsi="Times New Roman" w:cs="Times New Roman"/>
          <w:b/>
          <w:bCs/>
          <w:noProof/>
          <w:color w:val="231F20"/>
          <w:sz w:val="24"/>
          <w:szCs w:val="24"/>
        </w:rPr>
        <w:t xml:space="preserve">nejobjektivnější vymezení </w:t>
      </w:r>
      <w:r>
        <w:rPr>
          <w:rFonts w:ascii="Times New Roman" w:hAnsi="Times New Roman" w:cs="Times New Roman"/>
          <w:bCs/>
          <w:noProof/>
          <w:color w:val="231F20"/>
          <w:sz w:val="24"/>
          <w:szCs w:val="24"/>
        </w:rPr>
        <w:t>jejich počtu a výše</w:t>
      </w:r>
      <w:r w:rsidR="00476DF0" w:rsidRPr="00476DF0">
        <w:rPr>
          <w:rFonts w:ascii="Times New Roman" w:hAnsi="Times New Roman" w:cs="Times New Roman"/>
          <w:bCs/>
          <w:noProof/>
          <w:color w:val="231F20"/>
          <w:sz w:val="24"/>
          <w:szCs w:val="24"/>
        </w:rPr>
        <w:t>.</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avšak je nutné prokázat dodržení všech pravidel výzvy. </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noProof/>
          <w:color w:val="231F20"/>
          <w:sz w:val="24"/>
          <w:szCs w:val="24"/>
        </w:rPr>
      </w:pPr>
      <w:r w:rsidRPr="00476DF0">
        <w:rPr>
          <w:rFonts w:ascii="Times New Roman" w:hAnsi="Times New Roman" w:cs="Times New Roman"/>
          <w:b/>
          <w:noProof/>
          <w:color w:val="231F20"/>
          <w:sz w:val="24"/>
          <w:szCs w:val="24"/>
        </w:rPr>
        <w:t>Náklady projektu jsou způsobilé, jestliže vznikly v době realizace projektu a byly prokazatelně  uhrazeny.</w:t>
      </w:r>
    </w:p>
    <w:p w:rsidR="00046FCF" w:rsidRPr="00476DF0" w:rsidRDefault="00046FCF" w:rsidP="00476DF0">
      <w:pPr>
        <w:keepNext/>
        <w:keepLines/>
        <w:autoSpaceDE w:val="0"/>
        <w:autoSpaceDN w:val="0"/>
        <w:adjustRightInd w:val="0"/>
        <w:ind w:right="-108"/>
        <w:rPr>
          <w:rFonts w:ascii="Times New Roman" w:hAnsi="Times New Roman" w:cs="Times New Roman"/>
          <w:bCs/>
          <w:noProof/>
          <w:color w:val="231F20"/>
          <w:sz w:val="24"/>
          <w:szCs w:val="24"/>
        </w:rPr>
      </w:pPr>
    </w:p>
    <w:p w:rsidR="00B7099E" w:rsidRPr="00021375" w:rsidRDefault="00B7099E" w:rsidP="007E3172">
      <w:pPr>
        <w:keepNext/>
        <w:keepLines/>
        <w:rPr>
          <w:rFonts w:ascii="Times New Roman" w:hAnsi="Times New Roman" w:cs="Times New Roman"/>
          <w:b/>
          <w:sz w:val="24"/>
          <w:szCs w:val="24"/>
        </w:rPr>
      </w:pPr>
      <w:r w:rsidRPr="002A57B9">
        <w:rPr>
          <w:rFonts w:ascii="Times New Roman" w:hAnsi="Times New Roman" w:cs="Times New Roman"/>
          <w:b/>
          <w:sz w:val="24"/>
          <w:szCs w:val="24"/>
        </w:rPr>
        <w:t>Způsobil</w:t>
      </w:r>
      <w:r w:rsidR="00021375" w:rsidRPr="002A57B9">
        <w:rPr>
          <w:rFonts w:ascii="Times New Roman" w:hAnsi="Times New Roman" w:cs="Times New Roman"/>
          <w:b/>
          <w:sz w:val="24"/>
          <w:szCs w:val="24"/>
        </w:rPr>
        <w:t>ými</w:t>
      </w:r>
      <w:r w:rsidRPr="002A57B9">
        <w:rPr>
          <w:rFonts w:ascii="Times New Roman" w:hAnsi="Times New Roman" w:cs="Times New Roman"/>
          <w:b/>
          <w:sz w:val="24"/>
          <w:szCs w:val="24"/>
        </w:rPr>
        <w:t xml:space="preserve"> výdaj</w:t>
      </w:r>
      <w:r w:rsidR="00021375" w:rsidRPr="002A57B9">
        <w:rPr>
          <w:rFonts w:ascii="Times New Roman" w:hAnsi="Times New Roman" w:cs="Times New Roman"/>
          <w:b/>
          <w:sz w:val="24"/>
          <w:szCs w:val="24"/>
        </w:rPr>
        <w:t>i jsou: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dlouhodobého hmotného </w:t>
      </w:r>
      <w:r w:rsidR="00DC061B">
        <w:rPr>
          <w:rFonts w:ascii="Times New Roman" w:hAnsi="Times New Roman" w:cs="Times New Roman"/>
          <w:noProof/>
          <w:color w:val="231F20"/>
          <w:sz w:val="24"/>
          <w:szCs w:val="24"/>
        </w:rPr>
        <w:t xml:space="preserve">a nehmotného </w:t>
      </w:r>
      <w:r w:rsidRPr="00E4164C">
        <w:rPr>
          <w:rFonts w:ascii="Times New Roman" w:hAnsi="Times New Roman" w:cs="Times New Roman"/>
          <w:noProof/>
          <w:color w:val="231F20"/>
          <w:sz w:val="24"/>
          <w:szCs w:val="24"/>
        </w:rPr>
        <w:t>majetku souvisejícího s aktivitami projektu,</w:t>
      </w:r>
    </w:p>
    <w:p w:rsidR="00E4164C" w:rsidRPr="00E4164C" w:rsidRDefault="00E4164C" w:rsidP="00E4164C">
      <w:pPr>
        <w:numPr>
          <w:ilvl w:val="0"/>
          <w:numId w:val="174"/>
        </w:numPr>
        <w:autoSpaceDE w:val="0"/>
        <w:autoSpaceDN w:val="0"/>
        <w:adjustRightInd w:val="0"/>
        <w:ind w:left="714" w:hanging="357"/>
        <w:rPr>
          <w:rFonts w:ascii="Times New Roman" w:hAnsi="Times New Roman" w:cs="Times New Roman"/>
          <w:noProof/>
          <w:color w:val="231F20"/>
          <w:sz w:val="24"/>
          <w:szCs w:val="24"/>
        </w:rPr>
      </w:pPr>
      <w:r w:rsidRPr="00E4164C">
        <w:rPr>
          <w:rFonts w:ascii="Times New Roman" w:hAnsi="Times New Roman" w:cs="Times New Roman"/>
          <w:noProof/>
          <w:color w:val="231F20"/>
          <w:sz w:val="24"/>
          <w:szCs w:val="24"/>
        </w:rPr>
        <w:t xml:space="preserve">pořízení drobného dlouhodobého hmotného a nehmotného majetku souvisejícího </w:t>
      </w:r>
      <w:r w:rsidR="005A0383">
        <w:rPr>
          <w:rFonts w:ascii="Times New Roman" w:hAnsi="Times New Roman" w:cs="Times New Roman"/>
          <w:noProof/>
          <w:color w:val="231F20"/>
          <w:sz w:val="24"/>
          <w:szCs w:val="24"/>
        </w:rPr>
        <w:br/>
      </w:r>
      <w:r w:rsidRPr="00E4164C">
        <w:rPr>
          <w:rFonts w:ascii="Times New Roman" w:hAnsi="Times New Roman" w:cs="Times New Roman"/>
          <w:noProof/>
          <w:color w:val="231F20"/>
          <w:sz w:val="24"/>
          <w:szCs w:val="24"/>
        </w:rPr>
        <w:t>s aktivitami projektu,</w:t>
      </w:r>
    </w:p>
    <w:p w:rsidR="00916DD5" w:rsidRPr="00916DD5"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851321">
        <w:rPr>
          <w:rFonts w:ascii="Times New Roman" w:hAnsi="Times New Roman"/>
          <w:noProof/>
          <w:color w:val="231F20"/>
          <w:sz w:val="24"/>
          <w:szCs w:val="24"/>
        </w:rPr>
        <w:t>pořízení služeb souvisejících s</w:t>
      </w:r>
      <w:r w:rsidR="00916DD5">
        <w:rPr>
          <w:rFonts w:ascii="Times New Roman" w:hAnsi="Times New Roman"/>
          <w:noProof/>
          <w:color w:val="231F20"/>
          <w:sz w:val="24"/>
          <w:szCs w:val="24"/>
        </w:rPr>
        <w:t xml:space="preserve"> přípravou a </w:t>
      </w:r>
      <w:r w:rsidRPr="00851321">
        <w:rPr>
          <w:rFonts w:ascii="Times New Roman" w:hAnsi="Times New Roman"/>
          <w:noProof/>
          <w:color w:val="231F20"/>
          <w:sz w:val="24"/>
          <w:szCs w:val="24"/>
        </w:rPr>
        <w:t>realizací projektu</w:t>
      </w:r>
      <w:r w:rsidR="00916DD5">
        <w:rPr>
          <w:rFonts w:ascii="Times New Roman" w:hAnsi="Times New Roman"/>
          <w:noProof/>
          <w:color w:val="231F20"/>
          <w:sz w:val="24"/>
          <w:szCs w:val="24"/>
        </w:rPr>
        <w:t>:</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příprava a zpracování projektové žádosti v IS BENEFIT7,</w:t>
      </w:r>
    </w:p>
    <w:p w:rsidR="00B83EEC" w:rsidRPr="001831D2" w:rsidRDefault="00851321" w:rsidP="001831D2">
      <w:pPr>
        <w:pStyle w:val="Odstavecseseznamem"/>
        <w:numPr>
          <w:ilvl w:val="0"/>
          <w:numId w:val="315"/>
        </w:numPr>
        <w:ind w:left="993" w:hanging="284"/>
        <w:rPr>
          <w:rFonts w:ascii="Times New Roman" w:hAnsi="Times New Roman"/>
          <w:noProof/>
          <w:color w:val="231F20"/>
          <w:sz w:val="24"/>
          <w:szCs w:val="24"/>
        </w:rPr>
      </w:pPr>
      <w:r w:rsidRPr="001831D2">
        <w:rPr>
          <w:rFonts w:ascii="Times New Roman" w:hAnsi="Times New Roman"/>
          <w:noProof/>
          <w:color w:val="231F20"/>
          <w:sz w:val="24"/>
          <w:szCs w:val="24"/>
        </w:rPr>
        <w:t>odborné a znalecké posudky,</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studie proveditelnosti,</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monitorovací zprávy a hlášení,</w:t>
      </w:r>
    </w:p>
    <w:p w:rsidR="00396558" w:rsidRPr="001831D2" w:rsidRDefault="00396558" w:rsidP="001831D2">
      <w:pPr>
        <w:pStyle w:val="Odstavecseseznamem"/>
        <w:numPr>
          <w:ilvl w:val="0"/>
          <w:numId w:val="315"/>
        </w:numPr>
        <w:tabs>
          <w:tab w:val="num" w:pos="993"/>
        </w:tabs>
        <w:ind w:left="993" w:hanging="284"/>
        <w:rPr>
          <w:rFonts w:ascii="Times New Roman" w:hAnsi="Times New Roman"/>
          <w:noProof/>
          <w:color w:val="231F20"/>
          <w:sz w:val="24"/>
          <w:szCs w:val="24"/>
          <w:lang w:eastAsia="cs-CZ"/>
        </w:rPr>
      </w:pPr>
      <w:r w:rsidRPr="001831D2">
        <w:rPr>
          <w:rFonts w:ascii="Times New Roman" w:hAnsi="Times New Roman"/>
          <w:noProof/>
          <w:color w:val="231F20"/>
          <w:sz w:val="24"/>
          <w:szCs w:val="24"/>
        </w:rPr>
        <w:t>zjednodušená žádost o platbu,</w:t>
      </w:r>
    </w:p>
    <w:p w:rsidR="00916DD5" w:rsidRPr="001831D2" w:rsidRDefault="00916DD5" w:rsidP="001831D2">
      <w:pPr>
        <w:pStyle w:val="Odstavecseseznamem"/>
        <w:numPr>
          <w:ilvl w:val="0"/>
          <w:numId w:val="315"/>
        </w:numPr>
        <w:ind w:left="993" w:hanging="284"/>
        <w:rPr>
          <w:rFonts w:ascii="Times New Roman" w:eastAsia="Times New Roman" w:hAnsi="Times New Roman"/>
          <w:noProof/>
          <w:color w:val="231F20"/>
          <w:sz w:val="24"/>
          <w:szCs w:val="24"/>
          <w:lang w:eastAsia="cs-CZ"/>
        </w:rPr>
      </w:pPr>
      <w:r w:rsidRPr="001831D2">
        <w:rPr>
          <w:rFonts w:ascii="Times New Roman" w:hAnsi="Times New Roman"/>
          <w:noProof/>
          <w:color w:val="231F20"/>
          <w:sz w:val="24"/>
          <w:szCs w:val="24"/>
        </w:rPr>
        <w:t>oznámení o změnách v projektu</w:t>
      </w:r>
      <w:r w:rsidR="008228AB" w:rsidRPr="001831D2">
        <w:rPr>
          <w:rFonts w:ascii="Times New Roman" w:hAnsi="Times New Roman"/>
          <w:noProof/>
          <w:color w:val="231F20"/>
          <w:sz w:val="24"/>
          <w:szCs w:val="24"/>
        </w:rPr>
        <w:t>,</w:t>
      </w:r>
    </w:p>
    <w:p w:rsidR="00B83EEC"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výdaje na povinnou publicitu projektu</w:t>
      </w:r>
      <w:r w:rsidR="00756652" w:rsidRPr="00B83EEC">
        <w:rPr>
          <w:rFonts w:ascii="Times New Roman" w:hAnsi="Times New Roman"/>
          <w:noProof/>
          <w:color w:val="231F20"/>
          <w:sz w:val="24"/>
          <w:szCs w:val="24"/>
        </w:rPr>
        <w:t>,</w:t>
      </w:r>
      <w:r w:rsidRPr="00B83EEC">
        <w:rPr>
          <w:rFonts w:ascii="Times New Roman" w:hAnsi="Times New Roman"/>
          <w:noProof/>
          <w:color w:val="231F20"/>
          <w:sz w:val="24"/>
          <w:szCs w:val="24"/>
        </w:rPr>
        <w:t xml:space="preserve"> realizované v souladu s Pravidly pro provádění informačních a propagačních opatření</w:t>
      </w:r>
      <w:r w:rsidR="003643B3" w:rsidRPr="00B83EEC">
        <w:rPr>
          <w:rFonts w:ascii="Times New Roman" w:hAnsi="Times New Roman"/>
          <w:noProof/>
          <w:color w:val="231F20"/>
          <w:sz w:val="24"/>
          <w:szCs w:val="24"/>
        </w:rPr>
        <w:t xml:space="preserve"> (viz příloha č. </w:t>
      </w:r>
      <w:r w:rsidR="00B83EEC">
        <w:rPr>
          <w:rFonts w:ascii="Times New Roman" w:hAnsi="Times New Roman"/>
          <w:noProof/>
          <w:color w:val="231F20"/>
          <w:sz w:val="24"/>
          <w:szCs w:val="24"/>
        </w:rPr>
        <w:t>8</w:t>
      </w:r>
      <w:r w:rsidR="003643B3" w:rsidRPr="00B83EEC">
        <w:rPr>
          <w:rFonts w:ascii="Times New Roman" w:hAnsi="Times New Roman"/>
          <w:noProof/>
          <w:color w:val="231F20"/>
          <w:sz w:val="24"/>
          <w:szCs w:val="24"/>
        </w:rPr>
        <w:t xml:space="preserve"> Příručky)</w:t>
      </w:r>
      <w:r w:rsidR="005A0383" w:rsidRPr="00B83EEC">
        <w:rPr>
          <w:rFonts w:ascii="Times New Roman" w:hAnsi="Times New Roman"/>
          <w:noProof/>
          <w:color w:val="231F20"/>
          <w:sz w:val="24"/>
          <w:szCs w:val="24"/>
        </w:rPr>
        <w:t>,</w:t>
      </w:r>
      <w:r w:rsidR="00E40427" w:rsidRPr="00B83EEC">
        <w:rPr>
          <w:rFonts w:ascii="Times New Roman" w:hAnsi="Times New Roman"/>
          <w:noProof/>
          <w:color w:val="231F20"/>
          <w:sz w:val="24"/>
          <w:szCs w:val="24"/>
        </w:rPr>
        <w:t xml:space="preserve"> více viz kapitola 7.5. Informování o projektu, propagace projektu,</w:t>
      </w:r>
      <w:r w:rsidR="00867C47" w:rsidRPr="00B83EEC">
        <w:rPr>
          <w:rFonts w:ascii="Times New Roman" w:hAnsi="Times New Roman"/>
          <w:noProof/>
          <w:color w:val="231F20"/>
          <w:sz w:val="24"/>
          <w:szCs w:val="24"/>
        </w:rPr>
        <w:t xml:space="preserve"> </w:t>
      </w:r>
    </w:p>
    <w:p w:rsidR="00085C62" w:rsidRDefault="00DC7258">
      <w:pPr>
        <w:pStyle w:val="Odstavecseseznamem"/>
        <w:numPr>
          <w:ilvl w:val="0"/>
          <w:numId w:val="174"/>
        </w:numPr>
        <w:rPr>
          <w:rFonts w:ascii="Times New Roman" w:hAnsi="Times New Roman"/>
          <w:noProof/>
          <w:color w:val="231F20"/>
          <w:sz w:val="24"/>
          <w:szCs w:val="24"/>
        </w:rPr>
      </w:pPr>
      <w:r w:rsidRPr="00B83EEC">
        <w:rPr>
          <w:rFonts w:ascii="Times New Roman" w:hAnsi="Times New Roman"/>
          <w:noProof/>
          <w:color w:val="231F20"/>
          <w:sz w:val="24"/>
          <w:szCs w:val="24"/>
        </w:rPr>
        <w:t>stavby a stavební úpravy</w:t>
      </w:r>
      <w:r w:rsidR="008E5CA9" w:rsidRPr="00B83EEC">
        <w:rPr>
          <w:rFonts w:ascii="Times New Roman" w:hAnsi="Times New Roman"/>
          <w:sz w:val="24"/>
          <w:szCs w:val="24"/>
        </w:rPr>
        <w:t>,</w:t>
      </w:r>
    </w:p>
    <w:p w:rsidR="00B83EEC" w:rsidRPr="00B83EEC" w:rsidRDefault="008308E9"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neplátců DPH</w:t>
      </w:r>
      <w:r w:rsidR="00B83EEC">
        <w:rPr>
          <w:rFonts w:ascii="Times New Roman" w:hAnsi="Times New Roman"/>
          <w:noProof/>
          <w:color w:val="231F20"/>
          <w:sz w:val="24"/>
          <w:szCs w:val="24"/>
        </w:rPr>
        <w:t>,</w:t>
      </w:r>
    </w:p>
    <w:p w:rsidR="00DC061B" w:rsidRPr="00B83EEC" w:rsidRDefault="00E4164C" w:rsidP="00B83EEC">
      <w:pPr>
        <w:pStyle w:val="Odstavecseseznamem"/>
        <w:numPr>
          <w:ilvl w:val="0"/>
          <w:numId w:val="174"/>
        </w:numPr>
        <w:rPr>
          <w:rFonts w:ascii="Times New Roman" w:eastAsia="Times New Roman" w:hAnsi="Times New Roman"/>
          <w:noProof/>
          <w:color w:val="231F20"/>
          <w:sz w:val="24"/>
          <w:szCs w:val="24"/>
          <w:lang w:eastAsia="cs-CZ"/>
        </w:rPr>
      </w:pPr>
      <w:r w:rsidRPr="00B83EEC">
        <w:rPr>
          <w:rFonts w:ascii="Times New Roman" w:hAnsi="Times New Roman"/>
          <w:noProof/>
          <w:color w:val="231F20"/>
          <w:sz w:val="24"/>
          <w:szCs w:val="24"/>
        </w:rPr>
        <w:t>daň z přidané hodnoty u plátců DPH</w:t>
      </w:r>
      <w:r w:rsidR="005A0383" w:rsidRPr="004B3E3E">
        <w:rPr>
          <w:vertAlign w:val="superscript"/>
        </w:rPr>
        <w:footnoteReference w:id="3"/>
      </w:r>
      <w:r w:rsidRPr="00B83EEC">
        <w:rPr>
          <w:rFonts w:ascii="Times New Roman" w:hAnsi="Times New Roman"/>
          <w:noProof/>
          <w:color w:val="231F20"/>
          <w:sz w:val="24"/>
          <w:szCs w:val="24"/>
        </w:rPr>
        <w:t>, pokud nemají nárok na odpočet DPH na vstupu</w:t>
      </w:r>
      <w:r w:rsidR="005A0383" w:rsidRPr="00B83EEC">
        <w:rPr>
          <w:rFonts w:ascii="Times New Roman" w:hAnsi="Times New Roman"/>
          <w:noProof/>
          <w:color w:val="231F20"/>
          <w:sz w:val="24"/>
          <w:szCs w:val="24"/>
        </w:rPr>
        <w:t>.</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lastRenderedPageBreak/>
        <w:t xml:space="preserve">Způsobilými výdaji </w:t>
      </w:r>
      <w:r w:rsidRPr="00FD3C97">
        <w:rPr>
          <w:rFonts w:ascii="Times New Roman" w:hAnsi="Times New Roman" w:cs="Times New Roman"/>
          <w:b/>
          <w:sz w:val="24"/>
          <w:szCs w:val="24"/>
        </w:rPr>
        <w:t>nejsou: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rsidP="00B8416A">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6138AE" w:rsidRPr="006138AE"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 xml:space="preserve">režijní náklady, </w:t>
      </w:r>
    </w:p>
    <w:p w:rsidR="00756652"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osobní náklady</w:t>
      </w:r>
      <w:r w:rsidR="00756652">
        <w:rPr>
          <w:rFonts w:ascii="Times New Roman" w:hAnsi="Times New Roman" w:cs="Times New Roman"/>
          <w:sz w:val="24"/>
          <w:szCs w:val="24"/>
        </w:rPr>
        <w:t>,</w:t>
      </w:r>
      <w:r w:rsidRPr="006138AE">
        <w:rPr>
          <w:rFonts w:ascii="Times New Roman" w:hAnsi="Times New Roman" w:cs="Times New Roman"/>
          <w:sz w:val="24"/>
          <w:szCs w:val="24"/>
        </w:rPr>
        <w:t xml:space="preserve"> </w:t>
      </w:r>
    </w:p>
    <w:p w:rsidR="006138AE" w:rsidRPr="006138AE" w:rsidRDefault="006138AE" w:rsidP="00B8416A">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cestovní náhrady</w:t>
      </w:r>
      <w:r w:rsidR="004976D3">
        <w:rPr>
          <w:rFonts w:ascii="Times New Roman" w:hAnsi="Times New Roman" w:cs="Times New Roman"/>
          <w:sz w:val="24"/>
          <w:szCs w:val="24"/>
        </w:rPr>
        <w:t>.</w:t>
      </w:r>
    </w:p>
    <w:p w:rsidR="005B0BDF" w:rsidRPr="00F67180" w:rsidRDefault="005B0BDF" w:rsidP="00D76C4A">
      <w:pPr>
        <w:widowControl w:val="0"/>
        <w:tabs>
          <w:tab w:val="left" w:pos="820"/>
        </w:tabs>
        <w:autoSpaceDE w:val="0"/>
        <w:autoSpaceDN w:val="0"/>
        <w:adjustRightInd w:val="0"/>
        <w:spacing w:before="60"/>
        <w:ind w:left="714" w:right="-19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DA010C">
        <w:rPr>
          <w:rFonts w:ascii="Times New Roman" w:hAnsi="Times New Roman" w:cs="Times New Roman"/>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FD4701" w:rsidRPr="00FD4701">
        <w:rPr>
          <w:rFonts w:ascii="Times New Roman" w:hAnsi="Times New Roman" w:cs="Times New Roman"/>
          <w:b/>
          <w:sz w:val="24"/>
          <w:szCs w:val="24"/>
        </w:rPr>
        <w:t>340 000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521960" w:rsidRDefault="00521960" w:rsidP="00521960">
      <w:pPr>
        <w:rPr>
          <w:rFonts w:ascii="Times New Roman" w:hAnsi="Times New Roman" w:cs="Times New Roman"/>
          <w:b/>
          <w:sz w:val="24"/>
          <w:szCs w:val="24"/>
        </w:rPr>
      </w:pPr>
      <w:bookmarkStart w:id="112" w:name="_Toc315678977"/>
    </w:p>
    <w:p w:rsidR="00F05E50" w:rsidRPr="0048085A" w:rsidRDefault="00F05E50">
      <w:pPr>
        <w:pStyle w:val="Nadpis3"/>
      </w:pPr>
      <w:bookmarkStart w:id="113" w:name="_Toc327281944"/>
      <w:bookmarkStart w:id="114" w:name="_Toc327282340"/>
      <w:bookmarkStart w:id="115" w:name="_Toc327281947"/>
      <w:bookmarkStart w:id="116" w:name="_Toc327282343"/>
      <w:bookmarkStart w:id="117" w:name="_Toc327281948"/>
      <w:bookmarkStart w:id="118" w:name="_Toc327282344"/>
      <w:bookmarkStart w:id="119" w:name="_Toc327281950"/>
      <w:bookmarkStart w:id="120" w:name="_Toc327282346"/>
      <w:bookmarkStart w:id="121" w:name="_Toc327281952"/>
      <w:bookmarkStart w:id="122" w:name="_Toc327282348"/>
      <w:bookmarkStart w:id="123" w:name="_Toc327281959"/>
      <w:bookmarkStart w:id="124" w:name="_Toc327282355"/>
      <w:bookmarkStart w:id="125" w:name="_Toc327281961"/>
      <w:bookmarkStart w:id="126" w:name="_Toc327282357"/>
      <w:bookmarkStart w:id="127" w:name="_Toc327281979"/>
      <w:bookmarkStart w:id="128" w:name="_Toc327282375"/>
      <w:bookmarkStart w:id="129" w:name="_Toc327281980"/>
      <w:bookmarkStart w:id="130" w:name="_Toc327282376"/>
      <w:bookmarkStart w:id="131" w:name="_Toc327281981"/>
      <w:bookmarkStart w:id="132" w:name="_Toc327282377"/>
      <w:bookmarkStart w:id="133" w:name="_Toc327281982"/>
      <w:bookmarkStart w:id="134" w:name="_Toc327282378"/>
      <w:bookmarkStart w:id="135" w:name="_Toc327281983"/>
      <w:bookmarkStart w:id="136" w:name="_Toc327282379"/>
      <w:bookmarkStart w:id="137" w:name="_Toc323555561"/>
      <w:bookmarkStart w:id="138" w:name="_Toc323556794"/>
      <w:bookmarkStart w:id="139" w:name="_Toc323555562"/>
      <w:bookmarkStart w:id="140" w:name="_Toc323556795"/>
      <w:bookmarkStart w:id="141" w:name="_Toc328732742"/>
      <w:bookmarkStart w:id="142" w:name="_Toc365638269"/>
      <w:bookmarkStart w:id="143" w:name="_Toc346195848"/>
      <w:bookmarkStart w:id="144" w:name="_Toc37385867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8085A">
        <w:t>Monitorovací indikátor</w:t>
      </w:r>
      <w:bookmarkEnd w:id="141"/>
      <w:bookmarkEnd w:id="142"/>
      <w:bookmarkEnd w:id="143"/>
      <w:bookmarkEnd w:id="144"/>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 xml:space="preserve">přiřazen </w:t>
      </w:r>
      <w:r w:rsidRPr="006B645F">
        <w:rPr>
          <w:rFonts w:ascii="Times New Roman" w:hAnsi="Times New Roman" w:cs="Times New Roman"/>
          <w:sz w:val="24"/>
          <w:szCs w:val="24"/>
        </w:rPr>
        <w:lastRenderedPageBreak/>
        <w:t>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B83EEC">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0623DE" w:rsidRDefault="000623DE" w:rsidP="0060682B">
      <w:pPr>
        <w:autoSpaceDE w:val="0"/>
        <w:autoSpaceDN w:val="0"/>
        <w:adjustRightInd w:val="0"/>
        <w:spacing w:after="120"/>
        <w:ind w:right="-2"/>
        <w:rPr>
          <w:rFonts w:ascii="Times New Roman" w:hAnsi="Times New Roman" w:cs="Times New Roman"/>
          <w:sz w:val="24"/>
          <w:szCs w:val="24"/>
        </w:rPr>
      </w:pP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80"/>
        <w:gridCol w:w="1980"/>
      </w:tblGrid>
      <w:tr w:rsidR="002D7690" w:rsidRPr="00C87024" w:rsidTr="00BC726E">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98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BC726E">
        <w:trPr>
          <w:trHeight w:val="570"/>
        </w:trPr>
        <w:tc>
          <w:tcPr>
            <w:tcW w:w="1418" w:type="dxa"/>
            <w:vAlign w:val="center"/>
          </w:tcPr>
          <w:p w:rsidR="002D7690" w:rsidRPr="00C87024" w:rsidRDefault="000D449E"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260412</w:t>
            </w:r>
          </w:p>
        </w:tc>
        <w:tc>
          <w:tcPr>
            <w:tcW w:w="2574" w:type="dxa"/>
            <w:vAlign w:val="center"/>
          </w:tcPr>
          <w:p w:rsidR="002D7690" w:rsidRPr="00C87024" w:rsidRDefault="00A45287" w:rsidP="00896118">
            <w:pPr>
              <w:spacing w:before="60" w:after="60"/>
              <w:jc w:val="left"/>
              <w:rPr>
                <w:rFonts w:ascii="Times New Roman" w:hAnsi="Times New Roman" w:cs="Times New Roman"/>
                <w:sz w:val="24"/>
                <w:szCs w:val="24"/>
              </w:rPr>
            </w:pPr>
            <w:r w:rsidRPr="00C87024">
              <w:rPr>
                <w:rFonts w:ascii="Times New Roman" w:hAnsi="Times New Roman" w:cs="Times New Roman"/>
                <w:sz w:val="24"/>
                <w:szCs w:val="24"/>
              </w:rPr>
              <w:t>Počet</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technologických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zařízení</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k eliminaci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hrozeb</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či</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následků</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bezpečnostních</w:t>
            </w:r>
            <w:smartTag w:uri="urn:schemas-microsoft-com:office:smarttags" w:element="PersonName">
              <w:r w:rsidRPr="00C87024">
                <w:rPr>
                  <w:rFonts w:ascii="Times New Roman" w:hAnsi="Times New Roman" w:cs="Times New Roman"/>
                  <w:sz w:val="24"/>
                  <w:szCs w:val="24"/>
                </w:rPr>
                <w:t xml:space="preserve"> </w:t>
              </w:r>
            </w:smartTag>
            <w:r w:rsidRPr="00C87024">
              <w:rPr>
                <w:rFonts w:ascii="Times New Roman" w:hAnsi="Times New Roman" w:cs="Times New Roman"/>
                <w:sz w:val="24"/>
                <w:szCs w:val="24"/>
              </w:rPr>
              <w:t>rizik</w:t>
            </w:r>
            <w:r w:rsidRPr="00C87024" w:rsidDel="00671183">
              <w:rPr>
                <w:rFonts w:ascii="Times New Roman" w:hAnsi="Times New Roman" w:cs="Times New Roman"/>
                <w:sz w:val="24"/>
                <w:szCs w:val="24"/>
              </w:rPr>
              <w:t xml:space="preserve">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80" w:type="dxa"/>
            <w:vAlign w:val="center"/>
          </w:tcPr>
          <w:p w:rsidR="002D7690" w:rsidRPr="00C87024" w:rsidRDefault="00E1613E"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F00714" w:rsidRDefault="000E6034" w:rsidP="00B7099E">
      <w:pPr>
        <w:autoSpaceDE w:val="0"/>
        <w:autoSpaceDN w:val="0"/>
        <w:adjustRightInd w:val="0"/>
        <w:ind w:right="-108"/>
        <w:rPr>
          <w:rFonts w:ascii="Times New Roman" w:hAnsi="Times New Roman" w:cs="Times New Roman"/>
          <w:bCs/>
          <w:noProof/>
          <w:color w:val="231F20"/>
          <w:sz w:val="24"/>
          <w:szCs w:val="24"/>
        </w:rPr>
      </w:pPr>
      <w:r w:rsidRPr="00CF3A89">
        <w:rPr>
          <w:rFonts w:ascii="Times New Roman" w:hAnsi="Times New Roman" w:cs="Times New Roman"/>
          <w:bCs/>
          <w:noProof/>
          <w:color w:val="231F20"/>
          <w:sz w:val="24"/>
          <w:szCs w:val="24"/>
        </w:rPr>
        <w:t>Hodnota indikátoru se bude plnit jako počet zařízení zakoupených v rámci projektu.</w:t>
      </w:r>
    </w:p>
    <w:p w:rsidR="00CF3A89" w:rsidRPr="00CF3A89" w:rsidRDefault="00CF3A89" w:rsidP="00B7099E">
      <w:pPr>
        <w:autoSpaceDE w:val="0"/>
        <w:autoSpaceDN w:val="0"/>
        <w:adjustRightInd w:val="0"/>
        <w:ind w:right="-108"/>
        <w:rPr>
          <w:rFonts w:ascii="Times New Roman" w:hAnsi="Times New Roman" w:cs="Times New Roman"/>
          <w:bCs/>
          <w:noProof/>
          <w:color w:val="231F20"/>
          <w:sz w:val="24"/>
          <w:szCs w:val="24"/>
        </w:rPr>
      </w:pPr>
    </w:p>
    <w:p w:rsidR="007E3172" w:rsidRPr="00C87024" w:rsidRDefault="007E3172">
      <w:pPr>
        <w:pStyle w:val="Nadpis3"/>
        <w:keepLines/>
        <w:rPr>
          <w:rFonts w:cs="Times New Roman"/>
          <w:sz w:val="24"/>
          <w:szCs w:val="24"/>
        </w:rPr>
      </w:pPr>
      <w:bookmarkStart w:id="145" w:name="_Toc346195849"/>
      <w:bookmarkStart w:id="146" w:name="_Toc373858678"/>
      <w:r w:rsidRPr="00C87024">
        <w:rPr>
          <w:rFonts w:cs="Times New Roman"/>
          <w:sz w:val="24"/>
          <w:szCs w:val="24"/>
        </w:rPr>
        <w:t>Místo realizace projektů</w:t>
      </w:r>
      <w:bookmarkEnd w:id="145"/>
      <w:bookmarkEnd w:id="146"/>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E024F5" w:rsidRDefault="00E024F5" w:rsidP="001E4B8B">
      <w:pPr>
        <w:widowControl w:val="0"/>
        <w:autoSpaceDE w:val="0"/>
        <w:autoSpaceDN w:val="0"/>
        <w:adjustRightInd w:val="0"/>
        <w:ind w:right="-85"/>
        <w:rPr>
          <w:rFonts w:ascii="Times New Roman" w:hAnsi="Times New Roman" w:cs="Times New Roman"/>
          <w:sz w:val="24"/>
          <w:szCs w:val="24"/>
        </w:rPr>
      </w:pPr>
    </w:p>
    <w:p w:rsidR="00E024F5" w:rsidRPr="00190C56" w:rsidRDefault="00E024F5">
      <w:pPr>
        <w:pStyle w:val="Nadpis3"/>
        <w:keepLines/>
      </w:pPr>
      <w:bookmarkStart w:id="147" w:name="_Toc368321260"/>
      <w:bookmarkStart w:id="148" w:name="_Toc373858679"/>
      <w:r>
        <w:t>Úhrada nákladů za zásah jednotky požární ochrany</w:t>
      </w:r>
      <w:bookmarkEnd w:id="147"/>
      <w:bookmarkEnd w:id="148"/>
    </w:p>
    <w:p w:rsidR="00E024F5" w:rsidRDefault="00E024F5" w:rsidP="00E024F5">
      <w:pPr>
        <w:rPr>
          <w:rFonts w:ascii="Times New Roman" w:hAnsi="Times New Roman" w:cs="Times New Roman"/>
          <w:sz w:val="24"/>
          <w:szCs w:val="24"/>
        </w:rPr>
      </w:pPr>
      <w:r>
        <w:rPr>
          <w:rFonts w:ascii="Times New Roman" w:hAnsi="Times New Roman" w:cs="Times New Roman"/>
          <w:sz w:val="24"/>
          <w:szCs w:val="24"/>
        </w:rPr>
        <w:t>Od 1. září 2013 vešel v účinnost nový zákon č. 160/2013 Sb.,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E024F5" w:rsidRDefault="00E024F5" w:rsidP="00E024F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E024F5" w:rsidRDefault="00E024F5" w:rsidP="00E024F5">
      <w:pPr>
        <w:numPr>
          <w:ilvl w:val="0"/>
          <w:numId w:val="300"/>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E024F5" w:rsidRDefault="00E024F5" w:rsidP="00E024F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w:t>
      </w:r>
      <w:r>
        <w:rPr>
          <w:rFonts w:ascii="Times New Roman" w:hAnsi="Times New Roman" w:cs="Times New Roman"/>
          <w:sz w:val="24"/>
          <w:szCs w:val="24"/>
        </w:rPr>
        <w:br/>
        <w:t xml:space="preserve">v souvislosti se zásahem jednotky požární ochrany. Částka vychází z nákladů na průměrnou </w:t>
      </w:r>
      <w:r>
        <w:rPr>
          <w:rFonts w:ascii="Times New Roman" w:hAnsi="Times New Roman" w:cs="Times New Roman"/>
          <w:sz w:val="24"/>
          <w:szCs w:val="24"/>
        </w:rPr>
        <w:lastRenderedPageBreak/>
        <w:t>vzdálenost k zásahu, průměrnou cenu motohodiny, průměrnou částku nákladu na 1 km jízdy techniky, průměrnou dobu zásahu, nákladů na jízdu techniky jednotky a nákladů na spotřební materiál jednotky při zásahu.</w:t>
      </w:r>
    </w:p>
    <w:p w:rsidR="00916DD5" w:rsidRDefault="00E024F5" w:rsidP="00E024F5">
      <w:pPr>
        <w:spacing w:before="100" w:beforeAutospacing="1" w:after="100" w:afterAutospacing="1"/>
        <w:rPr>
          <w:rFonts w:ascii="Times New Roman" w:hAnsi="Times New Roman" w:cs="Times New Roman"/>
          <w:sz w:val="24"/>
          <w:szCs w:val="24"/>
        </w:rPr>
      </w:pPr>
      <w:r w:rsidRPr="002D11FC">
        <w:rPr>
          <w:rFonts w:ascii="Times New Roman" w:hAnsi="Times New Roman" w:cs="Times New Roman"/>
          <w:b/>
          <w:sz w:val="24"/>
          <w:szCs w:val="24"/>
        </w:rPr>
        <w:t>Úhrada nákladů není příjmem</w:t>
      </w:r>
      <w:r>
        <w:rPr>
          <w:rFonts w:ascii="Times New Roman" w:hAnsi="Times New Roman" w:cs="Times New Roman"/>
          <w:sz w:val="24"/>
          <w:szCs w:val="24"/>
        </w:rPr>
        <w:t xml:space="preserve"> podle čl. 55 Nařízení Rady (ES) č. 1083/2006.  </w:t>
      </w: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Pr="00916DD5" w:rsidRDefault="00916DD5" w:rsidP="00916DD5">
      <w:pPr>
        <w:rPr>
          <w:rFonts w:ascii="Times New Roman" w:hAnsi="Times New Roman" w:cs="Times New Roman"/>
          <w:sz w:val="24"/>
          <w:szCs w:val="24"/>
        </w:rPr>
      </w:pPr>
    </w:p>
    <w:p w:rsidR="00916DD5" w:rsidRDefault="00916DD5" w:rsidP="00916DD5">
      <w:pPr>
        <w:rPr>
          <w:rFonts w:ascii="Times New Roman" w:hAnsi="Times New Roman" w:cs="Times New Roman"/>
          <w:sz w:val="24"/>
          <w:szCs w:val="24"/>
        </w:rPr>
      </w:pPr>
    </w:p>
    <w:p w:rsidR="00E024F5" w:rsidRPr="00916DD5" w:rsidRDefault="00E024F5" w:rsidP="00916DD5">
      <w:pPr>
        <w:rPr>
          <w:rFonts w:ascii="Times New Roman" w:hAnsi="Times New Roman" w:cs="Times New Roman"/>
          <w:sz w:val="24"/>
          <w:szCs w:val="24"/>
        </w:rPr>
      </w:pPr>
    </w:p>
    <w:p w:rsidR="003A65E6" w:rsidRPr="00B24D00" w:rsidRDefault="007B2A95">
      <w:pPr>
        <w:pStyle w:val="Nadpis1"/>
        <w:keepLines/>
        <w:rPr>
          <w:rFonts w:cs="Times New Roman"/>
          <w:noProof/>
          <w:szCs w:val="40"/>
          <w:u w:val="single"/>
        </w:rPr>
      </w:pPr>
      <w:bookmarkStart w:id="149" w:name="_Toc327168272"/>
      <w:bookmarkStart w:id="150" w:name="_Toc327281986"/>
      <w:bookmarkStart w:id="151" w:name="_Toc327282382"/>
      <w:bookmarkStart w:id="152" w:name="_Toc327168273"/>
      <w:bookmarkStart w:id="153" w:name="_Toc327281987"/>
      <w:bookmarkStart w:id="154" w:name="_Toc327282383"/>
      <w:bookmarkStart w:id="155" w:name="_Toc327168277"/>
      <w:bookmarkStart w:id="156" w:name="_Toc327168278"/>
      <w:bookmarkStart w:id="157" w:name="_Toc327168284"/>
      <w:bookmarkStart w:id="158" w:name="_Toc327168291"/>
      <w:bookmarkStart w:id="159" w:name="_Toc327168292"/>
      <w:bookmarkStart w:id="160" w:name="_Toc327168298"/>
      <w:bookmarkStart w:id="161" w:name="_Toc327168299"/>
      <w:bookmarkStart w:id="162" w:name="_Toc327168303"/>
      <w:bookmarkStart w:id="163" w:name="_Toc327168361"/>
      <w:bookmarkStart w:id="164" w:name="_Toc327168362"/>
      <w:bookmarkStart w:id="165" w:name="_Toc322697062"/>
      <w:bookmarkStart w:id="166" w:name="_Toc322697392"/>
      <w:bookmarkStart w:id="167" w:name="_Toc322697724"/>
      <w:bookmarkStart w:id="168" w:name="_Toc322697980"/>
      <w:bookmarkStart w:id="169" w:name="_Toc322698231"/>
      <w:bookmarkStart w:id="170" w:name="_Toc323217801"/>
      <w:bookmarkStart w:id="171" w:name="_Toc324935178"/>
      <w:bookmarkStart w:id="172" w:name="_Toc322697063"/>
      <w:bookmarkStart w:id="173" w:name="_Toc322697393"/>
      <w:bookmarkStart w:id="174" w:name="_Toc322697725"/>
      <w:bookmarkStart w:id="175" w:name="_Toc322697981"/>
      <w:bookmarkStart w:id="176" w:name="_Toc322698232"/>
      <w:bookmarkStart w:id="177" w:name="_Toc323217802"/>
      <w:bookmarkStart w:id="178" w:name="_Toc324935179"/>
      <w:bookmarkStart w:id="179" w:name="_Toc322697064"/>
      <w:bookmarkStart w:id="180" w:name="_Toc322697394"/>
      <w:bookmarkStart w:id="181" w:name="_Toc322697726"/>
      <w:bookmarkStart w:id="182" w:name="_Toc322697982"/>
      <w:bookmarkStart w:id="183" w:name="_Toc322698233"/>
      <w:bookmarkStart w:id="184" w:name="_Toc323217803"/>
      <w:bookmarkStart w:id="185" w:name="_Toc324935180"/>
      <w:bookmarkStart w:id="186" w:name="_Toc322697065"/>
      <w:bookmarkStart w:id="187" w:name="_Toc322697395"/>
      <w:bookmarkStart w:id="188" w:name="_Toc322697727"/>
      <w:bookmarkStart w:id="189" w:name="_Toc322697983"/>
      <w:bookmarkStart w:id="190" w:name="_Toc322698234"/>
      <w:bookmarkStart w:id="191" w:name="_Toc323217804"/>
      <w:bookmarkStart w:id="192" w:name="_Toc324935181"/>
      <w:bookmarkStart w:id="193" w:name="_Toc322697066"/>
      <w:bookmarkStart w:id="194" w:name="_Toc322697396"/>
      <w:bookmarkStart w:id="195" w:name="_Toc322697728"/>
      <w:bookmarkStart w:id="196" w:name="_Toc322697984"/>
      <w:bookmarkStart w:id="197" w:name="_Toc322698235"/>
      <w:bookmarkStart w:id="198" w:name="_Toc323217805"/>
      <w:bookmarkStart w:id="199" w:name="_Toc324935182"/>
      <w:bookmarkStart w:id="200" w:name="_Toc322697067"/>
      <w:bookmarkStart w:id="201" w:name="_Toc322697397"/>
      <w:bookmarkStart w:id="202" w:name="_Toc322697729"/>
      <w:bookmarkStart w:id="203" w:name="_Toc322697985"/>
      <w:bookmarkStart w:id="204" w:name="_Toc322698236"/>
      <w:bookmarkStart w:id="205" w:name="_Toc323217806"/>
      <w:bookmarkStart w:id="206" w:name="_Toc324935183"/>
      <w:bookmarkStart w:id="207" w:name="_Toc322697071"/>
      <w:bookmarkStart w:id="208" w:name="_Toc322697401"/>
      <w:bookmarkStart w:id="209" w:name="_Toc322697733"/>
      <w:bookmarkStart w:id="210" w:name="_Toc322697989"/>
      <w:bookmarkStart w:id="211" w:name="_Toc322698240"/>
      <w:bookmarkStart w:id="212" w:name="_Toc323217810"/>
      <w:bookmarkStart w:id="213" w:name="_Toc324935187"/>
      <w:bookmarkStart w:id="214" w:name="_Toc346195851"/>
      <w:bookmarkStart w:id="215" w:name="_Toc373858680"/>
      <w:bookmarkStart w:id="216" w:name="_Toc244415576"/>
      <w:bookmarkStart w:id="217" w:name="_Toc24441556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214"/>
      <w:bookmarkEnd w:id="215"/>
    </w:p>
    <w:bookmarkEnd w:id="216"/>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předkládat </w:t>
      </w:r>
      <w:r w:rsidR="005F22E0" w:rsidRPr="003C462A">
        <w:rPr>
          <w:rFonts w:ascii="Times New Roman" w:hAnsi="Times New Roman" w:cs="Times New Roman"/>
          <w:sz w:val="24"/>
          <w:szCs w:val="24"/>
        </w:rPr>
        <w:t xml:space="preserve">průběžně </w:t>
      </w:r>
      <w:r w:rsidR="00FD4701" w:rsidRPr="00FD4701">
        <w:rPr>
          <w:rFonts w:ascii="Times New Roman" w:hAnsi="Times New Roman" w:cs="Times New Roman"/>
          <w:sz w:val="24"/>
          <w:szCs w:val="24"/>
        </w:rPr>
        <w:t>na CRR ČR</w:t>
      </w:r>
      <w:r w:rsidR="00FB3B5E" w:rsidRPr="003C462A">
        <w:rPr>
          <w:rFonts w:ascii="Times New Roman" w:hAnsi="Times New Roman" w:cs="Times New Roman"/>
          <w:sz w:val="24"/>
          <w:szCs w:val="24"/>
        </w:rPr>
        <w:t xml:space="preserve"> </w:t>
      </w:r>
      <w:r w:rsidR="00843AAA" w:rsidRPr="003C462A">
        <w:rPr>
          <w:rFonts w:ascii="Times New Roman" w:hAnsi="Times New Roman" w:cs="Times New Roman"/>
          <w:sz w:val="24"/>
          <w:szCs w:val="24"/>
        </w:rPr>
        <w:t xml:space="preserve">do </w:t>
      </w:r>
      <w:r w:rsidR="00FD4701" w:rsidRPr="00FD4701">
        <w:rPr>
          <w:rFonts w:ascii="Times New Roman" w:hAnsi="Times New Roman" w:cs="Times New Roman"/>
          <w:b/>
          <w:sz w:val="24"/>
          <w:szCs w:val="24"/>
        </w:rPr>
        <w:t>31. 3. 2014</w:t>
      </w:r>
      <w:r w:rsidR="00843AAA" w:rsidRPr="003C462A">
        <w:rPr>
          <w:rFonts w:ascii="Times New Roman" w:hAnsi="Times New Roman" w:cs="Times New Roman"/>
          <w:sz w:val="24"/>
          <w:szCs w:val="24"/>
        </w:rPr>
        <w:t>.</w:t>
      </w:r>
      <w:r w:rsidR="005F22E0" w:rsidRPr="003C462A">
        <w:rPr>
          <w:rFonts w:ascii="Times New Roman" w:hAnsi="Times New Roman" w:cs="Times New Roman"/>
          <w:sz w:val="24"/>
          <w:szCs w:val="24"/>
        </w:rPr>
        <w:t xml:space="preserve"> </w:t>
      </w:r>
      <w:r w:rsidR="003A65E6" w:rsidRPr="003C462A">
        <w:rPr>
          <w:rFonts w:ascii="Times New Roman" w:hAnsi="Times New Roman" w:cs="Times New Roman"/>
          <w:sz w:val="24"/>
          <w:szCs w:val="24"/>
        </w:rPr>
        <w:t>Vyhlášení, příp. ukončení</w:t>
      </w:r>
      <w:r w:rsidR="003A65E6" w:rsidRPr="00BE03E6">
        <w:rPr>
          <w:rFonts w:ascii="Times New Roman" w:hAnsi="Times New Roman" w:cs="Times New Roman"/>
          <w:sz w:val="24"/>
          <w:szCs w:val="24"/>
        </w:rPr>
        <w:t>,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9"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0"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21"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18" w:name="_Toc66422515"/>
      <w:bookmarkStart w:id="219" w:name="_Toc66755734"/>
      <w:bookmarkStart w:id="220" w:name="_Toc124130478"/>
      <w:bookmarkStart w:id="221" w:name="_Toc285113229"/>
      <w:bookmarkStart w:id="222" w:name="_Toc285113341"/>
      <w:bookmarkStart w:id="223" w:name="_Toc285113425"/>
      <w:bookmarkStart w:id="224" w:name="_Toc311644724"/>
      <w:bookmarkStart w:id="225" w:name="_Toc346195852"/>
      <w:bookmarkStart w:id="226" w:name="_Toc365638274"/>
      <w:bookmarkStart w:id="227" w:name="_Toc373858681"/>
      <w:r w:rsidRPr="006207F2">
        <w:rPr>
          <w:lang w:val="cs-CZ"/>
        </w:rPr>
        <w:t>Poskytování informací žadatelům</w:t>
      </w:r>
      <w:bookmarkEnd w:id="218"/>
      <w:bookmarkEnd w:id="219"/>
      <w:bookmarkEnd w:id="220"/>
      <w:bookmarkEnd w:id="221"/>
      <w:bookmarkEnd w:id="222"/>
      <w:bookmarkEnd w:id="223"/>
      <w:bookmarkEnd w:id="224"/>
      <w:bookmarkEnd w:id="225"/>
      <w:bookmarkEnd w:id="226"/>
      <w:bookmarkEnd w:id="227"/>
    </w:p>
    <w:p w:rsidR="00B24D00" w:rsidRDefault="00B24D00" w:rsidP="00C12687">
      <w:pPr>
        <w:keepNext/>
        <w:keepLines/>
        <w:tabs>
          <w:tab w:val="left" w:pos="0"/>
        </w:tabs>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Ministerstvo pro místní rozvoj ČR</w:t>
      </w:r>
      <w:r>
        <w:rPr>
          <w:rFonts w:ascii="Times New Roman" w:hAnsi="Times New Roman" w:cs="Times New Roman"/>
          <w:sz w:val="24"/>
          <w:szCs w:val="24"/>
        </w:rPr>
        <w:t xml:space="preserve"> – odbor řízení operačních programů</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2" w:history="1">
        <w:r>
          <w:rPr>
            <w:rStyle w:val="Hypertextovodkaz"/>
            <w:rFonts w:ascii="Times New Roman" w:hAnsi="Times New Roman" w:cs="Times New Roman"/>
            <w:sz w:val="24"/>
            <w:szCs w:val="24"/>
          </w:rPr>
          <w:t>David.Zeisel@mmr.cz</w:t>
        </w:r>
      </w:hyperlink>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b/>
          <w:sz w:val="24"/>
          <w:szCs w:val="24"/>
        </w:rPr>
        <w:t>Centrum pro regionální rozvoj ČR</w:t>
      </w:r>
      <w:r>
        <w:rPr>
          <w:rFonts w:ascii="Times New Roman" w:hAnsi="Times New Roman" w:cs="Times New Roman"/>
          <w:sz w:val="24"/>
          <w:szCs w:val="24"/>
        </w:rPr>
        <w:t xml:space="preserve"> – hlavní kancelář Praha</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3" w:history="1">
        <w:r w:rsidRPr="007A481A">
          <w:rPr>
            <w:rStyle w:val="Hypertextovodkaz"/>
            <w:rFonts w:ascii="Times New Roman" w:hAnsi="Times New Roman" w:cs="Times New Roman"/>
            <w:sz w:val="24"/>
          </w:rPr>
          <w:t>dohnalovak@crr.cz</w:t>
        </w:r>
      </w:hyperlink>
    </w:p>
    <w:p w:rsidR="004B0437" w:rsidRPr="007A481A" w:rsidRDefault="004B0437" w:rsidP="004B043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w:t>
      </w:r>
      <w:r>
        <w:rPr>
          <w:rFonts w:ascii="Times New Roman" w:hAnsi="Times New Roman" w:cs="Times New Roman"/>
          <w:sz w:val="24"/>
        </w:rPr>
        <w:t> </w:t>
      </w:r>
      <w:r w:rsidRPr="007A481A">
        <w:rPr>
          <w:rFonts w:ascii="Times New Roman" w:hAnsi="Times New Roman" w:cs="Times New Roman"/>
          <w:sz w:val="24"/>
        </w:rPr>
        <w:t>268</w:t>
      </w:r>
    </w:p>
    <w:p w:rsidR="003C462A" w:rsidRDefault="003C462A"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3C462A" w:rsidRPr="004B0437"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AD5895">
        <w:rPr>
          <w:rFonts w:ascii="Times New Roman" w:hAnsi="Times New Roman" w:cs="Times New Roman"/>
          <w:sz w:val="24"/>
        </w:rPr>
        <w:t>Ing. Petr Šústal</w:t>
      </w:r>
    </w:p>
    <w:p w:rsidR="003C462A" w:rsidRPr="00AD5895" w:rsidRDefault="00132F94"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844237">
        <w:rPr>
          <w:rFonts w:ascii="Times New Roman" w:hAnsi="Times New Roman" w:cs="Times New Roman"/>
          <w:sz w:val="24"/>
        </w:rPr>
        <w:t xml:space="preserve">E-mail: </w:t>
      </w:r>
      <w:hyperlink r:id="rId24" w:history="1">
        <w:r w:rsidR="00FD4701" w:rsidRPr="00FD4701">
          <w:rPr>
            <w:rStyle w:val="Hypertextovodkaz"/>
            <w:rFonts w:ascii="Times New Roman" w:hAnsi="Times New Roman" w:cs="Times New Roman"/>
            <w:sz w:val="24"/>
          </w:rPr>
          <w:t>sustal@crr.cz</w:t>
        </w:r>
      </w:hyperlink>
    </w:p>
    <w:p w:rsidR="003C462A" w:rsidRDefault="00FD4701" w:rsidP="003C462A">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D4701">
        <w:rPr>
          <w:rFonts w:ascii="Times New Roman" w:hAnsi="Times New Roman" w:cs="Times New Roman"/>
          <w:sz w:val="24"/>
        </w:rPr>
        <w:t>Tel.: 221 580</w:t>
      </w:r>
      <w:r w:rsidR="00B83EEC">
        <w:rPr>
          <w:rFonts w:ascii="Times New Roman" w:hAnsi="Times New Roman" w:cs="Times New Roman"/>
          <w:sz w:val="24"/>
        </w:rPr>
        <w:t> </w:t>
      </w:r>
      <w:r w:rsidRPr="00FD4701">
        <w:rPr>
          <w:rFonts w:ascii="Times New Roman" w:hAnsi="Times New Roman" w:cs="Times New Roman"/>
          <w:sz w:val="24"/>
        </w:rPr>
        <w:t>226</w:t>
      </w:r>
    </w:p>
    <w:bookmarkEnd w:id="217"/>
    <w:p w:rsidR="00B83EEC" w:rsidRDefault="00B83EEC" w:rsidP="00C12687">
      <w:pPr>
        <w:keepNext/>
        <w:keepLines/>
        <w:tabs>
          <w:tab w:val="left" w:pos="0"/>
        </w:tabs>
        <w:rPr>
          <w:rFonts w:ascii="Times New Roman" w:hAnsi="Times New Roman" w:cs="Times New Roman"/>
          <w:sz w:val="24"/>
          <w:szCs w:val="24"/>
        </w:rPr>
      </w:pP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AD5895" w:rsidRDefault="00AD5895" w:rsidP="00C12687">
      <w:pPr>
        <w:keepNext/>
        <w:keepLines/>
        <w:tabs>
          <w:tab w:val="left" w:pos="0"/>
        </w:tabs>
        <w:rPr>
          <w:rFonts w:ascii="Times New Roman" w:hAnsi="Times New Roman" w:cs="Times New Roman"/>
          <w:sz w:val="24"/>
        </w:rPr>
      </w:pPr>
    </w:p>
    <w:p w:rsidR="00B83EEC" w:rsidRDefault="00B83EEC" w:rsidP="00C12687">
      <w:pPr>
        <w:keepNext/>
        <w:keepLines/>
        <w:tabs>
          <w:tab w:val="left" w:pos="0"/>
        </w:tabs>
        <w:rPr>
          <w:rFonts w:ascii="Times New Roman" w:hAnsi="Times New Roman" w:cs="Times New Roman"/>
          <w:sz w:val="24"/>
        </w:rPr>
      </w:pPr>
    </w:p>
    <w:p w:rsidR="00B83EEC" w:rsidRPr="006207F2" w:rsidRDefault="00B83EEC" w:rsidP="00C12687">
      <w:pPr>
        <w:keepNext/>
        <w:keepLines/>
        <w:tabs>
          <w:tab w:val="left" w:pos="0"/>
        </w:tabs>
        <w:rPr>
          <w:rFonts w:ascii="Times New Roman" w:hAnsi="Times New Roman" w:cs="Times New Roman"/>
          <w:sz w:val="24"/>
        </w:rPr>
      </w:pPr>
    </w:p>
    <w:p w:rsidR="007B2A95" w:rsidRPr="006207F2" w:rsidRDefault="007B2A95">
      <w:pPr>
        <w:pStyle w:val="Nadpis2"/>
        <w:keepLines/>
        <w:spacing w:before="360"/>
        <w:ind w:left="578" w:hanging="578"/>
        <w:rPr>
          <w:lang w:val="cs-CZ"/>
        </w:rPr>
      </w:pPr>
      <w:bookmarkStart w:id="228" w:name="_Toc323555575"/>
      <w:bookmarkStart w:id="229" w:name="_Toc323555577"/>
      <w:bookmarkStart w:id="230" w:name="_Toc322697113"/>
      <w:bookmarkStart w:id="231" w:name="_Toc322697447"/>
      <w:bookmarkStart w:id="232" w:name="_Toc322697770"/>
      <w:bookmarkStart w:id="233" w:name="_Toc322698022"/>
      <w:bookmarkStart w:id="234" w:name="_Toc322698273"/>
      <w:bookmarkStart w:id="235" w:name="_Toc322697115"/>
      <w:bookmarkStart w:id="236" w:name="_Toc322697449"/>
      <w:bookmarkStart w:id="237" w:name="_Toc322697772"/>
      <w:bookmarkStart w:id="238" w:name="_Toc322698024"/>
      <w:bookmarkStart w:id="239" w:name="_Toc322698275"/>
      <w:bookmarkStart w:id="240" w:name="_Toc322697116"/>
      <w:bookmarkStart w:id="241" w:name="_Toc322697450"/>
      <w:bookmarkStart w:id="242" w:name="_Toc322697773"/>
      <w:bookmarkStart w:id="243" w:name="_Toc322698025"/>
      <w:bookmarkStart w:id="244" w:name="_Toc322698276"/>
      <w:bookmarkStart w:id="245" w:name="_Toc322697120"/>
      <w:bookmarkStart w:id="246" w:name="_Toc322697454"/>
      <w:bookmarkStart w:id="247" w:name="_Toc322697777"/>
      <w:bookmarkStart w:id="248" w:name="_Toc322698029"/>
      <w:bookmarkStart w:id="249" w:name="_Toc322698280"/>
      <w:bookmarkStart w:id="250" w:name="_Toc322697121"/>
      <w:bookmarkStart w:id="251" w:name="_Toc322697455"/>
      <w:bookmarkStart w:id="252" w:name="_Toc322697778"/>
      <w:bookmarkStart w:id="253" w:name="_Toc322698030"/>
      <w:bookmarkStart w:id="254" w:name="_Toc322698281"/>
      <w:bookmarkStart w:id="255" w:name="_Toc322697122"/>
      <w:bookmarkStart w:id="256" w:name="_Toc322697456"/>
      <w:bookmarkStart w:id="257" w:name="_Toc322697779"/>
      <w:bookmarkStart w:id="258" w:name="_Toc322698031"/>
      <w:bookmarkStart w:id="259" w:name="_Toc322698282"/>
      <w:bookmarkStart w:id="260" w:name="_Toc322697123"/>
      <w:bookmarkStart w:id="261" w:name="_Toc322697457"/>
      <w:bookmarkStart w:id="262" w:name="_Toc322697780"/>
      <w:bookmarkStart w:id="263" w:name="_Toc322698032"/>
      <w:bookmarkStart w:id="264" w:name="_Toc322698283"/>
      <w:bookmarkStart w:id="265" w:name="_Toc322697127"/>
      <w:bookmarkStart w:id="266" w:name="_Toc322697461"/>
      <w:bookmarkStart w:id="267" w:name="_Toc322697784"/>
      <w:bookmarkStart w:id="268" w:name="_Toc322698036"/>
      <w:bookmarkStart w:id="269" w:name="_Toc322698287"/>
      <w:bookmarkStart w:id="270" w:name="_Toc322697130"/>
      <w:bookmarkStart w:id="271" w:name="_Toc322697464"/>
      <w:bookmarkStart w:id="272" w:name="_Toc322697787"/>
      <w:bookmarkStart w:id="273" w:name="_Toc322698039"/>
      <w:bookmarkStart w:id="274" w:name="_Toc322698290"/>
      <w:bookmarkStart w:id="275" w:name="_Toc322697131"/>
      <w:bookmarkStart w:id="276" w:name="_Toc322697465"/>
      <w:bookmarkStart w:id="277" w:name="_Toc322697788"/>
      <w:bookmarkStart w:id="278" w:name="_Toc322698040"/>
      <w:bookmarkStart w:id="279" w:name="_Toc322698291"/>
      <w:bookmarkStart w:id="280" w:name="_Toc322697137"/>
      <w:bookmarkStart w:id="281" w:name="_Toc322697471"/>
      <w:bookmarkStart w:id="282" w:name="_Toc322697794"/>
      <w:bookmarkStart w:id="283" w:name="_Toc322698046"/>
      <w:bookmarkStart w:id="284" w:name="_Toc322698297"/>
      <w:bookmarkStart w:id="285" w:name="_Toc322697141"/>
      <w:bookmarkStart w:id="286" w:name="_Toc322697475"/>
      <w:bookmarkStart w:id="287" w:name="_Toc322697798"/>
      <w:bookmarkStart w:id="288" w:name="_Toc322698050"/>
      <w:bookmarkStart w:id="289" w:name="_Toc322698301"/>
      <w:bookmarkStart w:id="290" w:name="_Toc322697142"/>
      <w:bookmarkStart w:id="291" w:name="_Toc322697476"/>
      <w:bookmarkStart w:id="292" w:name="_Toc322697799"/>
      <w:bookmarkStart w:id="293" w:name="_Toc322698051"/>
      <w:bookmarkStart w:id="294" w:name="_Toc322698302"/>
      <w:bookmarkStart w:id="295" w:name="_Toc322697146"/>
      <w:bookmarkStart w:id="296" w:name="_Toc322697480"/>
      <w:bookmarkStart w:id="297" w:name="_Toc322697803"/>
      <w:bookmarkStart w:id="298" w:name="_Toc322698055"/>
      <w:bookmarkStart w:id="299" w:name="_Toc322698306"/>
      <w:bookmarkStart w:id="300" w:name="_Toc322697156"/>
      <w:bookmarkStart w:id="301" w:name="_Toc322697490"/>
      <w:bookmarkStart w:id="302" w:name="_Toc322697813"/>
      <w:bookmarkStart w:id="303" w:name="_Toc322698065"/>
      <w:bookmarkStart w:id="304" w:name="_Toc322698316"/>
      <w:bookmarkStart w:id="305" w:name="_Toc322697159"/>
      <w:bookmarkStart w:id="306" w:name="_Toc322697493"/>
      <w:bookmarkStart w:id="307" w:name="_Toc322697816"/>
      <w:bookmarkStart w:id="308" w:name="_Toc322698068"/>
      <w:bookmarkStart w:id="309" w:name="_Toc322698319"/>
      <w:bookmarkStart w:id="310" w:name="_Toc322697162"/>
      <w:bookmarkStart w:id="311" w:name="_Toc322697496"/>
      <w:bookmarkStart w:id="312" w:name="_Toc322697819"/>
      <w:bookmarkStart w:id="313" w:name="_Toc322698071"/>
      <w:bookmarkStart w:id="314" w:name="_Toc322698322"/>
      <w:bookmarkStart w:id="315" w:name="_Toc322697163"/>
      <w:bookmarkStart w:id="316" w:name="_Toc322697497"/>
      <w:bookmarkStart w:id="317" w:name="_Toc322697820"/>
      <w:bookmarkStart w:id="318" w:name="_Toc322698072"/>
      <w:bookmarkStart w:id="319" w:name="_Toc322698323"/>
      <w:bookmarkStart w:id="320" w:name="_Toc322697166"/>
      <w:bookmarkStart w:id="321" w:name="_Toc322697500"/>
      <w:bookmarkStart w:id="322" w:name="_Toc322697823"/>
      <w:bookmarkStart w:id="323" w:name="_Toc322698075"/>
      <w:bookmarkStart w:id="324" w:name="_Toc322698326"/>
      <w:bookmarkStart w:id="325" w:name="_Toc322697172"/>
      <w:bookmarkStart w:id="326" w:name="_Toc322697506"/>
      <w:bookmarkStart w:id="327" w:name="_Toc322697829"/>
      <w:bookmarkStart w:id="328" w:name="_Toc322698081"/>
      <w:bookmarkStart w:id="329" w:name="_Toc322698332"/>
      <w:bookmarkStart w:id="330" w:name="_Toc322697173"/>
      <w:bookmarkStart w:id="331" w:name="_Toc322697507"/>
      <w:bookmarkStart w:id="332" w:name="_Toc322697830"/>
      <w:bookmarkStart w:id="333" w:name="_Toc322698082"/>
      <w:bookmarkStart w:id="334" w:name="_Toc322698333"/>
      <w:bookmarkStart w:id="335" w:name="_Toc244415577"/>
      <w:bookmarkStart w:id="336" w:name="_Toc346195853"/>
      <w:bookmarkStart w:id="337" w:name="_Toc328732754"/>
      <w:bookmarkStart w:id="338" w:name="_Toc365638280"/>
      <w:bookmarkStart w:id="339" w:name="_Toc37385868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6207F2">
        <w:rPr>
          <w:lang w:val="cs-CZ"/>
        </w:rPr>
        <w:lastRenderedPageBreak/>
        <w:t xml:space="preserve">Forma </w:t>
      </w:r>
      <w:r w:rsidR="003A65E6" w:rsidRPr="006207F2">
        <w:rPr>
          <w:lang w:val="cs-CZ"/>
        </w:rPr>
        <w:t xml:space="preserve">projektové </w:t>
      </w:r>
      <w:r w:rsidRPr="006207F2">
        <w:rPr>
          <w:lang w:val="cs-CZ"/>
        </w:rPr>
        <w:t>žádosti</w:t>
      </w:r>
      <w:bookmarkEnd w:id="335"/>
      <w:bookmarkEnd w:id="336"/>
      <w:bookmarkEnd w:id="337"/>
      <w:bookmarkEnd w:id="338"/>
      <w:bookmarkEnd w:id="339"/>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5"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60682B">
      <w:pPr>
        <w:pStyle w:val="odrkyChar"/>
        <w:keepNext/>
        <w:keepLines/>
        <w:numPr>
          <w:ilvl w:val="0"/>
          <w:numId w:val="195"/>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C703D5">
      <w:pPr>
        <w:pStyle w:val="odrkyChar"/>
        <w:keepNext/>
        <w:keepLines/>
        <w:numPr>
          <w:ilvl w:val="0"/>
          <w:numId w:val="195"/>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C703D5">
      <w:pPr>
        <w:pStyle w:val="odrkyChar"/>
        <w:keepNext/>
        <w:keepLines/>
        <w:numPr>
          <w:ilvl w:val="0"/>
          <w:numId w:val="195"/>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lastRenderedPageBreak/>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Pokud je některá příloha příliš rozsáhlá, předkládá ji jen na CD</w:t>
      </w:r>
      <w:r w:rsidR="00B74B14" w:rsidRPr="00FC4FB3">
        <w:rPr>
          <w:rFonts w:ascii="Times New Roman" w:hAnsi="Times New Roman" w:cs="Times New Roman"/>
          <w:sz w:val="24"/>
          <w:szCs w:val="24"/>
        </w:rPr>
        <w:t xml:space="preserve">.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064EA5">
        <w:rPr>
          <w:rFonts w:ascii="Times New Roman" w:hAnsi="Times New Roman" w:cs="Times New Roman"/>
          <w:b/>
          <w:sz w:val="24"/>
          <w:szCs w:val="24"/>
        </w:rPr>
        <w:t>Studie proveditelnosti</w:t>
      </w:r>
    </w:p>
    <w:p w:rsidR="00AF1BE4" w:rsidRPr="00C12687" w:rsidRDefault="00AF1BE4" w:rsidP="009D47A9">
      <w:pPr>
        <w:pStyle w:val="odrkyChar"/>
        <w:keepNext/>
        <w:keepLines/>
        <w:widowControl w:val="0"/>
        <w:tabs>
          <w:tab w:val="left" w:pos="880"/>
        </w:tabs>
        <w:spacing w:before="0" w:after="0" w:line="240" w:lineRule="atLeast"/>
        <w:ind w:left="880"/>
        <w:rPr>
          <w:rFonts w:ascii="Times New Roman" w:hAnsi="Times New Roman" w:cs="Times New Roman"/>
          <w:sz w:val="24"/>
          <w:szCs w:val="24"/>
        </w:rPr>
      </w:pPr>
      <w:r w:rsidRPr="00C12687">
        <w:rPr>
          <w:rFonts w:ascii="Times New Roman" w:hAnsi="Times New Roman" w:cs="Times New Roman"/>
          <w:sz w:val="24"/>
          <w:szCs w:val="24"/>
        </w:rPr>
        <w:t xml:space="preserve">Struktura studie proveditelnosti je uvedena v příloze č. </w:t>
      </w:r>
      <w:r w:rsidR="008228AB">
        <w:rPr>
          <w:rFonts w:ascii="Times New Roman" w:hAnsi="Times New Roman" w:cs="Times New Roman"/>
          <w:sz w:val="24"/>
          <w:szCs w:val="24"/>
        </w:rPr>
        <w:t>2</w:t>
      </w:r>
      <w:r w:rsidRPr="00C12687">
        <w:rPr>
          <w:rFonts w:ascii="Times New Roman" w:hAnsi="Times New Roman" w:cs="Times New Roman"/>
          <w:sz w:val="24"/>
          <w:szCs w:val="24"/>
        </w:rPr>
        <w:t xml:space="preserve"> Příručky, viz kapitola 5.2.1. </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Zmocnění k podpisu projektové žádosti</w:t>
      </w:r>
      <w:r w:rsidR="00916DD5">
        <w:rPr>
          <w:rFonts w:ascii="Times New Roman" w:hAnsi="Times New Roman" w:cs="Times New Roman"/>
          <w:b/>
          <w:sz w:val="24"/>
          <w:szCs w:val="24"/>
        </w:rPr>
        <w:t>,</w:t>
      </w:r>
      <w:r w:rsidRPr="00C12687">
        <w:rPr>
          <w:rFonts w:ascii="Times New Roman" w:hAnsi="Times New Roman" w:cs="Times New Roman"/>
          <w:b/>
          <w:sz w:val="24"/>
          <w:szCs w:val="24"/>
        </w:rPr>
        <w:t xml:space="preserve"> podepsané statutárním zástupcem, </w:t>
      </w:r>
      <w:r w:rsidRPr="00C12687">
        <w:rPr>
          <w:rFonts w:ascii="Times New Roman" w:hAnsi="Times New Roman" w:cs="Times New Roman"/>
          <w:sz w:val="24"/>
          <w:szCs w:val="24"/>
        </w:rPr>
        <w:t>je-li relevantní.</w:t>
      </w:r>
    </w:p>
    <w:p w:rsidR="00C12687"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C12687" w:rsidRPr="00C12687">
        <w:rPr>
          <w:rFonts w:ascii="Times New Roman" w:hAnsi="Times New Roman" w:cs="Times New Roman"/>
          <w:b/>
          <w:sz w:val="24"/>
          <w:szCs w:val="24"/>
        </w:rPr>
        <w:t xml:space="preserve"> </w:t>
      </w:r>
    </w:p>
    <w:p w:rsidR="00AF1BE4" w:rsidRPr="00C12687" w:rsidRDefault="00916DD5" w:rsidP="009D47A9">
      <w:pPr>
        <w:pStyle w:val="odrkyChar"/>
        <w:keepNext/>
        <w:keepLines/>
        <w:widowControl w:val="0"/>
        <w:spacing w:before="0" w:after="0" w:line="240" w:lineRule="atLeast"/>
        <w:ind w:left="964"/>
        <w:rPr>
          <w:rFonts w:ascii="Times New Roman" w:hAnsi="Times New Roman" w:cs="Times New Roman"/>
          <w:i/>
          <w:sz w:val="24"/>
          <w:szCs w:val="24"/>
        </w:rPr>
      </w:pPr>
      <w:r>
        <w:rPr>
          <w:rFonts w:ascii="Times New Roman" w:hAnsi="Times New Roman" w:cs="Times New Roman"/>
          <w:i/>
          <w:sz w:val="24"/>
          <w:szCs w:val="24"/>
        </w:rPr>
        <w:t>P</w:t>
      </w:r>
      <w:r w:rsidR="00C12687" w:rsidRPr="00C12687">
        <w:rPr>
          <w:rFonts w:ascii="Times New Roman" w:hAnsi="Times New Roman" w:cs="Times New Roman"/>
          <w:i/>
          <w:sz w:val="24"/>
          <w:szCs w:val="24"/>
        </w:rPr>
        <w:t>rohlášení o finančním závazku proje</w:t>
      </w:r>
      <w:r w:rsidR="00C12687">
        <w:rPr>
          <w:rFonts w:ascii="Times New Roman" w:hAnsi="Times New Roman" w:cs="Times New Roman"/>
          <w:i/>
          <w:sz w:val="24"/>
          <w:szCs w:val="24"/>
        </w:rPr>
        <w:t>k</w:t>
      </w:r>
      <w:r w:rsidR="00C12687" w:rsidRPr="00C12687">
        <w:rPr>
          <w:rFonts w:ascii="Times New Roman" w:hAnsi="Times New Roman" w:cs="Times New Roman"/>
          <w:i/>
          <w:sz w:val="24"/>
          <w:szCs w:val="24"/>
        </w:rPr>
        <w:t>t profinancovat v jeho celkové výši.</w:t>
      </w:r>
    </w:p>
    <w:p w:rsidR="001E6A4E" w:rsidRPr="001E6A4E" w:rsidRDefault="001E6A4E" w:rsidP="001E6A4E">
      <w:pPr>
        <w:pStyle w:val="odrkyChar"/>
        <w:keepNext/>
        <w:keepLines/>
        <w:widowControl w:val="0"/>
        <w:spacing w:before="180" w:after="0" w:line="240" w:lineRule="atLeast"/>
        <w:ind w:left="964"/>
        <w:rPr>
          <w:rFonts w:ascii="Times New Roman" w:hAnsi="Times New Roman" w:cs="Times New Roman"/>
          <w:b/>
          <w:sz w:val="24"/>
          <w:szCs w:val="24"/>
        </w:rPr>
      </w:pPr>
    </w:p>
    <w:p w:rsidR="00B24D00" w:rsidRPr="0048085A" w:rsidRDefault="00B24D00">
      <w:pPr>
        <w:pStyle w:val="Nadpis3"/>
        <w:keepLines/>
        <w:widowControl w:val="0"/>
      </w:pPr>
      <w:bookmarkStart w:id="340" w:name="_Toc346195854"/>
      <w:bookmarkStart w:id="341" w:name="_Toc373858683"/>
      <w:r w:rsidRPr="0048085A">
        <w:t>Studie proveditelnosti</w:t>
      </w:r>
      <w:bookmarkEnd w:id="340"/>
      <w:bookmarkEnd w:id="341"/>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Pr="004C6EF0">
        <w:rPr>
          <w:rFonts w:ascii="Times New Roman" w:hAnsi="Times New Roman" w:cs="Times New Roman"/>
          <w:noProof/>
          <w:color w:val="231F20"/>
          <w:sz w:val="24"/>
          <w:szCs w:val="24"/>
        </w:rPr>
        <w:t xml:space="preserve">. </w:t>
      </w:r>
    </w:p>
    <w:p w:rsidR="00B24D00" w:rsidRDefault="00B24D00">
      <w:pPr>
        <w:pStyle w:val="Nadpis3"/>
        <w:keepLines/>
        <w:widowControl w:val="0"/>
        <w:ind w:right="-2"/>
      </w:pPr>
      <w:bookmarkStart w:id="342" w:name="_Toc346195855"/>
      <w:bookmarkStart w:id="343" w:name="_Toc373858684"/>
      <w:r>
        <w:t>Roz</w:t>
      </w:r>
      <w:r w:rsidRPr="00B23475">
        <w:t>počet projektu</w:t>
      </w:r>
      <w:bookmarkEnd w:id="342"/>
      <w:bookmarkEnd w:id="343"/>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lastRenderedPageBreak/>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FC4FB3" w:rsidRDefault="00FC4FB3" w:rsidP="009D47A9">
      <w:pPr>
        <w:keepNext/>
        <w:keepLines/>
        <w:widowControl w:val="0"/>
        <w:ind w:right="-108"/>
        <w:rPr>
          <w:rFonts w:ascii="Times New Roman" w:hAnsi="Times New Roman" w:cs="Times New Roman"/>
          <w:noProof/>
          <w:sz w:val="24"/>
          <w:szCs w:val="24"/>
        </w:rPr>
      </w:pPr>
      <w:bookmarkStart w:id="344" w:name="_Toc328732755"/>
    </w:p>
    <w:p w:rsidR="000343D1" w:rsidRPr="006207F2" w:rsidRDefault="000343D1">
      <w:pPr>
        <w:pStyle w:val="Nadpis2"/>
        <w:keepLines/>
        <w:widowControl w:val="0"/>
        <w:spacing w:before="360"/>
        <w:ind w:left="578" w:hanging="578"/>
        <w:rPr>
          <w:lang w:val="cs-CZ"/>
        </w:rPr>
      </w:pPr>
      <w:bookmarkStart w:id="345" w:name="_Toc327282004"/>
      <w:bookmarkStart w:id="346" w:name="_Toc327282400"/>
      <w:bookmarkStart w:id="347" w:name="_Toc327282005"/>
      <w:bookmarkStart w:id="348" w:name="_Toc327282401"/>
      <w:bookmarkStart w:id="349" w:name="_Toc327168372"/>
      <w:bookmarkStart w:id="350" w:name="_Toc327282006"/>
      <w:bookmarkStart w:id="351" w:name="_Toc327282402"/>
      <w:bookmarkStart w:id="352" w:name="_Toc346195856"/>
      <w:bookmarkStart w:id="353" w:name="_Toc365638281"/>
      <w:bookmarkStart w:id="354" w:name="_Toc373858685"/>
      <w:bookmarkEnd w:id="345"/>
      <w:bookmarkEnd w:id="346"/>
      <w:bookmarkEnd w:id="347"/>
      <w:bookmarkEnd w:id="348"/>
      <w:bookmarkEnd w:id="349"/>
      <w:bookmarkEnd w:id="350"/>
      <w:bookmarkEnd w:id="351"/>
      <w:r w:rsidRPr="006207F2">
        <w:rPr>
          <w:lang w:val="cs-CZ"/>
        </w:rPr>
        <w:t>Způsob podání projektové žádosti</w:t>
      </w:r>
      <w:bookmarkEnd w:id="344"/>
      <w:bookmarkEnd w:id="352"/>
      <w:bookmarkEnd w:id="353"/>
      <w:bookmarkEnd w:id="354"/>
    </w:p>
    <w:p w:rsidR="000343D1" w:rsidRPr="000343D1" w:rsidRDefault="00B22D2A" w:rsidP="009D47A9">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55"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4B0437" w:rsidRPr="000343D1">
        <w:rPr>
          <w:rFonts w:ascii="Times New Roman" w:hAnsi="Times New Roman" w:cs="Times New Roman"/>
          <w:b/>
          <w:bCs/>
          <w:sz w:val="24"/>
          <w:szCs w:val="24"/>
        </w:rPr>
        <w:t>bud</w:t>
      </w:r>
      <w:r w:rsidR="004B0437">
        <w:rPr>
          <w:rFonts w:ascii="Times New Roman" w:hAnsi="Times New Roman" w:cs="Times New Roman"/>
          <w:b/>
          <w:bCs/>
          <w:sz w:val="24"/>
          <w:szCs w:val="24"/>
        </w:rPr>
        <w:t>e</w:t>
      </w:r>
      <w:r w:rsidR="004B0437"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4B0437" w:rsidRPr="004B0437">
        <w:rPr>
          <w:rFonts w:ascii="Times New Roman" w:hAnsi="Times New Roman" w:cs="Times New Roman"/>
          <w:b/>
          <w:bCs/>
          <w:sz w:val="24"/>
          <w:szCs w:val="24"/>
        </w:rPr>
        <w:t xml:space="preserve">hlavní kancelář </w:t>
      </w:r>
      <w:r w:rsidR="000343D1" w:rsidRPr="004B0437">
        <w:rPr>
          <w:rFonts w:ascii="Times New Roman" w:hAnsi="Times New Roman" w:cs="Times New Roman"/>
          <w:b/>
          <w:bCs/>
          <w:sz w:val="24"/>
          <w:szCs w:val="24"/>
        </w:rPr>
        <w:t xml:space="preserve">CRR </w:t>
      </w:r>
      <w:r w:rsidR="00F46A2F" w:rsidRPr="004B0437">
        <w:rPr>
          <w:rFonts w:ascii="Times New Roman" w:hAnsi="Times New Roman" w:cs="Times New Roman"/>
          <w:b/>
          <w:bCs/>
          <w:sz w:val="24"/>
          <w:szCs w:val="24"/>
        </w:rPr>
        <w:t>ČR</w:t>
      </w:r>
      <w:r w:rsidR="000343D1" w:rsidRPr="000343D1">
        <w:rPr>
          <w:rFonts w:ascii="Times New Roman" w:hAnsi="Times New Roman" w:cs="Times New Roman"/>
          <w:b/>
          <w:bCs/>
          <w:sz w:val="24"/>
          <w:szCs w:val="24"/>
        </w:rPr>
        <w:t xml:space="preserve"> se sídlem v </w:t>
      </w:r>
      <w:r w:rsidR="004B0437">
        <w:rPr>
          <w:rFonts w:ascii="Times New Roman" w:hAnsi="Times New Roman" w:cs="Times New Roman"/>
          <w:b/>
          <w:bCs/>
          <w:sz w:val="24"/>
          <w:szCs w:val="24"/>
        </w:rPr>
        <w:t>Praze</w:t>
      </w:r>
      <w:r w:rsidR="000343D1" w:rsidRPr="000343D1">
        <w:rPr>
          <w:rFonts w:ascii="Times New Roman" w:hAnsi="Times New Roman" w:cs="Times New Roman"/>
          <w:b/>
          <w:bCs/>
          <w:sz w:val="24"/>
          <w:szCs w:val="24"/>
        </w:rPr>
        <w:t xml:space="preserve">. </w:t>
      </w:r>
    </w:p>
    <w:bookmarkEnd w:id="355"/>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4B0437" w:rsidRPr="00B22D2A" w:rsidRDefault="004B0437" w:rsidP="004B0437">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poštovní doručení</w:t>
      </w:r>
      <w:r>
        <w:rPr>
          <w:rFonts w:ascii="Times New Roman" w:hAnsi="Times New Roman" w:cs="Times New Roman"/>
          <w:sz w:val="24"/>
        </w:rPr>
        <w:t>:</w:t>
      </w:r>
      <w:r w:rsidRPr="00B22D2A">
        <w:rPr>
          <w:rFonts w:ascii="Times New Roman" w:hAnsi="Times New Roman" w:cs="Times New Roman"/>
          <w:sz w:val="24"/>
        </w:rPr>
        <w:t xml:space="preserve">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916DD5"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4B0437" w:rsidRPr="008A0922" w:rsidRDefault="004B0437" w:rsidP="004B0437">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4B0437" w:rsidRDefault="004B0437"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56"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21</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56"/>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od 9 do 14 hod.</w:t>
      </w:r>
      <w:r w:rsidR="00AD589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EE0029" w:rsidRDefault="007B2A95">
      <w:pPr>
        <w:pStyle w:val="Nadpis1"/>
        <w:keepLines/>
        <w:widowControl w:val="0"/>
        <w:rPr>
          <w:noProof/>
          <w:color w:val="000000"/>
          <w:szCs w:val="40"/>
          <w:u w:val="single"/>
        </w:rPr>
      </w:pPr>
      <w:r w:rsidRPr="0048085A">
        <w:rPr>
          <w:noProof/>
          <w:color w:val="000000"/>
          <w:sz w:val="20"/>
          <w:szCs w:val="20"/>
          <w:u w:val="single"/>
        </w:rPr>
        <w:br w:type="page"/>
      </w:r>
      <w:bookmarkStart w:id="357" w:name="_Toc244415581"/>
      <w:bookmarkStart w:id="358" w:name="_Toc285113231"/>
      <w:bookmarkStart w:id="359" w:name="_Toc285113343"/>
      <w:bookmarkStart w:id="360" w:name="_Toc285113427"/>
      <w:bookmarkStart w:id="361" w:name="_Toc311644726"/>
      <w:bookmarkStart w:id="362" w:name="_Toc346195857"/>
      <w:bookmarkStart w:id="363" w:name="_Toc328732756"/>
      <w:bookmarkStart w:id="364" w:name="_Toc365638282"/>
      <w:bookmarkStart w:id="365" w:name="_Toc373858686"/>
      <w:r w:rsidR="00EE0029" w:rsidRPr="00EE0029">
        <w:rPr>
          <w:rFonts w:cs="Times New Roman"/>
          <w:szCs w:val="40"/>
        </w:rPr>
        <w:lastRenderedPageBreak/>
        <w:t>Co následuje po podání projektové žádosti</w:t>
      </w:r>
      <w:bookmarkEnd w:id="357"/>
      <w:bookmarkEnd w:id="358"/>
      <w:bookmarkEnd w:id="359"/>
      <w:bookmarkEnd w:id="360"/>
      <w:bookmarkEnd w:id="361"/>
      <w:bookmarkEnd w:id="362"/>
      <w:bookmarkEnd w:id="363"/>
      <w:bookmarkEnd w:id="364"/>
      <w:bookmarkEnd w:id="365"/>
    </w:p>
    <w:p w:rsidR="00EE0029" w:rsidRPr="000F4EBE" w:rsidRDefault="00FD4701">
      <w:pPr>
        <w:pStyle w:val="Nadpis2"/>
        <w:keepLines/>
        <w:spacing w:before="360"/>
        <w:ind w:left="578" w:hanging="578"/>
        <w:rPr>
          <w:lang w:val="cs-CZ"/>
        </w:rPr>
      </w:pPr>
      <w:bookmarkStart w:id="366" w:name="_Toc285113232"/>
      <w:bookmarkStart w:id="367" w:name="_Toc285113344"/>
      <w:bookmarkStart w:id="368" w:name="_Toc285113428"/>
      <w:bookmarkStart w:id="369" w:name="_Toc311644727"/>
      <w:bookmarkStart w:id="370" w:name="_Toc346195858"/>
      <w:bookmarkStart w:id="371" w:name="_Toc328732757"/>
      <w:bookmarkStart w:id="372" w:name="_Toc365638283"/>
      <w:bookmarkStart w:id="373" w:name="_Toc373858687"/>
      <w:r w:rsidRPr="00FD4701">
        <w:rPr>
          <w:lang w:val="cs-CZ"/>
        </w:rPr>
        <w:t>Orientační harmonogram administrace projektů</w:t>
      </w:r>
      <w:bookmarkEnd w:id="366"/>
      <w:bookmarkEnd w:id="367"/>
      <w:bookmarkEnd w:id="368"/>
      <w:bookmarkEnd w:id="369"/>
      <w:bookmarkEnd w:id="370"/>
      <w:bookmarkEnd w:id="371"/>
      <w:bookmarkEnd w:id="372"/>
      <w:bookmarkEnd w:id="373"/>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AD5895">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kontinuální příjem žádostí </w:t>
            </w:r>
            <w:r w:rsidRPr="00AD5895">
              <w:rPr>
                <w:rFonts w:ascii="Times New Roman" w:hAnsi="Times New Roman" w:cs="Times New Roman"/>
              </w:rPr>
              <w:t>na CRR ČR</w:t>
            </w:r>
            <w:r w:rsidRPr="00B373CE">
              <w:rPr>
                <w:rFonts w:ascii="Times New Roman" w:hAnsi="Times New Roman" w:cs="Times New Roman"/>
              </w:rPr>
              <w:t xml:space="preserve"> do </w:t>
            </w:r>
            <w:r w:rsidR="00B373CE">
              <w:rPr>
                <w:rFonts w:ascii="Times New Roman" w:hAnsi="Times New Roman" w:cs="Times New Roman"/>
              </w:rPr>
              <w:br/>
            </w:r>
            <w:r w:rsidR="00AD5895" w:rsidRPr="00AD5895">
              <w:rPr>
                <w:rFonts w:ascii="Times New Roman" w:hAnsi="Times New Roman" w:cs="Times New Roman"/>
                <w:b/>
              </w:rPr>
              <w:t>31</w:t>
            </w:r>
            <w:r w:rsidR="00B373CE" w:rsidRPr="00AD5895">
              <w:rPr>
                <w:rFonts w:ascii="Times New Roman" w:hAnsi="Times New Roman" w:cs="Times New Roman"/>
                <w:b/>
              </w:rPr>
              <w:t xml:space="preserve">. </w:t>
            </w:r>
            <w:r w:rsidR="00AD5895" w:rsidRPr="00AD5895">
              <w:rPr>
                <w:rFonts w:ascii="Times New Roman" w:hAnsi="Times New Roman" w:cs="Times New Roman"/>
                <w:b/>
              </w:rPr>
              <w:t>3</w:t>
            </w:r>
            <w:r w:rsidR="00B373CE" w:rsidRPr="00AD5895">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77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Pr>
                <w:rFonts w:ascii="Times New Roman" w:hAnsi="Times New Roman" w:cs="Times New Roman"/>
                <w:b/>
                <w:bCs/>
              </w:rPr>
              <w:t>Vydání Stanovení výdajů, vč. odsouhlasení projektu ministerstvem financí</w:t>
            </w:r>
            <w:r w:rsidR="00224F1F">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374085">
            <w:pPr>
              <w:keepNext/>
              <w:keepLines/>
              <w:suppressAutoHyphens/>
              <w:spacing w:before="0"/>
              <w:jc w:val="center"/>
              <w:rPr>
                <w:rFonts w:ascii="Times New Roman" w:hAnsi="Times New Roman" w:cs="Times New Roman"/>
              </w:rPr>
            </w:pPr>
            <w:r w:rsidRPr="00FD4701">
              <w:rPr>
                <w:rFonts w:ascii="Times New Roman" w:hAnsi="Times New Roman" w:cs="Times New Roman"/>
              </w:rPr>
              <w:t>137</w:t>
            </w:r>
          </w:p>
        </w:tc>
      </w:tr>
    </w:tbl>
    <w:p w:rsidR="00EE0029" w:rsidRDefault="00EE0029" w:rsidP="00374085">
      <w:pPr>
        <w:keepNext/>
        <w:keepLines/>
      </w:pPr>
    </w:p>
    <w:p w:rsidR="00CF3A89" w:rsidRDefault="00CF3A89" w:rsidP="00374085">
      <w:pPr>
        <w:keepNext/>
        <w:keepLines/>
      </w:pPr>
    </w:p>
    <w:p w:rsidR="00CF3A89" w:rsidRDefault="00CF3A89" w:rsidP="00374085">
      <w:pPr>
        <w:keepNext/>
        <w:keepLines/>
      </w:pPr>
    </w:p>
    <w:p w:rsidR="00CF3A89" w:rsidRDefault="00CF3A89" w:rsidP="00374085">
      <w:pPr>
        <w:keepNext/>
        <w:keepLines/>
      </w:pPr>
    </w:p>
    <w:p w:rsidR="000611A7" w:rsidRPr="006207F2" w:rsidRDefault="000611A7">
      <w:pPr>
        <w:pStyle w:val="Nadpis2"/>
        <w:keepLines/>
        <w:spacing w:before="360"/>
        <w:ind w:left="578" w:hanging="578"/>
        <w:rPr>
          <w:lang w:val="cs-CZ"/>
        </w:rPr>
      </w:pPr>
      <w:bookmarkStart w:id="374" w:name="_Toc285113233"/>
      <w:bookmarkStart w:id="375" w:name="_Toc285113345"/>
      <w:bookmarkStart w:id="376" w:name="_Toc285113429"/>
      <w:bookmarkStart w:id="377" w:name="_Toc311644728"/>
      <w:bookmarkStart w:id="378" w:name="_Toc346195859"/>
      <w:bookmarkStart w:id="379" w:name="_Toc328732758"/>
      <w:bookmarkStart w:id="380" w:name="_Toc365638284"/>
      <w:bookmarkStart w:id="381" w:name="_Toc373858688"/>
      <w:r w:rsidRPr="006207F2">
        <w:rPr>
          <w:lang w:val="cs-CZ"/>
        </w:rPr>
        <w:lastRenderedPageBreak/>
        <w:t>Posuzování žádosti</w:t>
      </w:r>
      <w:bookmarkEnd w:id="374"/>
      <w:bookmarkEnd w:id="375"/>
      <w:bookmarkEnd w:id="376"/>
      <w:bookmarkEnd w:id="377"/>
      <w:bookmarkEnd w:id="378"/>
      <w:bookmarkEnd w:id="379"/>
      <w:bookmarkEnd w:id="380"/>
      <w:bookmarkEnd w:id="381"/>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D86ED5" w:rsidRP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D86ED5" w:rsidRDefault="00D86ED5" w:rsidP="00D93359">
      <w:pPr>
        <w:keepNext/>
        <w:keepLines/>
        <w:numPr>
          <w:ilvl w:val="0"/>
          <w:numId w:val="36"/>
        </w:numPr>
        <w:spacing w:before="0"/>
        <w:rPr>
          <w:rFonts w:ascii="Times New Roman" w:hAnsi="Times New Roman" w:cs="Times New Roman"/>
          <w:sz w:val="24"/>
          <w:szCs w:val="24"/>
        </w:rPr>
      </w:pPr>
      <w:r w:rsidRPr="00D86ED5">
        <w:rPr>
          <w:rFonts w:ascii="Times New Roman" w:hAnsi="Times New Roman" w:cs="Times New Roman"/>
          <w:sz w:val="24"/>
          <w:szCs w:val="24"/>
        </w:rPr>
        <w:t>rozhodnutí o přidělení prostředků.</w:t>
      </w:r>
    </w:p>
    <w:p w:rsidR="00D86ED5" w:rsidRPr="000611A7" w:rsidRDefault="00D86ED5" w:rsidP="00D93359">
      <w:pPr>
        <w:keepNext/>
        <w:keepLines/>
        <w:spacing w:before="0"/>
        <w:ind w:left="720"/>
        <w:rPr>
          <w:rFonts w:ascii="Times New Roman" w:hAnsi="Times New Roman" w:cs="Times New Roman"/>
          <w:sz w:val="24"/>
          <w:szCs w:val="24"/>
        </w:rPr>
      </w:pP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odnocení kvality projektu podle výběrových kritérií</w:t>
      </w:r>
      <w:r>
        <w:rPr>
          <w:rFonts w:ascii="Times New Roman" w:hAnsi="Times New Roman" w:cs="Times New Roman"/>
          <w:sz w:val="24"/>
          <w:szCs w:val="24"/>
        </w:rPr>
        <w:t xml:space="preserve"> 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pPr>
        <w:pStyle w:val="Nadpis3"/>
        <w:keepLines/>
      </w:pPr>
      <w:bookmarkStart w:id="382" w:name="_Toc244415582"/>
      <w:bookmarkStart w:id="383" w:name="_Toc346195860"/>
      <w:bookmarkStart w:id="384" w:name="_Toc328732759"/>
      <w:bookmarkStart w:id="385" w:name="_Toc365638285"/>
      <w:bookmarkStart w:id="386" w:name="_Toc373858689"/>
      <w:r>
        <w:t>Posouzení přijatelnosti projektu</w:t>
      </w:r>
      <w:bookmarkEnd w:id="382"/>
      <w:bookmarkEnd w:id="383"/>
      <w:bookmarkEnd w:id="384"/>
      <w:bookmarkEnd w:id="385"/>
      <w:bookmarkEnd w:id="386"/>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7371D6" w:rsidRPr="00273D60">
        <w:rPr>
          <w:rFonts w:ascii="Times New Roman" w:hAnsi="Times New Roman" w:cs="Times New Roman"/>
          <w:b/>
          <w:sz w:val="24"/>
          <w:szCs w:val="24"/>
        </w:rPr>
        <w:t>vyřazen.</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lastRenderedPageBreak/>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48085A"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87" w:name="_Toc346195861"/>
      <w:bookmarkStart w:id="388" w:name="_Toc328732760"/>
      <w:bookmarkStart w:id="389" w:name="_Toc365638286"/>
      <w:bookmarkStart w:id="390" w:name="_Toc373858690"/>
      <w:bookmarkStart w:id="391" w:name="_Toc191978788"/>
      <w:r>
        <w:t>Kontrola formálních náležitostí</w:t>
      </w:r>
      <w:bookmarkEnd w:id="387"/>
      <w:bookmarkEnd w:id="388"/>
      <w:bookmarkEnd w:id="389"/>
      <w:bookmarkEnd w:id="390"/>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91"/>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392" w:name="_Toc322697184"/>
      <w:bookmarkStart w:id="393" w:name="_Toc322697518"/>
      <w:bookmarkStart w:id="394" w:name="_Toc322697841"/>
      <w:bookmarkStart w:id="395" w:name="_Toc322698093"/>
      <w:bookmarkStart w:id="396" w:name="_Toc322698344"/>
      <w:bookmarkStart w:id="397" w:name="_Toc323217915"/>
      <w:bookmarkStart w:id="398" w:name="_Toc324935292"/>
      <w:bookmarkStart w:id="399" w:name="_Toc346195862"/>
      <w:bookmarkStart w:id="400" w:name="_Toc328732761"/>
      <w:bookmarkStart w:id="401" w:name="_Toc365638287"/>
      <w:bookmarkStart w:id="402" w:name="_Toc373858691"/>
      <w:bookmarkEnd w:id="392"/>
      <w:bookmarkEnd w:id="393"/>
      <w:bookmarkEnd w:id="394"/>
      <w:bookmarkEnd w:id="395"/>
      <w:bookmarkEnd w:id="396"/>
      <w:bookmarkEnd w:id="397"/>
      <w:bookmarkEnd w:id="398"/>
      <w:r w:rsidRPr="003459E8">
        <w:t>Hodnocení kvality projektů</w:t>
      </w:r>
      <w:bookmarkEnd w:id="399"/>
      <w:bookmarkEnd w:id="400"/>
      <w:bookmarkEnd w:id="401"/>
      <w:bookmarkEnd w:id="402"/>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3459E8" w:rsidRDefault="003459E8" w:rsidP="003459E8">
            <w:pPr>
              <w:keepNext/>
              <w:tabs>
                <w:tab w:val="left" w:pos="244"/>
              </w:tabs>
              <w:spacing w:before="40" w:after="40"/>
              <w:jc w:val="center"/>
              <w:rPr>
                <w:rFonts w:ascii="Times New Roman" w:hAnsi="Times New Roman" w:cs="Times New Roman"/>
                <w:caps/>
                <w:sz w:val="22"/>
                <w:szCs w:val="22"/>
              </w:rPr>
            </w:pPr>
            <w:r w:rsidRPr="003459E8">
              <w:rPr>
                <w:rFonts w:ascii="Times New Roman" w:hAnsi="Times New Roman" w:cs="Times New Roman"/>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5"/>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42"/>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lastRenderedPageBreak/>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nedosáhl </w:t>
      </w:r>
      <w:r w:rsidR="008826F9">
        <w:rPr>
          <w:rFonts w:ascii="Times New Roman" w:hAnsi="Times New Roman"/>
          <w:sz w:val="24"/>
        </w:rPr>
        <w:t xml:space="preserve">tohoto </w:t>
      </w:r>
      <w:r w:rsidRPr="0068536A">
        <w:rPr>
          <w:rFonts w:ascii="Times New Roman" w:hAnsi="Times New Roman"/>
          <w:sz w:val="24"/>
        </w:rPr>
        <w:t>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o této skutečnosti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03" w:name="_Toc346195863"/>
      <w:bookmarkStart w:id="404" w:name="_Toc328732762"/>
      <w:bookmarkStart w:id="405" w:name="_Toc365638288"/>
      <w:bookmarkStart w:id="406" w:name="_Toc373858692"/>
      <w:r>
        <w:t>Ex-ante analýza rizik a kontrola ex-ante</w:t>
      </w:r>
      <w:bookmarkEnd w:id="403"/>
      <w:bookmarkEnd w:id="404"/>
      <w:bookmarkEnd w:id="405"/>
      <w:bookmarkEnd w:id="406"/>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 xml:space="preserve">V dopise zároveň oznamuje žadateli, že na </w:t>
      </w:r>
      <w:r w:rsidRPr="002132A3">
        <w:rPr>
          <w:rFonts w:ascii="Times New Roman" w:hAnsi="Times New Roman"/>
          <w:sz w:val="24"/>
        </w:rPr>
        <w:lastRenderedPageBreak/>
        <w:t>dotaci není podle § 14 zákona č. 218/2000</w:t>
      </w:r>
      <w:r w:rsidR="00B222AF">
        <w:rPr>
          <w:rFonts w:ascii="Times New Roman" w:hAnsi="Times New Roman"/>
          <w:sz w:val="24"/>
        </w:rPr>
        <w:t xml:space="preserve"> </w:t>
      </w:r>
      <w:r w:rsidRPr="002132A3">
        <w:rPr>
          <w:rFonts w:ascii="Times New Roman" w:hAnsi="Times New Roman"/>
          <w:sz w:val="24"/>
        </w:rPr>
        <w:t xml:space="preserve">Sb., </w:t>
      </w:r>
      <w:r w:rsidR="00227C50">
        <w:rPr>
          <w:rFonts w:ascii="Times New Roman" w:hAnsi="Times New Roman"/>
          <w:sz w:val="24"/>
        </w:rPr>
        <w:br/>
      </w:r>
      <w:r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Default="00924054" w:rsidP="007411E5">
      <w:pPr>
        <w:ind w:right="-108"/>
        <w:rPr>
          <w:b/>
        </w:rPr>
      </w:pPr>
    </w:p>
    <w:p w:rsidR="00924054" w:rsidRPr="003459E8" w:rsidRDefault="00924054">
      <w:pPr>
        <w:pStyle w:val="Nadpis3"/>
        <w:keepLines/>
      </w:pPr>
      <w:bookmarkStart w:id="407" w:name="_Toc346195864"/>
      <w:bookmarkStart w:id="408" w:name="_Toc328732763"/>
      <w:bookmarkStart w:id="409" w:name="_Toc365638289"/>
      <w:bookmarkStart w:id="410" w:name="_Toc373858693"/>
      <w:r w:rsidRPr="003459E8">
        <w:t>Schvalování projektů</w:t>
      </w:r>
      <w:bookmarkEnd w:id="407"/>
      <w:bookmarkEnd w:id="408"/>
      <w:bookmarkEnd w:id="409"/>
      <w:bookmarkEnd w:id="410"/>
    </w:p>
    <w:p w:rsidR="00C3662B" w:rsidRDefault="00DE5CA9" w:rsidP="00DE5CA9">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C3662B">
        <w:rPr>
          <w:rFonts w:ascii="Times New Roman" w:hAnsi="Times New Roman"/>
          <w:sz w:val="24"/>
        </w:rPr>
        <w:t xml:space="preserve">. </w:t>
      </w:r>
    </w:p>
    <w:p w:rsidR="00734805"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rozhoduje o projektech 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C4005D">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C4005D" w:rsidRDefault="00FB11BB" w:rsidP="00C4005D">
      <w:pPr>
        <w:numPr>
          <w:ilvl w:val="0"/>
          <w:numId w:val="98"/>
        </w:numPr>
        <w:spacing w:before="0"/>
        <w:rPr>
          <w:rFonts w:ascii="Times New Roman" w:hAnsi="Times New Roman" w:cs="Times New Roman"/>
          <w:sz w:val="24"/>
          <w:szCs w:val="24"/>
        </w:rPr>
      </w:pPr>
      <w:r>
        <w:rPr>
          <w:rFonts w:ascii="Times New Roman" w:hAnsi="Times New Roman" w:cs="Times New Roman"/>
          <w:sz w:val="24"/>
          <w:szCs w:val="24"/>
        </w:rPr>
        <w:t>schválit seznam náhradních projektů</w:t>
      </w:r>
      <w:r w:rsidR="00C4005D" w:rsidRPr="00C4005D">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7B2A95" w:rsidRDefault="007B2A95" w:rsidP="0060682B">
      <w:pPr>
        <w:spacing w:before="0"/>
        <w:ind w:right="-2"/>
        <w:rPr>
          <w:rFonts w:ascii="Times New Roman" w:hAnsi="Times New Roman"/>
          <w:b/>
          <w:sz w:val="24"/>
        </w:rPr>
      </w:pPr>
    </w:p>
    <w:p w:rsidR="00A9138D" w:rsidRDefault="00A9138D" w:rsidP="0060682B">
      <w:pPr>
        <w:spacing w:before="0"/>
        <w:ind w:right="-2"/>
        <w:rPr>
          <w:noProof/>
        </w:rPr>
      </w:pPr>
    </w:p>
    <w:p w:rsidR="00E92F75" w:rsidRPr="00593EFF" w:rsidRDefault="00E92F75">
      <w:pPr>
        <w:pStyle w:val="Nadpis3"/>
        <w:keepLines/>
        <w:ind w:right="-2"/>
      </w:pPr>
      <w:bookmarkStart w:id="411" w:name="_Toc328732764"/>
      <w:bookmarkStart w:id="412" w:name="_Toc365638290"/>
      <w:bookmarkStart w:id="413" w:name="_Toc346195865"/>
      <w:bookmarkStart w:id="414" w:name="_Toc373858694"/>
      <w:r w:rsidRPr="00593EFF">
        <w:t xml:space="preserve">Vydání </w:t>
      </w:r>
      <w:bookmarkEnd w:id="411"/>
      <w:bookmarkEnd w:id="412"/>
      <w:r w:rsidR="00B93390" w:rsidRPr="00593EFF">
        <w:t>právního aktu, říd</w:t>
      </w:r>
      <w:r w:rsidR="00B51887" w:rsidRPr="00593EFF">
        <w:t>i</w:t>
      </w:r>
      <w:r w:rsidR="00B93390" w:rsidRPr="00593EFF">
        <w:t>cí dokumentace a</w:t>
      </w:r>
      <w:r w:rsidRPr="00593EFF">
        <w:t xml:space="preserve"> Podmínek</w:t>
      </w:r>
      <w:bookmarkEnd w:id="413"/>
      <w:bookmarkEnd w:id="414"/>
    </w:p>
    <w:p w:rsidR="003A122E" w:rsidRDefault="005F5C02" w:rsidP="003A122E">
      <w:pPr>
        <w:ind w:right="-2"/>
        <w:rPr>
          <w:rFonts w:ascii="Times New Roman" w:hAnsi="Times New Roman" w:cs="Times New Roman"/>
          <w:sz w:val="24"/>
          <w:szCs w:val="24"/>
        </w:rPr>
      </w:pPr>
      <w:r>
        <w:rPr>
          <w:rFonts w:ascii="Times New Roman" w:hAnsi="Times New Roman" w:cs="Times New Roman"/>
          <w:sz w:val="24"/>
          <w:szCs w:val="24"/>
        </w:rPr>
        <w:t xml:space="preserve">ŘO IOP zašle </w:t>
      </w:r>
      <w:r w:rsidR="00407DD5">
        <w:rPr>
          <w:rFonts w:ascii="Times New Roman" w:hAnsi="Times New Roman" w:cs="Times New Roman"/>
          <w:sz w:val="24"/>
          <w:szCs w:val="24"/>
        </w:rPr>
        <w:t>příjemci</w:t>
      </w:r>
      <w:r w:rsidR="00D66372">
        <w:rPr>
          <w:rFonts w:ascii="Times New Roman" w:hAnsi="Times New Roman" w:cs="Times New Roman"/>
          <w:sz w:val="24"/>
          <w:szCs w:val="24"/>
        </w:rPr>
        <w:t xml:space="preserve"> </w:t>
      </w:r>
      <w:r>
        <w:rPr>
          <w:rFonts w:ascii="Times New Roman" w:hAnsi="Times New Roman" w:cs="Times New Roman"/>
          <w:sz w:val="24"/>
          <w:szCs w:val="24"/>
        </w:rPr>
        <w:t>Dopis ministerstva</w:t>
      </w:r>
      <w:r w:rsidR="00DA6895">
        <w:rPr>
          <w:rFonts w:ascii="Times New Roman" w:hAnsi="Times New Roman" w:cs="Times New Roman"/>
          <w:sz w:val="24"/>
          <w:szCs w:val="24"/>
        </w:rPr>
        <w:t xml:space="preserve"> pro místní rozvoj</w:t>
      </w:r>
      <w:r w:rsidR="008C313F">
        <w:rPr>
          <w:rFonts w:ascii="Times New Roman" w:hAnsi="Times New Roman" w:cs="Times New Roman"/>
          <w:sz w:val="24"/>
          <w:szCs w:val="24"/>
        </w:rPr>
        <w:t xml:space="preserve"> jako</w:t>
      </w:r>
      <w:r>
        <w:rPr>
          <w:rFonts w:ascii="Times New Roman" w:hAnsi="Times New Roman" w:cs="Times New Roman"/>
          <w:sz w:val="24"/>
          <w:szCs w:val="24"/>
        </w:rPr>
        <w:t xml:space="preserve"> </w:t>
      </w:r>
      <w:r w:rsidR="008C313F" w:rsidRPr="007B5564">
        <w:rPr>
          <w:rFonts w:ascii="Times New Roman" w:hAnsi="Times New Roman" w:cs="Times New Roman"/>
          <w:sz w:val="24"/>
          <w:szCs w:val="24"/>
        </w:rPr>
        <w:t>písemný právní akt o schválení projektu</w:t>
      </w:r>
      <w:r w:rsidR="008C313F"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w:t>
      </w:r>
      <w:r w:rsidR="00A46711">
        <w:rPr>
          <w:rFonts w:ascii="Times New Roman" w:hAnsi="Times New Roman" w:cs="Times New Roman"/>
          <w:sz w:val="24"/>
          <w:szCs w:val="24"/>
        </w:rPr>
        <w:t xml:space="preserve">č. </w:t>
      </w:r>
      <w:r w:rsidR="00B83EEC">
        <w:rPr>
          <w:rFonts w:ascii="Times New Roman" w:hAnsi="Times New Roman" w:cs="Times New Roman"/>
          <w:sz w:val="24"/>
          <w:szCs w:val="24"/>
        </w:rPr>
        <w:t>6</w:t>
      </w:r>
      <w:r w:rsidRPr="00EF459A">
        <w:rPr>
          <w:rFonts w:ascii="Times New Roman" w:hAnsi="Times New Roman" w:cs="Times New Roman"/>
          <w:sz w:val="24"/>
          <w:szCs w:val="24"/>
        </w:rPr>
        <w:t xml:space="preserve"> Příručky</w:t>
      </w:r>
      <w:r w:rsidRPr="00CF5AFC">
        <w:rPr>
          <w:rFonts w:ascii="Times New Roman" w:hAnsi="Times New Roman" w:cs="Times New Roman"/>
          <w:sz w:val="24"/>
          <w:szCs w:val="24"/>
        </w:rPr>
        <w:t>)</w:t>
      </w:r>
      <w:r>
        <w:rPr>
          <w:rFonts w:ascii="Times New Roman" w:hAnsi="Times New Roman" w:cs="Times New Roman"/>
          <w:sz w:val="24"/>
          <w:szCs w:val="24"/>
        </w:rPr>
        <w:t xml:space="preserve"> s</w:t>
      </w:r>
      <w:r w:rsidR="00B51887">
        <w:rPr>
          <w:rFonts w:ascii="Times New Roman" w:hAnsi="Times New Roman" w:cs="Times New Roman"/>
          <w:sz w:val="24"/>
          <w:szCs w:val="24"/>
        </w:rPr>
        <w:t xml:space="preserve">  </w:t>
      </w:r>
      <w:r>
        <w:rPr>
          <w:rFonts w:ascii="Times New Roman" w:hAnsi="Times New Roman" w:cs="Times New Roman"/>
          <w:sz w:val="24"/>
          <w:szCs w:val="24"/>
        </w:rPr>
        <w:t>Podmín</w:t>
      </w:r>
      <w:r w:rsidR="00B51887">
        <w:rPr>
          <w:rFonts w:ascii="Times New Roman" w:hAnsi="Times New Roman" w:cs="Times New Roman"/>
          <w:sz w:val="24"/>
          <w:szCs w:val="24"/>
        </w:rPr>
        <w:t>k</w:t>
      </w:r>
      <w:r w:rsidR="000E6034">
        <w:rPr>
          <w:rFonts w:ascii="Times New Roman" w:hAnsi="Times New Roman" w:cs="Times New Roman"/>
          <w:sz w:val="24"/>
          <w:szCs w:val="24"/>
        </w:rPr>
        <w:t>ami</w:t>
      </w:r>
      <w:r>
        <w:rPr>
          <w:rFonts w:ascii="Times New Roman" w:hAnsi="Times New Roman" w:cs="Times New Roman"/>
          <w:sz w:val="24"/>
          <w:szCs w:val="24"/>
        </w:rPr>
        <w:t xml:space="preserve"> Stanovení výdajů</w:t>
      </w:r>
      <w:r w:rsidR="0048677E">
        <w:rPr>
          <w:rFonts w:ascii="Times New Roman" w:hAnsi="Times New Roman" w:cs="Times New Roman"/>
          <w:sz w:val="24"/>
          <w:szCs w:val="24"/>
        </w:rPr>
        <w:t xml:space="preserve"> </w:t>
      </w:r>
      <w:r w:rsidR="0048677E" w:rsidRPr="00CF5AFC">
        <w:rPr>
          <w:rFonts w:ascii="Times New Roman" w:hAnsi="Times New Roman" w:cs="Times New Roman"/>
          <w:sz w:val="24"/>
          <w:szCs w:val="24"/>
        </w:rPr>
        <w:t xml:space="preserve">(viz příloha č. </w:t>
      </w:r>
      <w:r w:rsidR="00B83EEC">
        <w:rPr>
          <w:rFonts w:ascii="Times New Roman" w:hAnsi="Times New Roman" w:cs="Times New Roman"/>
          <w:sz w:val="24"/>
          <w:szCs w:val="24"/>
        </w:rPr>
        <w:t>5</w:t>
      </w:r>
      <w:r w:rsidR="0048677E">
        <w:rPr>
          <w:rFonts w:ascii="Times New Roman" w:hAnsi="Times New Roman" w:cs="Times New Roman"/>
          <w:sz w:val="24"/>
          <w:szCs w:val="24"/>
        </w:rPr>
        <w:t>a</w:t>
      </w:r>
      <w:r w:rsidR="0048677E" w:rsidRPr="00CF5AFC">
        <w:rPr>
          <w:rFonts w:ascii="Times New Roman" w:hAnsi="Times New Roman" w:cs="Times New Roman"/>
          <w:sz w:val="24"/>
          <w:szCs w:val="24"/>
        </w:rPr>
        <w:t xml:space="preserve"> Příručky)</w:t>
      </w:r>
      <w:r w:rsidR="0048677E">
        <w:rPr>
          <w:rFonts w:ascii="Times New Roman" w:hAnsi="Times New Roman" w:cs="Times New Roman"/>
          <w:sz w:val="24"/>
          <w:szCs w:val="24"/>
        </w:rPr>
        <w:t>, které připraví</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odbor rozpočtu MMR.</w:t>
      </w:r>
      <w:r w:rsidR="0048677E" w:rsidRPr="0048677E">
        <w:rPr>
          <w:rFonts w:ascii="Times New Roman" w:hAnsi="Times New Roman" w:cs="Times New Roman"/>
          <w:sz w:val="24"/>
          <w:szCs w:val="24"/>
        </w:rPr>
        <w:t xml:space="preserve"> </w:t>
      </w:r>
      <w:r w:rsidR="0048677E">
        <w:rPr>
          <w:rFonts w:ascii="Times New Roman" w:hAnsi="Times New Roman" w:cs="Times New Roman"/>
          <w:sz w:val="24"/>
          <w:szCs w:val="24"/>
        </w:rPr>
        <w:t xml:space="preserve">MV může tyto Podmínky se souhlasem ŘO doplnit o další povinnosti specifické pro OSS MV. </w:t>
      </w:r>
    </w:p>
    <w:p w:rsidR="003A122E" w:rsidRDefault="00407DD5" w:rsidP="003A122E">
      <w:pPr>
        <w:ind w:right="-2"/>
        <w:rPr>
          <w:rFonts w:ascii="Times New Roman" w:hAnsi="Times New Roman" w:cs="Times New Roman"/>
          <w:sz w:val="24"/>
          <w:szCs w:val="24"/>
        </w:rPr>
      </w:pPr>
      <w:r>
        <w:rPr>
          <w:rFonts w:ascii="Times New Roman" w:hAnsi="Times New Roman" w:cs="Times New Roman"/>
          <w:sz w:val="24"/>
          <w:szCs w:val="24"/>
        </w:rPr>
        <w:t>Příjemce</w:t>
      </w:r>
      <w:r w:rsidR="003A122E"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zároveň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b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dní</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003A122E" w:rsidRPr="007D5DC0">
        <w:rPr>
          <w:rFonts w:ascii="Times New Roman" w:hAnsi="Times New Roman" w:cs="Times New Roman"/>
          <w:sz w:val="24"/>
          <w:szCs w:val="24"/>
        </w:rPr>
        <w:t xml:space="preserve"> 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Příjemce</w:t>
      </w:r>
      <w:r w:rsidR="003A122E">
        <w:rPr>
          <w:rFonts w:ascii="Times New Roman" w:hAnsi="Times New Roman" w:cs="Times New Roman"/>
          <w:sz w:val="24"/>
          <w:szCs w:val="24"/>
        </w:rPr>
        <w:t xml:space="preserve"> nemůže zasahovat do textu, jedná se o obecný vzor platný pro všechny </w:t>
      </w:r>
      <w:r>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případné chybně uvedené údaje </w:t>
      </w:r>
      <w:r w:rsidR="003A122E">
        <w:rPr>
          <w:rFonts w:ascii="Times New Roman" w:hAnsi="Times New Roman" w:cs="Times New Roman"/>
          <w:b/>
          <w:sz w:val="24"/>
          <w:szCs w:val="24"/>
        </w:rPr>
        <w:t xml:space="preserve">v návrhu Podmínek </w:t>
      </w:r>
      <w:r>
        <w:rPr>
          <w:rFonts w:ascii="Times New Roman" w:hAnsi="Times New Roman" w:cs="Times New Roman"/>
          <w:b/>
          <w:sz w:val="24"/>
          <w:szCs w:val="24"/>
        </w:rPr>
        <w:t>příjemce</w:t>
      </w:r>
      <w:r w:rsidR="003A122E" w:rsidRPr="00E27FB3">
        <w:rPr>
          <w:rFonts w:ascii="Times New Roman" w:hAnsi="Times New Roman" w:cs="Times New Roman"/>
          <w:b/>
          <w:sz w:val="24"/>
          <w:szCs w:val="24"/>
        </w:rPr>
        <w:t xml:space="preserve"> písemně upozorní </w:t>
      </w:r>
      <w:r w:rsidR="003A122E">
        <w:rPr>
          <w:rFonts w:ascii="Times New Roman" w:hAnsi="Times New Roman" w:cs="Times New Roman"/>
          <w:b/>
          <w:sz w:val="24"/>
          <w:szCs w:val="24"/>
        </w:rPr>
        <w:t>odbor rozpočtu MMR</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 xml:space="preserve">příloha č. </w:t>
      </w:r>
      <w:r w:rsidR="00B04109">
        <w:rPr>
          <w:rFonts w:ascii="Times New Roman" w:hAnsi="Times New Roman" w:cs="Times New Roman"/>
          <w:sz w:val="24"/>
          <w:szCs w:val="24"/>
        </w:rPr>
        <w:t>1</w:t>
      </w:r>
      <w:r w:rsidR="00B83EEC">
        <w:rPr>
          <w:rFonts w:ascii="Times New Roman" w:hAnsi="Times New Roman" w:cs="Times New Roman"/>
          <w:sz w:val="24"/>
          <w:szCs w:val="24"/>
        </w:rPr>
        <w:t>5</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BF0E8D">
        <w:rPr>
          <w:rFonts w:ascii="Times New Roman" w:hAnsi="Times New Roman" w:cs="Times New Roman"/>
          <w:sz w:val="24"/>
          <w:szCs w:val="24"/>
        </w:rPr>
        <w:t>příjemce</w:t>
      </w:r>
      <w:r w:rsidR="003A122E">
        <w:rPr>
          <w:rFonts w:ascii="Times New Roman" w:hAnsi="Times New Roman" w:cs="Times New Roman"/>
          <w:sz w:val="24"/>
          <w:szCs w:val="24"/>
        </w:rPr>
        <w:t xml:space="preserve"> k návrhu Podmínek v uvedené lhůtě nevyjádří, má se za to, že se zněním Podmínek souhlasí.</w:t>
      </w:r>
    </w:p>
    <w:p w:rsidR="003A122E" w:rsidRDefault="003A122E" w:rsidP="003A122E">
      <w:pPr>
        <w:ind w:right="-2"/>
        <w:rPr>
          <w:rFonts w:ascii="Times New Roman" w:hAnsi="Times New Roman" w:cs="Times New Roman"/>
          <w:b/>
          <w:bCs/>
          <w:noProof/>
          <w:sz w:val="24"/>
          <w:szCs w:val="24"/>
        </w:rPr>
      </w:pPr>
      <w:r w:rsidRPr="00BB3542">
        <w:rPr>
          <w:rFonts w:ascii="Times New Roman" w:hAnsi="Times New Roman" w:cs="Times New Roman"/>
          <w:b/>
          <w:bCs/>
          <w:noProof/>
          <w:sz w:val="24"/>
          <w:szCs w:val="24"/>
        </w:rPr>
        <w:t xml:space="preserve">Je nutné, aby se </w:t>
      </w:r>
      <w:r w:rsidR="00BF0E8D">
        <w:rPr>
          <w:rFonts w:ascii="Times New Roman" w:hAnsi="Times New Roman" w:cs="Times New Roman"/>
          <w:b/>
          <w:bCs/>
          <w:noProof/>
          <w:sz w:val="24"/>
          <w:szCs w:val="24"/>
        </w:rPr>
        <w:t>příjemce</w:t>
      </w:r>
      <w:r w:rsidRPr="00BB3542">
        <w:rPr>
          <w:rFonts w:ascii="Times New Roman" w:hAnsi="Times New Roman" w:cs="Times New Roman"/>
          <w:b/>
          <w:bCs/>
          <w:noProof/>
          <w:sz w:val="24"/>
          <w:szCs w:val="24"/>
        </w:rPr>
        <w:t xml:space="preserve"> seznámil důkladně s textem Podmínek, neboť neplnění ustanovení Podmínek má za následek </w:t>
      </w:r>
      <w:r>
        <w:rPr>
          <w:rFonts w:ascii="Times New Roman" w:hAnsi="Times New Roman" w:cs="Times New Roman"/>
          <w:b/>
          <w:bCs/>
          <w:noProof/>
          <w:sz w:val="24"/>
          <w:szCs w:val="24"/>
        </w:rPr>
        <w:t xml:space="preserve">neproplacení části nebo celé dotace a </w:t>
      </w:r>
      <w:r w:rsidRPr="00BB3542">
        <w:rPr>
          <w:rFonts w:ascii="Times New Roman" w:hAnsi="Times New Roman" w:cs="Times New Roman"/>
          <w:b/>
          <w:bCs/>
          <w:noProof/>
          <w:sz w:val="24"/>
          <w:szCs w:val="24"/>
        </w:rPr>
        <w:t>výdaj</w:t>
      </w:r>
      <w:r>
        <w:rPr>
          <w:rFonts w:ascii="Times New Roman" w:hAnsi="Times New Roman" w:cs="Times New Roman"/>
          <w:b/>
          <w:bCs/>
          <w:noProof/>
          <w:sz w:val="24"/>
          <w:szCs w:val="24"/>
        </w:rPr>
        <w:t>e</w:t>
      </w:r>
      <w:r w:rsidRPr="00BB3542">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projektu </w:t>
      </w:r>
      <w:r w:rsidRPr="00BB3542">
        <w:rPr>
          <w:rFonts w:ascii="Times New Roman" w:hAnsi="Times New Roman" w:cs="Times New Roman"/>
          <w:b/>
          <w:bCs/>
          <w:noProof/>
          <w:sz w:val="24"/>
          <w:szCs w:val="24"/>
        </w:rPr>
        <w:t>jd</w:t>
      </w:r>
      <w:r>
        <w:rPr>
          <w:rFonts w:ascii="Times New Roman" w:hAnsi="Times New Roman" w:cs="Times New Roman"/>
          <w:b/>
          <w:bCs/>
          <w:noProof/>
          <w:sz w:val="24"/>
          <w:szCs w:val="24"/>
        </w:rPr>
        <w:t>ou</w:t>
      </w:r>
      <w:r w:rsidRPr="00BB3542">
        <w:rPr>
          <w:rFonts w:ascii="Times New Roman" w:hAnsi="Times New Roman" w:cs="Times New Roman"/>
          <w:b/>
          <w:bCs/>
          <w:noProof/>
          <w:sz w:val="24"/>
          <w:szCs w:val="24"/>
        </w:rPr>
        <w:t xml:space="preserve"> na vrub státního rozpočtu, resp. rozpočtu příjemce.</w:t>
      </w:r>
      <w:r w:rsidRPr="00BB3542">
        <w:rPr>
          <w:rFonts w:ascii="Times New Roman" w:hAnsi="Times New Roman" w:cs="Times New Roman"/>
          <w:b/>
          <w:sz w:val="24"/>
          <w:szCs w:val="24"/>
        </w:rPr>
        <w:t xml:space="preserve"> </w:t>
      </w:r>
    </w:p>
    <w:p w:rsidR="00E17FD9" w:rsidRDefault="00BF0E8D" w:rsidP="0060682B">
      <w:pPr>
        <w:ind w:right="-2"/>
        <w:rPr>
          <w:rFonts w:ascii="Times New Roman" w:hAnsi="Times New Roman" w:cs="Times New Roman"/>
          <w:sz w:val="24"/>
          <w:szCs w:val="24"/>
        </w:rPr>
      </w:pPr>
      <w:r>
        <w:rPr>
          <w:rFonts w:ascii="Times New Roman" w:hAnsi="Times New Roman" w:cs="Times New Roman"/>
          <w:sz w:val="24"/>
          <w:szCs w:val="24"/>
        </w:rPr>
        <w:lastRenderedPageBreak/>
        <w:t>Příjemce</w:t>
      </w:r>
      <w:r w:rsidR="00343A1F">
        <w:rPr>
          <w:rFonts w:ascii="Times New Roman" w:hAnsi="Times New Roman" w:cs="Times New Roman"/>
          <w:sz w:val="24"/>
          <w:szCs w:val="24"/>
        </w:rPr>
        <w:t xml:space="preserve"> 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(viz příloha </w:t>
      </w:r>
      <w:r w:rsidR="00051746" w:rsidRPr="00F9383D">
        <w:rPr>
          <w:rFonts w:ascii="Times New Roman" w:hAnsi="Times New Roman" w:cs="Times New Roman"/>
          <w:sz w:val="24"/>
          <w:szCs w:val="24"/>
        </w:rPr>
        <w:t xml:space="preserve">č. </w:t>
      </w:r>
      <w:r w:rsidR="00B83EEC">
        <w:rPr>
          <w:rFonts w:ascii="Times New Roman" w:hAnsi="Times New Roman" w:cs="Times New Roman"/>
          <w:sz w:val="24"/>
          <w:szCs w:val="24"/>
        </w:rPr>
        <w:t>4</w:t>
      </w:r>
      <w:r w:rsidR="00051746"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A46711">
        <w:rPr>
          <w:rFonts w:ascii="Times New Roman" w:hAnsi="Times New Roman" w:cs="Times New Roman"/>
          <w:sz w:val="24"/>
          <w:szCs w:val="24"/>
        </w:rPr>
        <w:t>Ř</w:t>
      </w:r>
      <w:r w:rsidR="00051746">
        <w:rPr>
          <w:rFonts w:ascii="Times New Roman" w:hAnsi="Times New Roman" w:cs="Times New Roman"/>
          <w:sz w:val="24"/>
          <w:szCs w:val="24"/>
        </w:rPr>
        <w:t>íd</w:t>
      </w:r>
      <w:r w:rsidR="00B51887">
        <w:rPr>
          <w:rFonts w:ascii="Times New Roman" w:hAnsi="Times New Roman" w:cs="Times New Roman"/>
          <w:sz w:val="24"/>
          <w:szCs w:val="24"/>
        </w:rPr>
        <w:t>i</w:t>
      </w:r>
      <w:r w:rsidR="00A46711">
        <w:rPr>
          <w:rFonts w:ascii="Times New Roman" w:hAnsi="Times New Roman" w:cs="Times New Roman"/>
          <w:sz w:val="24"/>
          <w:szCs w:val="24"/>
        </w:rPr>
        <w:t>cí dokument musí být vydaný</w:t>
      </w:r>
      <w:r w:rsidR="00051746" w:rsidRPr="00051746">
        <w:rPr>
          <w:rFonts w:ascii="Times New Roman" w:hAnsi="Times New Roman" w:cs="Times New Roman"/>
          <w:sz w:val="24"/>
          <w:szCs w:val="24"/>
        </w:rPr>
        <w:t xml:space="preserve"> </w:t>
      </w:r>
      <w:r w:rsidR="00051746" w:rsidRPr="000B76E7">
        <w:rPr>
          <w:rFonts w:ascii="Times New Roman" w:hAnsi="Times New Roman" w:cs="Times New Roman"/>
          <w:sz w:val="24"/>
          <w:szCs w:val="24"/>
        </w:rPr>
        <w:t>do 3 měsíců od schválení projektu 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MV zkompletuje Stanovení výdajů s Podmínkami, které byly zaslány </w:t>
      </w:r>
      <w:r w:rsidR="00BF0E8D">
        <w:rPr>
          <w:rFonts w:ascii="Times New Roman" w:hAnsi="Times New Roman" w:cs="Times New Roman"/>
          <w:sz w:val="24"/>
          <w:szCs w:val="24"/>
        </w:rPr>
        <w:t>příjemci</w:t>
      </w:r>
      <w:r>
        <w:rPr>
          <w:rFonts w:ascii="Times New Roman" w:hAnsi="Times New Roman" w:cs="Times New Roman"/>
          <w:sz w:val="24"/>
          <w:szCs w:val="24"/>
        </w:rPr>
        <w:t xml:space="preserve"> společně s Dopisem ministerstva.</w:t>
      </w:r>
      <w:r w:rsidRPr="00E17FD9">
        <w:rPr>
          <w:rFonts w:ascii="Times New Roman" w:hAnsi="Times New Roman" w:cs="Times New Roman"/>
          <w:sz w:val="24"/>
          <w:szCs w:val="24"/>
        </w:rPr>
        <w:t xml:space="preserve"> </w:t>
      </w:r>
      <w:r w:rsidR="00BF0E8D">
        <w:rPr>
          <w:rFonts w:ascii="Times New Roman" w:hAnsi="Times New Roman" w:cs="Times New Roman"/>
          <w:sz w:val="24"/>
          <w:szCs w:val="24"/>
        </w:rPr>
        <w:t>Příjemce</w:t>
      </w:r>
      <w:r w:rsidRPr="00376262">
        <w:rPr>
          <w:rFonts w:ascii="Times New Roman" w:hAnsi="Times New Roman" w:cs="Times New Roman"/>
          <w:sz w:val="24"/>
          <w:szCs w:val="24"/>
        </w:rPr>
        <w:t xml:space="preserve"> 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8F6C6B">
        <w:rPr>
          <w:rFonts w:ascii="Times New Roman" w:hAnsi="Times New Roman" w:cs="Times New Roman"/>
          <w:sz w:val="24"/>
          <w:szCs w:val="24"/>
        </w:rPr>
        <w:t>jedno</w:t>
      </w:r>
      <w:r>
        <w:rPr>
          <w:rFonts w:ascii="Times New Roman" w:hAnsi="Times New Roman" w:cs="Times New Roman"/>
          <w:sz w:val="24"/>
          <w:szCs w:val="24"/>
        </w:rPr>
        <w:t xml:space="preserve"> </w:t>
      </w:r>
      <w:r w:rsidR="00BB63F5">
        <w:rPr>
          <w:rFonts w:ascii="Times New Roman" w:hAnsi="Times New Roman" w:cs="Times New Roman"/>
          <w:sz w:val="24"/>
          <w:szCs w:val="24"/>
        </w:rPr>
        <w:t>pare</w:t>
      </w:r>
      <w:r w:rsidR="00BB63F5"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sidR="005A4774">
        <w:rPr>
          <w:rFonts w:ascii="Times New Roman" w:hAnsi="Times New Roman" w:cs="Times New Roman"/>
          <w:sz w:val="24"/>
          <w:szCs w:val="24"/>
        </w:rPr>
        <w:t xml:space="preserve"> č. </w:t>
      </w:r>
      <w:r w:rsidR="00B83EEC">
        <w:rPr>
          <w:rFonts w:ascii="Times New Roman" w:hAnsi="Times New Roman" w:cs="Times New Roman"/>
          <w:sz w:val="24"/>
          <w:szCs w:val="24"/>
        </w:rPr>
        <w:t>5</w:t>
      </w:r>
      <w:r w:rsidR="005A4774">
        <w:rPr>
          <w:rFonts w:ascii="Times New Roman" w:hAnsi="Times New Roman" w:cs="Times New Roman"/>
          <w:sz w:val="24"/>
          <w:szCs w:val="24"/>
        </w:rPr>
        <w:t>a</w:t>
      </w:r>
      <w:r w:rsidR="00224F1F">
        <w:rPr>
          <w:rFonts w:ascii="Times New Roman" w:hAnsi="Times New Roman" w:cs="Times New Roman"/>
          <w:sz w:val="24"/>
          <w:szCs w:val="24"/>
        </w:rPr>
        <w:t xml:space="preserve"> Příručky</w:t>
      </w:r>
      <w:r>
        <w:rPr>
          <w:rFonts w:ascii="Times New Roman" w:hAnsi="Times New Roman" w:cs="Times New Roman"/>
          <w:sz w:val="24"/>
          <w:szCs w:val="24"/>
        </w:rPr>
        <w:t>.</w:t>
      </w:r>
    </w:p>
    <w:p w:rsidR="00B641AC" w:rsidRDefault="00B641AC" w:rsidP="00B641AC">
      <w:pPr>
        <w:tabs>
          <w:tab w:val="left" w:pos="0"/>
        </w:tabs>
        <w:rPr>
          <w:rFonts w:ascii="Times New Roman" w:hAnsi="Times New Roman" w:cs="Times New Roman"/>
          <w:sz w:val="24"/>
        </w:rPr>
      </w:pPr>
      <w:r>
        <w:rPr>
          <w:rFonts w:ascii="Times New Roman" w:hAnsi="Times New Roman" w:cs="Times New Roman"/>
          <w:sz w:val="24"/>
        </w:rPr>
        <w:t>U</w:t>
      </w:r>
      <w:r w:rsidRPr="00D97490">
        <w:rPr>
          <w:rFonts w:ascii="Times New Roman" w:hAnsi="Times New Roman" w:cs="Times New Roman"/>
          <w:sz w:val="24"/>
        </w:rPr>
        <w:t xml:space="preserve"> projekt</w:t>
      </w:r>
      <w:r>
        <w:rPr>
          <w:rFonts w:ascii="Times New Roman" w:hAnsi="Times New Roman" w:cs="Times New Roman"/>
          <w:sz w:val="24"/>
        </w:rPr>
        <w:t xml:space="preserve">ů </w:t>
      </w:r>
      <w:r w:rsidRPr="00D97490">
        <w:rPr>
          <w:rFonts w:ascii="Times New Roman" w:hAnsi="Times New Roman" w:cs="Times New Roman"/>
          <w:sz w:val="24"/>
        </w:rPr>
        <w:t xml:space="preserve">s účastí státního rozpočtu vyšší než 200 </w:t>
      </w:r>
      <w:r>
        <w:rPr>
          <w:rFonts w:ascii="Times New Roman" w:hAnsi="Times New Roman" w:cs="Times New Roman"/>
          <w:sz w:val="24"/>
        </w:rPr>
        <w:t>mil.</w:t>
      </w:r>
      <w:r w:rsidRPr="00D97490">
        <w:rPr>
          <w:rFonts w:ascii="Times New Roman" w:hAnsi="Times New Roman" w:cs="Times New Roman"/>
          <w:sz w:val="24"/>
        </w:rPr>
        <w:t xml:space="preserve"> Kč </w:t>
      </w:r>
      <w:r>
        <w:rPr>
          <w:rFonts w:ascii="Times New Roman" w:hAnsi="Times New Roman" w:cs="Times New Roman"/>
          <w:sz w:val="24"/>
        </w:rPr>
        <w:t xml:space="preserve">je poskytovatelem dotace předloženo </w:t>
      </w:r>
      <w:r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Pr="00D97490">
        <w:rPr>
          <w:rFonts w:ascii="Times New Roman" w:hAnsi="Times New Roman" w:cs="Times New Roman"/>
          <w:sz w:val="24"/>
        </w:rPr>
        <w:t xml:space="preserve"> spolu se závěry expert</w:t>
      </w:r>
      <w:r>
        <w:rPr>
          <w:rFonts w:ascii="Times New Roman" w:hAnsi="Times New Roman" w:cs="Times New Roman"/>
          <w:sz w:val="24"/>
        </w:rPr>
        <w:t>n</w:t>
      </w:r>
      <w:r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Pr>
          <w:rFonts w:ascii="Times New Roman" w:hAnsi="Times New Roman" w:cs="Times New Roman"/>
          <w:sz w:val="24"/>
        </w:rPr>
        <w:t xml:space="preserve"> </w:t>
      </w:r>
      <w:r w:rsidRPr="00D97490">
        <w:rPr>
          <w:rFonts w:ascii="Times New Roman" w:hAnsi="Times New Roman" w:cs="Times New Roman"/>
          <w:sz w:val="24"/>
        </w:rPr>
        <w:t>podepisuje ŘO IOP. M</w:t>
      </w:r>
      <w:r>
        <w:rPr>
          <w:rFonts w:ascii="Times New Roman" w:hAnsi="Times New Roman" w:cs="Times New Roman"/>
          <w:sz w:val="24"/>
        </w:rPr>
        <w:t>inisterstvo financí</w:t>
      </w:r>
      <w:r w:rsidRPr="00D97490">
        <w:rPr>
          <w:rFonts w:ascii="Times New Roman" w:hAnsi="Times New Roman" w:cs="Times New Roman"/>
          <w:sz w:val="24"/>
        </w:rPr>
        <w:t xml:space="preserve"> se vyjádří do 15 kalendářních dn</w:t>
      </w:r>
      <w:r>
        <w:rPr>
          <w:rFonts w:ascii="Times New Roman" w:hAnsi="Times New Roman" w:cs="Times New Roman"/>
          <w:sz w:val="24"/>
        </w:rPr>
        <w:t>ů</w:t>
      </w:r>
      <w:r w:rsidRPr="00D97490">
        <w:rPr>
          <w:rFonts w:ascii="Times New Roman" w:hAnsi="Times New Roman" w:cs="Times New Roman"/>
          <w:sz w:val="24"/>
        </w:rPr>
        <w:t xml:space="preserve"> od obdržení podkladů. Po vyjádření M</w:t>
      </w:r>
      <w:r>
        <w:rPr>
          <w:rFonts w:ascii="Times New Roman" w:hAnsi="Times New Roman" w:cs="Times New Roman"/>
          <w:sz w:val="24"/>
        </w:rPr>
        <w:t>inisterstva financí</w:t>
      </w:r>
      <w:r w:rsidRPr="00D97490">
        <w:rPr>
          <w:rFonts w:ascii="Times New Roman" w:hAnsi="Times New Roman" w:cs="Times New Roman"/>
          <w:sz w:val="24"/>
        </w:rPr>
        <w:t xml:space="preserve"> se dále pokračuje v administraci projektu.</w:t>
      </w:r>
    </w:p>
    <w:p w:rsidR="00B641AC" w:rsidRDefault="00B641AC" w:rsidP="008F6C6B">
      <w:pPr>
        <w:autoSpaceDE w:val="0"/>
        <w:autoSpaceDN w:val="0"/>
        <w:adjustRightInd w:val="0"/>
        <w:rPr>
          <w:rFonts w:ascii="Times New Roman" w:hAnsi="Times New Roman" w:cs="Times New Roman"/>
          <w:sz w:val="24"/>
          <w:szCs w:val="24"/>
        </w:rPr>
      </w:pPr>
    </w:p>
    <w:p w:rsidR="00A84DFB" w:rsidRDefault="00A84DFB" w:rsidP="0060682B">
      <w:pPr>
        <w:ind w:right="-2"/>
        <w:rPr>
          <w:rFonts w:ascii="Times New Roman" w:hAnsi="Times New Roman" w:cs="Times New Roman"/>
          <w:sz w:val="24"/>
          <w:szCs w:val="24"/>
        </w:rPr>
      </w:pPr>
    </w:p>
    <w:p w:rsidR="007B2A95" w:rsidRPr="00517C57" w:rsidRDefault="007B2A95">
      <w:pPr>
        <w:pStyle w:val="Nadpis1"/>
      </w:pPr>
      <w:bookmarkStart w:id="415" w:name="_Toc322697189"/>
      <w:bookmarkStart w:id="416" w:name="_Toc322697523"/>
      <w:bookmarkStart w:id="417" w:name="_Toc322697846"/>
      <w:bookmarkStart w:id="418" w:name="_Toc322698098"/>
      <w:bookmarkStart w:id="419" w:name="_Toc322698349"/>
      <w:bookmarkStart w:id="420" w:name="_Toc323217920"/>
      <w:bookmarkStart w:id="421" w:name="_Toc324935297"/>
      <w:bookmarkStart w:id="422" w:name="_Toc322697191"/>
      <w:bookmarkStart w:id="423" w:name="_Toc322697525"/>
      <w:bookmarkStart w:id="424" w:name="_Toc322697848"/>
      <w:bookmarkStart w:id="425" w:name="_Toc322698100"/>
      <w:bookmarkStart w:id="426" w:name="_Toc322698351"/>
      <w:bookmarkStart w:id="427" w:name="_Toc323217922"/>
      <w:bookmarkStart w:id="428" w:name="_Toc324935299"/>
      <w:bookmarkStart w:id="429" w:name="_Toc344384713"/>
      <w:bookmarkStart w:id="430" w:name="_Toc322697196"/>
      <w:bookmarkStart w:id="431" w:name="_Toc322697530"/>
      <w:bookmarkStart w:id="432" w:name="_Toc322697853"/>
      <w:bookmarkStart w:id="433" w:name="_Toc322698105"/>
      <w:bookmarkStart w:id="434" w:name="_Toc322698356"/>
      <w:bookmarkStart w:id="435" w:name="_Toc323217927"/>
      <w:bookmarkStart w:id="436" w:name="_Toc324935304"/>
      <w:bookmarkStart w:id="437" w:name="_Toc322697198"/>
      <w:bookmarkStart w:id="438" w:name="_Toc322697532"/>
      <w:bookmarkStart w:id="439" w:name="_Toc322697855"/>
      <w:bookmarkStart w:id="440" w:name="_Toc322698107"/>
      <w:bookmarkStart w:id="441" w:name="_Toc322698358"/>
      <w:bookmarkStart w:id="442" w:name="_Toc323217929"/>
      <w:bookmarkStart w:id="443" w:name="_Toc32493530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48085A">
        <w:rPr>
          <w:noProof/>
        </w:rPr>
        <w:br w:type="page"/>
      </w:r>
      <w:bookmarkStart w:id="444" w:name="_Toc322697239"/>
      <w:bookmarkStart w:id="445" w:name="_Toc322697573"/>
      <w:bookmarkStart w:id="446" w:name="_Toc322697896"/>
      <w:bookmarkStart w:id="447" w:name="_Toc322698148"/>
      <w:bookmarkStart w:id="448" w:name="_Toc322698399"/>
      <w:bookmarkStart w:id="449" w:name="_Toc323217970"/>
      <w:bookmarkStart w:id="450" w:name="_Toc324935347"/>
      <w:bookmarkStart w:id="451" w:name="_Toc244415585"/>
      <w:bookmarkStart w:id="452" w:name="_Toc346195866"/>
      <w:bookmarkStart w:id="453" w:name="_Toc328732766"/>
      <w:bookmarkStart w:id="454" w:name="_Toc365638291"/>
      <w:bookmarkStart w:id="455" w:name="_Toc373858695"/>
      <w:bookmarkEnd w:id="444"/>
      <w:bookmarkEnd w:id="445"/>
      <w:bookmarkEnd w:id="446"/>
      <w:bookmarkEnd w:id="447"/>
      <w:bookmarkEnd w:id="448"/>
      <w:bookmarkEnd w:id="449"/>
      <w:bookmarkEnd w:id="450"/>
      <w:r w:rsidRPr="00517C57">
        <w:lastRenderedPageBreak/>
        <w:t>Realizace projektu</w:t>
      </w:r>
      <w:bookmarkEnd w:id="451"/>
      <w:bookmarkEnd w:id="452"/>
      <w:bookmarkEnd w:id="453"/>
      <w:bookmarkEnd w:id="454"/>
      <w:bookmarkEnd w:id="455"/>
    </w:p>
    <w:p w:rsidR="00517C57" w:rsidRPr="008A5D48" w:rsidRDefault="00517C57">
      <w:pPr>
        <w:pStyle w:val="Nadpis2"/>
        <w:keepLines/>
        <w:spacing w:before="360"/>
        <w:ind w:left="578" w:hanging="578"/>
        <w:rPr>
          <w:lang w:val="cs-CZ"/>
        </w:rPr>
      </w:pPr>
      <w:bookmarkStart w:id="456" w:name="_Toc365638292"/>
      <w:bookmarkStart w:id="457" w:name="_Toc328732767"/>
      <w:bookmarkStart w:id="458" w:name="_Toc285113243"/>
      <w:bookmarkStart w:id="459" w:name="_Toc285113355"/>
      <w:bookmarkStart w:id="460" w:name="_Toc285113439"/>
      <w:bookmarkStart w:id="461" w:name="_Toc311644739"/>
      <w:bookmarkStart w:id="462" w:name="_Toc346195867"/>
      <w:bookmarkStart w:id="463" w:name="_Toc373858696"/>
      <w:r w:rsidRPr="005709A1">
        <w:rPr>
          <w:lang w:val="cs-CZ"/>
        </w:rPr>
        <w:t xml:space="preserve">Termíny </w:t>
      </w:r>
      <w:r w:rsidRPr="006B7E3C">
        <w:rPr>
          <w:lang w:val="cs-CZ"/>
        </w:rPr>
        <w:t>přípravy a realizace projektu</w:t>
      </w:r>
      <w:bookmarkEnd w:id="456"/>
      <w:bookmarkEnd w:id="457"/>
      <w:r w:rsidR="006B7E3C" w:rsidRPr="006B7E3C">
        <w:rPr>
          <w:lang w:val="cs-CZ"/>
        </w:rPr>
        <w:t>,</w:t>
      </w:r>
      <w:r w:rsidRPr="006B7E3C">
        <w:rPr>
          <w:lang w:val="cs-CZ"/>
        </w:rPr>
        <w:t xml:space="preserve"> uvedené v</w:t>
      </w:r>
      <w:r w:rsidR="00EA5E71">
        <w:rPr>
          <w:lang w:val="cs-CZ"/>
        </w:rPr>
        <w:t>e Stanovení výdajů</w:t>
      </w:r>
      <w:bookmarkEnd w:id="458"/>
      <w:bookmarkEnd w:id="459"/>
      <w:bookmarkEnd w:id="460"/>
      <w:bookmarkEnd w:id="461"/>
      <w:bookmarkEnd w:id="462"/>
      <w:bookmarkEnd w:id="463"/>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BA6203">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55387C">
      <w:pPr>
        <w:keepNext/>
        <w:keepLines/>
        <w:numPr>
          <w:ilvl w:val="0"/>
          <w:numId w:val="243"/>
        </w:numPr>
        <w:overflowPunct w:val="0"/>
        <w:autoSpaceDE w:val="0"/>
        <w:autoSpaceDN w:val="0"/>
        <w:adjustRightInd w:val="0"/>
        <w:spacing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musí být ukončena </w:t>
      </w:r>
      <w:r w:rsidRPr="00B373CE">
        <w:rPr>
          <w:rFonts w:ascii="Times New Roman" w:hAnsi="Times New Roman"/>
          <w:b/>
          <w:sz w:val="24"/>
          <w:szCs w:val="24"/>
        </w:rPr>
        <w:t xml:space="preserve">nejpozději </w:t>
      </w:r>
      <w:r w:rsidR="00EA5E71" w:rsidRPr="00B373CE">
        <w:rPr>
          <w:rFonts w:ascii="Times New Roman" w:hAnsi="Times New Roman"/>
          <w:b/>
          <w:sz w:val="24"/>
          <w:szCs w:val="24"/>
        </w:rPr>
        <w:t>3</w:t>
      </w:r>
      <w:r w:rsidR="00B71F46" w:rsidRPr="00B373CE">
        <w:rPr>
          <w:rFonts w:ascii="Times New Roman" w:hAnsi="Times New Roman"/>
          <w:b/>
          <w:sz w:val="24"/>
          <w:szCs w:val="24"/>
        </w:rPr>
        <w:t>0</w:t>
      </w:r>
      <w:r w:rsidRPr="00B373CE">
        <w:rPr>
          <w:rFonts w:ascii="Times New Roman" w:hAnsi="Times New Roman"/>
          <w:b/>
          <w:sz w:val="24"/>
          <w:szCs w:val="24"/>
        </w:rPr>
        <w:t xml:space="preserve">. </w:t>
      </w:r>
      <w:r w:rsidR="00B373CE" w:rsidRPr="00B373CE">
        <w:rPr>
          <w:rFonts w:ascii="Times New Roman" w:hAnsi="Times New Roman"/>
          <w:b/>
          <w:sz w:val="24"/>
          <w:szCs w:val="24"/>
        </w:rPr>
        <w:t>11</w:t>
      </w:r>
      <w:r w:rsidRPr="00B373CE">
        <w:rPr>
          <w:rFonts w:ascii="Times New Roman" w:hAnsi="Times New Roman"/>
          <w:b/>
          <w:sz w:val="24"/>
          <w:szCs w:val="24"/>
        </w:rPr>
        <w:t xml:space="preserve">. </w:t>
      </w:r>
      <w:r w:rsidR="00EA5E71" w:rsidRPr="00B373CE">
        <w:rPr>
          <w:rFonts w:ascii="Times New Roman" w:hAnsi="Times New Roman"/>
          <w:b/>
          <w:sz w:val="24"/>
          <w:szCs w:val="24"/>
        </w:rPr>
        <w:t>201</w:t>
      </w:r>
      <w:r w:rsidR="00B373CE" w:rsidRPr="00B373CE">
        <w:rPr>
          <w:rFonts w:ascii="Times New Roman" w:hAnsi="Times New Roman"/>
          <w:b/>
          <w:sz w:val="24"/>
          <w:szCs w:val="24"/>
        </w:rPr>
        <w:t>5</w:t>
      </w:r>
      <w:r w:rsidRPr="00B373CE">
        <w:rPr>
          <w:rFonts w:ascii="Times New Roman" w:hAnsi="Times New Roman"/>
          <w:b/>
          <w:sz w:val="24"/>
          <w:szCs w:val="24"/>
        </w:rPr>
        <w:t>.</w:t>
      </w:r>
      <w:r w:rsidR="00517C57" w:rsidRPr="00D004B5">
        <w:rPr>
          <w:rFonts w:ascii="Times New Roman" w:hAnsi="Times New Roman"/>
          <w:b/>
          <w:sz w:val="24"/>
          <w:szCs w:val="24"/>
        </w:rPr>
        <w:t xml:space="preserve"> </w:t>
      </w:r>
    </w:p>
    <w:p w:rsidR="00517C57"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w:t>
      </w:r>
      <w:r w:rsidR="0055387C">
        <w:rPr>
          <w:rFonts w:ascii="Times New Roman" w:hAnsi="Times New Roman" w:cs="Times New Roman"/>
          <w:sz w:val="24"/>
          <w:szCs w:val="24"/>
        </w:rPr>
        <w:t xml:space="preserve">kterém </w:t>
      </w:r>
      <w:r>
        <w:rPr>
          <w:rFonts w:ascii="Times New Roman" w:hAnsi="Times New Roman" w:cs="Times New Roman"/>
          <w:sz w:val="24"/>
          <w:szCs w:val="24"/>
        </w:rPr>
        <w:t xml:space="preserve">příjemce nemůže provádět další úhrady a musí mít ukončeno financování ze všech zdrojů. Tento termín je uveden </w:t>
      </w:r>
      <w:r w:rsidR="00EA5E71">
        <w:rPr>
          <w:rFonts w:ascii="Times New Roman" w:hAnsi="Times New Roman" w:cs="Times New Roman"/>
          <w:sz w:val="24"/>
          <w:szCs w:val="24"/>
        </w:rPr>
        <w:br/>
      </w:r>
      <w:r>
        <w:rPr>
          <w:rFonts w:ascii="Times New Roman" w:hAnsi="Times New Roman" w:cs="Times New Roman"/>
          <w:sz w:val="24"/>
          <w:szCs w:val="24"/>
        </w:rPr>
        <w:t>v</w:t>
      </w:r>
      <w:r w:rsidR="00EA5E71">
        <w:rPr>
          <w:rFonts w:ascii="Times New Roman" w:hAnsi="Times New Roman" w:cs="Times New Roman"/>
          <w:sz w:val="24"/>
          <w:szCs w:val="24"/>
        </w:rPr>
        <w:t>e Stanovení výdajů</w:t>
      </w:r>
      <w:r>
        <w:rPr>
          <w:rFonts w:ascii="Times New Roman" w:hAnsi="Times New Roman" w:cs="Times New Roman"/>
          <w:sz w:val="24"/>
          <w:szCs w:val="24"/>
        </w:rPr>
        <w:t xml:space="preserve">, následuje po termínu ukončení realizace projektu a předchází závěrečnému vyhodnocení akce. </w:t>
      </w:r>
      <w:r w:rsidR="00562F65">
        <w:rPr>
          <w:rFonts w:ascii="Times New Roman" w:hAnsi="Times New Roman" w:cs="Times New Roman"/>
          <w:sz w:val="24"/>
          <w:szCs w:val="24"/>
        </w:rPr>
        <w:t xml:space="preserve">Maximální datum ukončení financování projektu je </w:t>
      </w:r>
      <w:r w:rsidR="00562F65" w:rsidRPr="00CF3A89">
        <w:rPr>
          <w:rFonts w:ascii="Times New Roman" w:hAnsi="Times New Roman" w:cs="Times New Roman"/>
          <w:b/>
          <w:sz w:val="24"/>
          <w:szCs w:val="24"/>
        </w:rPr>
        <w:t>31. 5. 2016</w:t>
      </w:r>
      <w:r w:rsidR="00562F65">
        <w:rPr>
          <w:rFonts w:ascii="Times New Roman" w:hAnsi="Times New Roman" w:cs="Times New Roman"/>
          <w:sz w:val="24"/>
          <w:szCs w:val="24"/>
        </w:rPr>
        <w:t>.</w:t>
      </w:r>
    </w:p>
    <w:p w:rsidR="00DB37CB" w:rsidRPr="00DB37CB" w:rsidRDefault="00DB37CB" w:rsidP="00BA6203">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finančním úřadem</w:t>
      </w:r>
      <w:r w:rsidR="00E815E9">
        <w:rPr>
          <w:rFonts w:ascii="Times New Roman" w:hAnsi="Times New Roman"/>
          <w:i/>
          <w:sz w:val="24"/>
          <w:szCs w:val="24"/>
        </w:rPr>
        <w:t xml:space="preserve"> před ukončením financování projektu</w:t>
      </w:r>
      <w:r>
        <w:rPr>
          <w:rFonts w:ascii="Times New Roman" w:hAnsi="Times New Roman" w:cs="Times New Roman"/>
          <w:i/>
          <w:sz w:val="24"/>
          <w:szCs w:val="24"/>
        </w:rPr>
        <w:t>.</w:t>
      </w:r>
    </w:p>
    <w:p w:rsidR="00517C57" w:rsidRPr="0062445E" w:rsidRDefault="00517C57" w:rsidP="00BA6203">
      <w:pPr>
        <w:keepNext/>
        <w:keepLines/>
        <w:numPr>
          <w:ilvl w:val="0"/>
          <w:numId w:val="243"/>
        </w:numPr>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00EA5E71">
        <w:rPr>
          <w:rFonts w:ascii="Times New Roman" w:hAnsi="Times New Roman" w:cs="Times New Roman"/>
          <w:sz w:val="24"/>
          <w:szCs w:val="24"/>
        </w:rPr>
        <w:t>e</w:t>
      </w:r>
      <w:r w:rsidRPr="0062445E">
        <w:rPr>
          <w:rFonts w:ascii="Times New Roman" w:hAnsi="Times New Roman" w:cs="Times New Roman"/>
          <w:sz w:val="24"/>
          <w:szCs w:val="24"/>
        </w:rPr>
        <w:t xml:space="preserve"> </w:t>
      </w:r>
      <w:r w:rsidR="00EA5E71">
        <w:rPr>
          <w:rFonts w:ascii="Times New Roman" w:hAnsi="Times New Roman" w:cs="Times New Roman"/>
          <w:sz w:val="24"/>
          <w:szCs w:val="24"/>
        </w:rPr>
        <w:t>Stanovení výdajů</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 xml:space="preserve">v souladu s § 6 vyhlášky Ministerstva financí ČR </w:t>
      </w:r>
      <w:r w:rsidR="00EA5E71">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517C57" w:rsidRDefault="00517C57" w:rsidP="003355D3">
      <w:pPr>
        <w:ind w:right="-108"/>
        <w:rPr>
          <w:noProof/>
        </w:rPr>
      </w:pPr>
    </w:p>
    <w:p w:rsidR="007B2A95" w:rsidRPr="005709A1" w:rsidRDefault="007B2A95">
      <w:pPr>
        <w:pStyle w:val="Nadpis2"/>
        <w:keepLines/>
        <w:spacing w:before="360"/>
        <w:ind w:left="578" w:hanging="578"/>
        <w:rPr>
          <w:lang w:val="cs-CZ"/>
        </w:rPr>
      </w:pPr>
      <w:bookmarkStart w:id="464" w:name="_Toc244415586"/>
      <w:bookmarkStart w:id="465" w:name="_Toc346195868"/>
      <w:bookmarkStart w:id="466" w:name="_Toc328732768"/>
      <w:bookmarkStart w:id="467" w:name="_Toc365638293"/>
      <w:bookmarkStart w:id="468" w:name="_Toc373858697"/>
      <w:r w:rsidRPr="005709A1">
        <w:rPr>
          <w:lang w:val="cs-CZ"/>
        </w:rPr>
        <w:t>Povinnosti příjemců</w:t>
      </w:r>
      <w:bookmarkEnd w:id="464"/>
      <w:bookmarkEnd w:id="465"/>
      <w:bookmarkEnd w:id="466"/>
      <w:bookmarkEnd w:id="467"/>
      <w:bookmarkEnd w:id="468"/>
      <w:r w:rsidRPr="005709A1">
        <w:rPr>
          <w:lang w:val="cs-CZ"/>
        </w:rPr>
        <w:t xml:space="preserve"> </w:t>
      </w:r>
    </w:p>
    <w:p w:rsidR="00B041AC" w:rsidRDefault="00517C57" w:rsidP="0060682B">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25375E">
        <w:rPr>
          <w:rFonts w:ascii="Times New Roman" w:hAnsi="Times New Roman" w:cs="Times New Roman"/>
          <w:sz w:val="24"/>
          <w:szCs w:val="24"/>
        </w:rPr>
        <w:t>Stanovením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ve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realizaci projektu</w:t>
      </w:r>
      <w:r w:rsidRPr="00FB3B5E">
        <w:rPr>
          <w:rFonts w:ascii="Times New Roman" w:hAnsi="Times New Roman"/>
          <w:sz w:val="24"/>
          <w:szCs w:val="24"/>
        </w:rPr>
        <w:t xml:space="preserve"> podle </w:t>
      </w:r>
      <w:r w:rsidR="0025375E" w:rsidRPr="00FB3B5E">
        <w:rPr>
          <w:rFonts w:ascii="Times New Roman" w:hAnsi="Times New Roman"/>
          <w:sz w:val="24"/>
          <w:szCs w:val="24"/>
        </w:rPr>
        <w:t>Stanovení výdajů</w:t>
      </w:r>
      <w:r w:rsidRPr="00FB3B5E">
        <w:rPr>
          <w:rFonts w:ascii="Times New Roman" w:hAnsi="Times New Roman"/>
          <w:sz w:val="24"/>
          <w:szCs w:val="24"/>
        </w:rPr>
        <w:t>;</w:t>
      </w:r>
      <w:r w:rsidRPr="00FB3B5E">
        <w:rPr>
          <w:rFonts w:ascii="Times New Roman" w:hAnsi="Times New Roman"/>
          <w:b/>
          <w:snapToGrid w:val="0"/>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plně a prokazatelně splnit účel projektu, </w:t>
      </w:r>
      <w:r w:rsidRPr="00FB3B5E">
        <w:rPr>
          <w:rFonts w:ascii="Times New Roman" w:hAnsi="Times New Roman"/>
          <w:snapToGrid w:val="0"/>
          <w:sz w:val="24"/>
          <w:szCs w:val="24"/>
        </w:rPr>
        <w:t xml:space="preserve">a </w:t>
      </w:r>
      <w:r w:rsidRPr="00FB3B5E">
        <w:rPr>
          <w:rFonts w:ascii="Times New Roman" w:hAnsi="Times New Roman"/>
          <w:b/>
          <w:snapToGrid w:val="0"/>
          <w:sz w:val="24"/>
          <w:szCs w:val="24"/>
        </w:rPr>
        <w:t xml:space="preserve">zachovat výsledky realizace projektu po dobu pěti let </w:t>
      </w:r>
      <w:r w:rsidRPr="00FB3B5E">
        <w:rPr>
          <w:rFonts w:ascii="Times New Roman" w:hAnsi="Times New Roman"/>
          <w:snapToGrid w:val="0"/>
          <w:sz w:val="24"/>
          <w:szCs w:val="24"/>
        </w:rPr>
        <w:t>od ukončení realizace</w:t>
      </w:r>
      <w:r w:rsidRPr="00FB3B5E">
        <w:rPr>
          <w:rFonts w:ascii="Times New Roman" w:hAnsi="Times New Roman"/>
          <w:b/>
          <w:snapToGrid w:val="0"/>
          <w:sz w:val="24"/>
          <w:szCs w:val="24"/>
        </w:rPr>
        <w:t xml:space="preserve"> </w:t>
      </w:r>
      <w:r w:rsidRPr="00FB3B5E">
        <w:rPr>
          <w:rFonts w:ascii="Times New Roman" w:hAnsi="Times New Roman"/>
          <w:snapToGrid w:val="0"/>
          <w:sz w:val="24"/>
          <w:szCs w:val="24"/>
        </w:rPr>
        <w:t>projektu po</w:t>
      </w:r>
      <w:r w:rsidRPr="00FB3B5E">
        <w:rPr>
          <w:rFonts w:ascii="Times New Roman" w:hAnsi="Times New Roman"/>
          <w:sz w:val="24"/>
          <w:szCs w:val="24"/>
        </w:rPr>
        <w:t xml:space="preserve">dle </w:t>
      </w:r>
      <w:r w:rsidR="0025375E" w:rsidRPr="00FB3B5E">
        <w:rPr>
          <w:rFonts w:ascii="Times New Roman" w:hAnsi="Times New Roman"/>
          <w:sz w:val="24"/>
          <w:szCs w:val="24"/>
        </w:rPr>
        <w:t>Stanovení výdajů</w:t>
      </w:r>
      <w:r w:rsidRPr="00FB3B5E">
        <w:rPr>
          <w:rFonts w:ascii="Times New Roman" w:hAnsi="Times New Roman"/>
          <w:snapToGrid w:val="0"/>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zajistit </w:t>
      </w:r>
      <w:r w:rsidRPr="00FB3B5E">
        <w:rPr>
          <w:rFonts w:ascii="Times New Roman" w:hAnsi="Times New Roman"/>
          <w:b/>
          <w:sz w:val="24"/>
          <w:szCs w:val="24"/>
        </w:rPr>
        <w:t xml:space="preserve">zadávání výběrových a zadávacích řízení v souladu </w:t>
      </w:r>
      <w:r w:rsidR="00247EF6" w:rsidRPr="006F72D1">
        <w:rPr>
          <w:rFonts w:ascii="Times New Roman" w:hAnsi="Times New Roman"/>
          <w:b/>
          <w:sz w:val="24"/>
          <w:szCs w:val="24"/>
        </w:rPr>
        <w:t xml:space="preserve">se </w:t>
      </w:r>
      <w:r w:rsidR="00247EF6" w:rsidRPr="006F72D1">
        <w:rPr>
          <w:rFonts w:ascii="Times New Roman" w:hAnsi="Times New Roman"/>
          <w:sz w:val="24"/>
          <w:szCs w:val="24"/>
        </w:rPr>
        <w:t>Zákonem č. 137/2006 Sb., o veřejných zakázkách,</w:t>
      </w:r>
      <w:r w:rsidR="00247EF6">
        <w:rPr>
          <w:rFonts w:ascii="Times New Roman" w:hAnsi="Times New Roman"/>
          <w:sz w:val="24"/>
          <w:szCs w:val="24"/>
        </w:rPr>
        <w:t xml:space="preserve"> </w:t>
      </w:r>
      <w:r w:rsidRPr="00FB3B5E">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FB3B5E">
        <w:rPr>
          <w:rFonts w:ascii="Times New Roman" w:hAnsi="Times New Roman"/>
          <w:sz w:val="24"/>
          <w:szCs w:val="24"/>
        </w:rPr>
        <w:t>–</w:t>
      </w:r>
      <w:r w:rsidRPr="00FB3B5E">
        <w:rPr>
          <w:rFonts w:ascii="Times New Roman" w:hAnsi="Times New Roman"/>
          <w:sz w:val="24"/>
          <w:szCs w:val="24"/>
        </w:rPr>
        <w:t xml:space="preserve">2013 (viz příloha č. </w:t>
      </w:r>
      <w:r w:rsidR="005E4CD4" w:rsidRPr="00FB3B5E">
        <w:rPr>
          <w:rFonts w:ascii="Times New Roman" w:hAnsi="Times New Roman"/>
          <w:sz w:val="24"/>
          <w:szCs w:val="24"/>
        </w:rPr>
        <w:t>1</w:t>
      </w:r>
      <w:r w:rsidR="00B83EEC">
        <w:rPr>
          <w:rFonts w:ascii="Times New Roman" w:hAnsi="Times New Roman"/>
          <w:sz w:val="24"/>
          <w:szCs w:val="24"/>
        </w:rPr>
        <w:t>0</w:t>
      </w:r>
      <w:r w:rsidRPr="00FB3B5E">
        <w:rPr>
          <w:rFonts w:ascii="Times New Roman" w:hAnsi="Times New Roman"/>
          <w:sz w:val="24"/>
          <w:szCs w:val="24"/>
        </w:rPr>
        <w:t xml:space="preserve"> Příručky);</w:t>
      </w:r>
    </w:p>
    <w:p w:rsidR="00085C62" w:rsidRDefault="001B3591">
      <w:pPr>
        <w:pStyle w:val="Odstavecseseznamem"/>
        <w:keepNext/>
        <w:keepLines/>
        <w:numPr>
          <w:ilvl w:val="0"/>
          <w:numId w:val="30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25375E" w:rsidRPr="00FB3B5E">
        <w:rPr>
          <w:rFonts w:ascii="Times New Roman" w:hAnsi="Times New Roman"/>
          <w:snapToGrid w:val="0"/>
          <w:sz w:val="24"/>
          <w:szCs w:val="24"/>
        </w:rPr>
        <w:t xml:space="preserve">Stanovení výdajů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prokázat do termínu, uvedeném v</w:t>
      </w:r>
      <w:r w:rsidR="0025375E" w:rsidRPr="00FB3B5E">
        <w:rPr>
          <w:rFonts w:ascii="Times New Roman" w:hAnsi="Times New Roman"/>
          <w:b/>
          <w:snapToGrid w:val="0"/>
          <w:sz w:val="24"/>
          <w:szCs w:val="24"/>
        </w:rPr>
        <w:t>e Stanovení výdajů</w:t>
      </w:r>
      <w:r w:rsidRPr="00FB3B5E">
        <w:rPr>
          <w:rFonts w:ascii="Times New Roman" w:hAnsi="Times New Roman"/>
          <w:b/>
          <w:sz w:val="24"/>
          <w:szCs w:val="24"/>
        </w:rPr>
        <w:t>, naplnění monitorovacích indikátorů uvedených v</w:t>
      </w:r>
      <w:r w:rsidR="0025375E" w:rsidRPr="00FB3B5E">
        <w:rPr>
          <w:rFonts w:ascii="Times New Roman" w:hAnsi="Times New Roman"/>
          <w:b/>
          <w:sz w:val="24"/>
          <w:szCs w:val="24"/>
        </w:rPr>
        <w:t>e Stanovení výdajů</w:t>
      </w:r>
      <w:r w:rsidRPr="00FB3B5E">
        <w:rPr>
          <w:rFonts w:ascii="Times New Roman" w:hAnsi="Times New Roman"/>
          <w:b/>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pPr>
        <w:pStyle w:val="Odstavecseseznamem"/>
        <w:keepNext/>
        <w:keepLines/>
        <w:numPr>
          <w:ilvl w:val="0"/>
          <w:numId w:val="304"/>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pPr>
        <w:pStyle w:val="Odstavecseseznamem"/>
        <w:keepNext/>
        <w:keepLines/>
        <w:numPr>
          <w:ilvl w:val="0"/>
          <w:numId w:val="304"/>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pPr>
        <w:pStyle w:val="Odstavecseseznamem"/>
        <w:numPr>
          <w:ilvl w:val="0"/>
          <w:numId w:val="304"/>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pPr>
        <w:pStyle w:val="Odstavecseseznamem"/>
        <w:numPr>
          <w:ilvl w:val="0"/>
          <w:numId w:val="304"/>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w:t>
      </w:r>
      <w:r w:rsidRPr="00FB3B5E">
        <w:rPr>
          <w:rFonts w:ascii="Times New Roman" w:hAnsi="Times New Roman"/>
          <w:b/>
          <w:snapToGrid w:val="0"/>
          <w:sz w:val="24"/>
          <w:szCs w:val="24"/>
        </w:rPr>
        <w:lastRenderedPageBreak/>
        <w:t>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FB3B5E">
      <w:pPr>
        <w:ind w:left="360"/>
        <w:rPr>
          <w:rFonts w:ascii="Times New Roman" w:hAnsi="Times New Roman" w:cs="Times New Roman"/>
          <w:b/>
          <w:sz w:val="24"/>
          <w:szCs w:val="24"/>
        </w:rPr>
      </w:pPr>
      <w:r w:rsidRPr="008308E9">
        <w:rPr>
          <w:rFonts w:ascii="Times New Roman" w:hAnsi="Times New Roman" w:cs="Times New Roman"/>
          <w:b/>
          <w:sz w:val="24"/>
          <w:szCs w:val="24"/>
        </w:rPr>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69" w:name="_Toc177462466"/>
      <w:bookmarkStart w:id="470" w:name="_Toc191363129"/>
      <w:bookmarkStart w:id="471" w:name="_Toc191972610"/>
      <w:bookmarkStart w:id="472" w:name="_Toc191978808"/>
      <w:bookmarkStart w:id="473" w:name="_Toc244415587"/>
      <w:bookmarkStart w:id="474" w:name="_Toc346195869"/>
      <w:bookmarkStart w:id="475" w:name="_Toc328732769"/>
      <w:bookmarkStart w:id="476" w:name="_Toc365638294"/>
      <w:bookmarkStart w:id="477" w:name="_Toc373858698"/>
      <w:r w:rsidRPr="001B3591">
        <w:rPr>
          <w:noProof/>
        </w:rPr>
        <w:t>Vedení účetnictví</w:t>
      </w:r>
      <w:bookmarkEnd w:id="469"/>
      <w:bookmarkEnd w:id="470"/>
      <w:bookmarkEnd w:id="471"/>
      <w:bookmarkEnd w:id="472"/>
      <w:bookmarkEnd w:id="473"/>
      <w:bookmarkEnd w:id="474"/>
      <w:bookmarkEnd w:id="475"/>
      <w:bookmarkEnd w:id="476"/>
      <w:bookmarkEnd w:id="477"/>
    </w:p>
    <w:p w:rsidR="00FB3B5E" w:rsidRDefault="00FB3B5E" w:rsidP="00FB3B5E">
      <w:pPr>
        <w:keepNext/>
        <w:keepLines/>
        <w:rPr>
          <w:rFonts w:ascii="Times New Roman" w:hAnsi="Times New Roman" w:cs="Times New Roman"/>
          <w:b/>
          <w:snapToGrid w:val="0"/>
          <w:sz w:val="24"/>
          <w:szCs w:val="24"/>
        </w:rPr>
      </w:pPr>
      <w:bookmarkStart w:id="478" w:name="_Toc191363130"/>
      <w:bookmarkStart w:id="479" w:name="_Toc191972611"/>
      <w:bookmarkStart w:id="480" w:name="_Toc191978809"/>
      <w:bookmarkStart w:id="481" w:name="_Toc194561430"/>
      <w:bookmarkStart w:id="482" w:name="_Toc194561627"/>
      <w:bookmarkStart w:id="483" w:name="_Toc194807090"/>
      <w:bookmarkStart w:id="484" w:name="_Toc194817235"/>
      <w:bookmarkStart w:id="485" w:name="_Toc200357389"/>
      <w:bookmarkStart w:id="486" w:name="_Toc201056644"/>
      <w:bookmarkStart w:id="487" w:name="_Toc201056860"/>
      <w:bookmarkStart w:id="488"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78"/>
      <w:bookmarkEnd w:id="479"/>
      <w:bookmarkEnd w:id="480"/>
      <w:bookmarkEnd w:id="481"/>
      <w:bookmarkEnd w:id="482"/>
      <w:bookmarkEnd w:id="483"/>
      <w:bookmarkEnd w:id="484"/>
      <w:bookmarkEnd w:id="485"/>
      <w:bookmarkEnd w:id="486"/>
      <w:bookmarkEnd w:id="487"/>
      <w:bookmarkEnd w:id="488"/>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89" w:name="_Toc177462467"/>
      <w:bookmarkStart w:id="490" w:name="_Toc191363131"/>
      <w:bookmarkStart w:id="491" w:name="_Toc191972612"/>
      <w:bookmarkStart w:id="492" w:name="_Toc191978810"/>
      <w:bookmarkStart w:id="493" w:name="_Toc194807091"/>
      <w:bookmarkStart w:id="494" w:name="_Toc244415588"/>
      <w:bookmarkStart w:id="495" w:name="_Toc346195870"/>
      <w:bookmarkStart w:id="496" w:name="_Toc365638295"/>
      <w:bookmarkStart w:id="497" w:name="_Toc373858699"/>
      <w:r w:rsidRPr="00584583">
        <w:rPr>
          <w:noProof/>
        </w:rPr>
        <w:t>Archivace</w:t>
      </w:r>
      <w:bookmarkEnd w:id="489"/>
      <w:bookmarkEnd w:id="490"/>
      <w:bookmarkEnd w:id="491"/>
      <w:bookmarkEnd w:id="492"/>
      <w:bookmarkEnd w:id="493"/>
      <w:bookmarkEnd w:id="494"/>
      <w:bookmarkEnd w:id="495"/>
      <w:bookmarkEnd w:id="496"/>
      <w:bookmarkEnd w:id="497"/>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498" w:name="_Toc322697244"/>
      <w:bookmarkStart w:id="499" w:name="_Toc322697578"/>
      <w:bookmarkStart w:id="500" w:name="_Toc322697901"/>
      <w:bookmarkStart w:id="501" w:name="_Toc322698153"/>
      <w:bookmarkStart w:id="502" w:name="_Toc322698404"/>
      <w:bookmarkStart w:id="503" w:name="_Toc323217975"/>
      <w:bookmarkStart w:id="504" w:name="_Toc324935352"/>
      <w:bookmarkStart w:id="505" w:name="_Toc328732770"/>
      <w:bookmarkEnd w:id="498"/>
      <w:bookmarkEnd w:id="499"/>
      <w:bookmarkEnd w:id="500"/>
      <w:bookmarkEnd w:id="501"/>
      <w:bookmarkEnd w:id="502"/>
      <w:bookmarkEnd w:id="503"/>
      <w:bookmarkEnd w:id="504"/>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887956" w:rsidRPr="00FB3B5E" w:rsidRDefault="00887956" w:rsidP="00FB3B5E"/>
    <w:p w:rsidR="008D5407" w:rsidRDefault="00584583" w:rsidP="00024E83">
      <w:pPr>
        <w:keepNext/>
        <w:keepLines/>
        <w:spacing w:after="120"/>
        <w:rPr>
          <w:rFonts w:ascii="Times New Roman" w:hAnsi="Times New Roman" w:cs="Times New Roman"/>
          <w:sz w:val="24"/>
          <w:szCs w:val="24"/>
        </w:rPr>
      </w:pPr>
      <w:bookmarkStart w:id="506" w:name="_Toc322697246"/>
      <w:bookmarkStart w:id="507" w:name="_Toc322697580"/>
      <w:bookmarkStart w:id="508" w:name="_Toc322697903"/>
      <w:bookmarkStart w:id="509" w:name="_Toc322698155"/>
      <w:bookmarkStart w:id="510" w:name="_Toc322698406"/>
      <w:bookmarkStart w:id="511" w:name="_Toc323217977"/>
      <w:bookmarkStart w:id="512" w:name="_Toc324935354"/>
      <w:bookmarkStart w:id="513" w:name="_Toc322697251"/>
      <w:bookmarkStart w:id="514" w:name="_Toc322697585"/>
      <w:bookmarkStart w:id="515" w:name="_Toc322697908"/>
      <w:bookmarkStart w:id="516" w:name="_Toc322698160"/>
      <w:bookmarkStart w:id="517" w:name="_Toc322698411"/>
      <w:bookmarkStart w:id="518" w:name="_Toc323217982"/>
      <w:bookmarkStart w:id="519" w:name="_Toc32493535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584583">
        <w:rPr>
          <w:rFonts w:ascii="Times New Roman" w:hAnsi="Times New Roman" w:cs="Times New Roman"/>
          <w:b/>
          <w:sz w:val="24"/>
          <w:szCs w:val="24"/>
        </w:rPr>
        <w:lastRenderedPageBreak/>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p>
    <w:p w:rsidR="00584583" w:rsidRPr="008D5407" w:rsidRDefault="00FD4701" w:rsidP="00024E83">
      <w:pPr>
        <w:keepNext/>
        <w:keepLines/>
        <w:spacing w:after="120"/>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0" w:name="_Toc71263130"/>
      <w:r w:rsidRPr="00584583">
        <w:rPr>
          <w:rFonts w:cs="Times New Roman"/>
          <w:i w:val="0"/>
          <w:szCs w:val="24"/>
        </w:rPr>
        <w:t>Pravidla archivace</w:t>
      </w:r>
      <w:bookmarkEnd w:id="520"/>
      <w:r w:rsidRPr="00584583">
        <w:rPr>
          <w:rFonts w:cs="Times New Roman"/>
          <w:i w:val="0"/>
          <w:szCs w:val="24"/>
        </w:rPr>
        <w:t>:</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8633C1">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521" w:name="_Toc71263131"/>
    </w:p>
    <w:p w:rsidR="007B2A95" w:rsidRPr="00584583" w:rsidRDefault="007B2A95">
      <w:pPr>
        <w:pStyle w:val="Nadpis2"/>
        <w:keepLines/>
        <w:spacing w:before="360"/>
        <w:ind w:left="578" w:right="-2" w:hanging="578"/>
        <w:rPr>
          <w:noProof/>
        </w:rPr>
      </w:pPr>
      <w:bookmarkStart w:id="522" w:name="_Toc177462468"/>
      <w:bookmarkStart w:id="523" w:name="_Toc191363132"/>
      <w:bookmarkStart w:id="524" w:name="_Toc191972613"/>
      <w:bookmarkStart w:id="525" w:name="_Toc191978811"/>
      <w:bookmarkStart w:id="526" w:name="_Toc244415589"/>
      <w:bookmarkStart w:id="527" w:name="_Toc346195871"/>
      <w:bookmarkStart w:id="528" w:name="_Toc328732771"/>
      <w:bookmarkStart w:id="529" w:name="_Toc365638296"/>
      <w:bookmarkStart w:id="530" w:name="_Toc373858700"/>
      <w:bookmarkEnd w:id="521"/>
      <w:r w:rsidRPr="00584583">
        <w:rPr>
          <w:noProof/>
        </w:rPr>
        <w:t>Informování o projektu, propagace projektu</w:t>
      </w:r>
      <w:bookmarkEnd w:id="522"/>
      <w:bookmarkEnd w:id="523"/>
      <w:bookmarkEnd w:id="524"/>
      <w:bookmarkEnd w:id="525"/>
      <w:bookmarkEnd w:id="526"/>
      <w:bookmarkEnd w:id="527"/>
      <w:bookmarkEnd w:id="528"/>
      <w:bookmarkEnd w:id="529"/>
      <w:bookmarkEnd w:id="530"/>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6"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48085A" w:rsidRDefault="007B2A95" w:rsidP="00024E83">
      <w:pPr>
        <w:keepNext/>
        <w:keepLines/>
        <w:ind w:right="-108"/>
        <w:rPr>
          <w:noProof/>
        </w:rPr>
      </w:pPr>
    </w:p>
    <w:p w:rsidR="007B2A95" w:rsidRPr="007749F9" w:rsidRDefault="00584583">
      <w:pPr>
        <w:pStyle w:val="Nadpis2"/>
        <w:keepLines/>
        <w:spacing w:before="360"/>
        <w:ind w:left="0" w:hanging="11"/>
        <w:rPr>
          <w:noProof/>
        </w:rPr>
      </w:pPr>
      <w:bookmarkStart w:id="531" w:name="_Toc346195872"/>
      <w:bookmarkStart w:id="532" w:name="_Toc328732772"/>
      <w:bookmarkStart w:id="533" w:name="_Toc365638297"/>
      <w:bookmarkStart w:id="534" w:name="_Toc373858701"/>
      <w:r w:rsidRPr="00584583">
        <w:rPr>
          <w:noProof/>
        </w:rPr>
        <w:lastRenderedPageBreak/>
        <w:t xml:space="preserve">Podmínky pro zadávání </w:t>
      </w:r>
      <w:r w:rsidRPr="007749F9">
        <w:rPr>
          <w:noProof/>
        </w:rPr>
        <w:t>zakázek</w:t>
      </w:r>
      <w:bookmarkEnd w:id="531"/>
      <w:bookmarkEnd w:id="532"/>
      <w:bookmarkEnd w:id="533"/>
      <w:bookmarkEnd w:id="534"/>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sidRPr="007749F9">
        <w:rPr>
          <w:rFonts w:ascii="Times New Roman" w:hAnsi="Times New Roman"/>
          <w:b/>
          <w:sz w:val="24"/>
          <w:szCs w:val="24"/>
        </w:rPr>
        <w:t>Každý zadavatel je povinen při zadávání</w:t>
      </w:r>
      <w:r w:rsidRPr="008D6FD3">
        <w:rPr>
          <w:rFonts w:ascii="Times New Roman" w:hAnsi="Times New Roman"/>
          <w:b/>
          <w:sz w:val="24"/>
          <w:szCs w:val="24"/>
        </w:rPr>
        <w:t xml:space="preserve"> </w:t>
      </w:r>
      <w:r>
        <w:rPr>
          <w:rFonts w:ascii="Times New Roman" w:hAnsi="Times New Roman"/>
          <w:b/>
          <w:sz w:val="24"/>
          <w:szCs w:val="24"/>
        </w:rPr>
        <w:t>(</w:t>
      </w:r>
      <w:r w:rsidRPr="008D6FD3">
        <w:rPr>
          <w:rFonts w:ascii="Times New Roman" w:hAnsi="Times New Roman"/>
          <w:b/>
          <w:sz w:val="24"/>
          <w:szCs w:val="24"/>
        </w:rPr>
        <w:t>veřejné</w:t>
      </w:r>
      <w:r>
        <w:rPr>
          <w:rFonts w:ascii="Times New Roman" w:hAnsi="Times New Roman"/>
          <w:b/>
          <w:sz w:val="24"/>
          <w:szCs w:val="24"/>
        </w:rPr>
        <w:t>)</w:t>
      </w:r>
      <w:r w:rsidRPr="008D6FD3">
        <w:rPr>
          <w:rFonts w:ascii="Times New Roman" w:hAnsi="Times New Roman"/>
          <w:b/>
          <w:sz w:val="24"/>
          <w:szCs w:val="24"/>
        </w:rPr>
        <w:t xml:space="preserve"> zakázky dodržovat zásady transparentnosti, rovného zacházení a zákazu diskriminace</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sidR="000B2F33">
        <w:rPr>
          <w:rFonts w:ascii="Times New Roman" w:hAnsi="Times New Roman"/>
          <w:snapToGrid w:val="0"/>
          <w:sz w:val="24"/>
          <w:szCs w:val="24"/>
        </w:rPr>
        <w:t xml:space="preserve"> </w:t>
      </w:r>
      <w:r w:rsidRPr="00487FF2">
        <w:rPr>
          <w:rFonts w:ascii="Times New Roman" w:hAnsi="Times New Roman"/>
          <w:snapToGrid w:val="0"/>
          <w:sz w:val="24"/>
          <w:szCs w:val="24"/>
        </w:rPr>
        <w:t xml:space="preserve">6 </w:t>
      </w:r>
      <w:r>
        <w:rPr>
          <w:rFonts w:ascii="Times New Roman" w:hAnsi="Times New Roman"/>
          <w:snapToGrid w:val="0"/>
          <w:sz w:val="24"/>
          <w:szCs w:val="24"/>
        </w:rPr>
        <w:t xml:space="preserve">zákona </w:t>
      </w:r>
      <w:r>
        <w:rPr>
          <w:rFonts w:ascii="Times New Roman" w:hAnsi="Times New Roman"/>
          <w:sz w:val="24"/>
          <w:szCs w:val="24"/>
        </w:rPr>
        <w:t>o veřejných zakázkách</w:t>
      </w:r>
      <w:r w:rsidR="001D15D8" w:rsidRPr="00D653C4">
        <w:rPr>
          <w:rFonts w:ascii="Times New Roman" w:hAnsi="Times New Roman"/>
          <w:sz w:val="24"/>
          <w:szCs w:val="24"/>
        </w:rPr>
        <w:t>)</w:t>
      </w:r>
      <w:r w:rsidR="00796221">
        <w:rPr>
          <w:rFonts w:ascii="Times New Roman" w:hAnsi="Times New Roman"/>
          <w:sz w:val="24"/>
          <w:szCs w:val="24"/>
        </w:rPr>
        <w:t>,</w:t>
      </w:r>
      <w:r>
        <w:rPr>
          <w:rFonts w:ascii="Times New Roman" w:hAnsi="Times New Roman"/>
          <w:b/>
          <w:sz w:val="24"/>
          <w:szCs w:val="24"/>
        </w:rPr>
        <w:t xml:space="preserve"> dále také zásady </w:t>
      </w:r>
      <w:r w:rsidRPr="009F2DD4">
        <w:rPr>
          <w:rFonts w:ascii="Times New Roman" w:hAnsi="Times New Roman"/>
          <w:b/>
          <w:sz w:val="24"/>
          <w:szCs w:val="24"/>
        </w:rPr>
        <w:t>hospodárnosti, efektivnosti a účelnosti vynaložených prostředků</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Pr>
          <w:rFonts w:ascii="Times New Roman" w:hAnsi="Times New Roman"/>
          <w:snapToGrid w:val="0"/>
          <w:sz w:val="24"/>
          <w:szCs w:val="24"/>
        </w:rPr>
        <w:t>2</w:t>
      </w:r>
      <w:r w:rsidRPr="00487FF2">
        <w:rPr>
          <w:rFonts w:ascii="Times New Roman" w:hAnsi="Times New Roman"/>
          <w:snapToGrid w:val="0"/>
          <w:sz w:val="24"/>
          <w:szCs w:val="24"/>
        </w:rPr>
        <w:t xml:space="preserve"> </w:t>
      </w:r>
      <w:r>
        <w:rPr>
          <w:rFonts w:ascii="Times New Roman" w:hAnsi="Times New Roman"/>
          <w:snapToGrid w:val="0"/>
          <w:sz w:val="24"/>
          <w:szCs w:val="24"/>
        </w:rPr>
        <w:t xml:space="preserve">zákona </w:t>
      </w:r>
      <w:r>
        <w:rPr>
          <w:rFonts w:ascii="Times New Roman" w:hAnsi="Times New Roman"/>
          <w:sz w:val="24"/>
          <w:szCs w:val="24"/>
        </w:rPr>
        <w:t xml:space="preserve">o finanční </w:t>
      </w:r>
      <w:proofErr w:type="gramStart"/>
      <w:r>
        <w:rPr>
          <w:rFonts w:ascii="Times New Roman" w:hAnsi="Times New Roman"/>
          <w:sz w:val="24"/>
          <w:szCs w:val="24"/>
        </w:rPr>
        <w:t>kontrole)</w:t>
      </w:r>
      <w:r w:rsidRPr="009F2DD4">
        <w:rPr>
          <w:rFonts w:ascii="Times New Roman" w:hAnsi="Times New Roman"/>
          <w:b/>
          <w:sz w:val="24"/>
          <w:szCs w:val="24"/>
        </w:rPr>
        <w:t xml:space="preserve"> (dále</w:t>
      </w:r>
      <w:proofErr w:type="gramEnd"/>
      <w:r w:rsidRPr="009F2DD4">
        <w:rPr>
          <w:rFonts w:ascii="Times New Roman" w:hAnsi="Times New Roman"/>
          <w:b/>
          <w:sz w:val="24"/>
          <w:szCs w:val="24"/>
        </w:rPr>
        <w:t xml:space="preserve"> jen „zásady 3E“)</w:t>
      </w:r>
      <w:r>
        <w:rPr>
          <w:rFonts w:ascii="Times New Roman" w:hAnsi="Times New Roman"/>
          <w:b/>
          <w:sz w:val="24"/>
          <w:szCs w:val="24"/>
        </w:rPr>
        <w:t xml:space="preserve">. </w:t>
      </w:r>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rPr>
      </w:pPr>
      <w:r>
        <w:rPr>
          <w:rFonts w:ascii="Times New Roman" w:hAnsi="Times New Roman"/>
          <w:b/>
          <w:sz w:val="24"/>
          <w:szCs w:val="24"/>
        </w:rPr>
        <w:t>P</w:t>
      </w:r>
      <w:r w:rsidRPr="005740C5">
        <w:rPr>
          <w:rFonts w:ascii="Times New Roman" w:hAnsi="Times New Roman"/>
          <w:b/>
          <w:sz w:val="24"/>
          <w:szCs w:val="24"/>
        </w:rPr>
        <w:t xml:space="preserve">ředpokládaná hodnota </w:t>
      </w:r>
      <w:r>
        <w:rPr>
          <w:rFonts w:ascii="Times New Roman" w:hAnsi="Times New Roman"/>
          <w:b/>
          <w:sz w:val="24"/>
          <w:szCs w:val="24"/>
        </w:rPr>
        <w:t xml:space="preserve">a </w:t>
      </w:r>
      <w:r w:rsidRPr="005740C5">
        <w:rPr>
          <w:rFonts w:ascii="Times New Roman" w:hAnsi="Times New Roman"/>
          <w:b/>
          <w:sz w:val="24"/>
          <w:szCs w:val="24"/>
        </w:rPr>
        <w:t xml:space="preserve">nabídková cena vybrané </w:t>
      </w:r>
      <w:r>
        <w:rPr>
          <w:rFonts w:ascii="Times New Roman" w:hAnsi="Times New Roman"/>
          <w:b/>
          <w:sz w:val="24"/>
          <w:szCs w:val="24"/>
        </w:rPr>
        <w:t>zakázky</w:t>
      </w:r>
      <w:r w:rsidRPr="005740C5">
        <w:rPr>
          <w:rFonts w:ascii="Times New Roman" w:hAnsi="Times New Roman"/>
          <w:b/>
          <w:sz w:val="24"/>
          <w:szCs w:val="24"/>
        </w:rPr>
        <w:t xml:space="preserve"> musí odpovídat cenám v místě a čase obvyklým</w:t>
      </w:r>
      <w:r>
        <w:rPr>
          <w:rFonts w:ascii="Times New Roman" w:hAnsi="Times New Roman"/>
          <w:b/>
          <w:sz w:val="24"/>
          <w:szCs w:val="24"/>
        </w:rPr>
        <w:t>.</w:t>
      </w:r>
      <w:r w:rsidRPr="009F2DD4">
        <w:rPr>
          <w:rFonts w:ascii="Times New Roman" w:hAnsi="Times New Roman"/>
          <w:b/>
          <w:sz w:val="24"/>
        </w:rPr>
        <w:t xml:space="preserve"> </w:t>
      </w:r>
    </w:p>
    <w:p w:rsidR="00A05B45" w:rsidRDefault="00A05B45" w:rsidP="008633C1">
      <w:pPr>
        <w:pStyle w:val="Odstavecseseznamem"/>
        <w:keepNext/>
        <w:keepLines/>
        <w:numPr>
          <w:ilvl w:val="0"/>
          <w:numId w:val="258"/>
        </w:numPr>
        <w:tabs>
          <w:tab w:val="left" w:pos="360"/>
        </w:tabs>
        <w:spacing w:after="120"/>
        <w:ind w:left="426" w:hanging="426"/>
        <w:jc w:val="both"/>
        <w:rPr>
          <w:rFonts w:ascii="Times New Roman" w:hAnsi="Times New Roman"/>
          <w:b/>
          <w:sz w:val="24"/>
        </w:rPr>
      </w:pPr>
      <w:r w:rsidRPr="009F2DD4">
        <w:rPr>
          <w:rFonts w:ascii="Times New Roman" w:hAnsi="Times New Roman"/>
          <w:b/>
          <w:sz w:val="24"/>
        </w:rPr>
        <w:t>Na vyžádání kontrol</w:t>
      </w:r>
      <w:r>
        <w:rPr>
          <w:rFonts w:ascii="Times New Roman" w:hAnsi="Times New Roman"/>
          <w:b/>
          <w:sz w:val="24"/>
        </w:rPr>
        <w:t>ního orgánu</w:t>
      </w:r>
      <w:r w:rsidRPr="009F2DD4">
        <w:rPr>
          <w:rFonts w:ascii="Times New Roman" w:hAnsi="Times New Roman"/>
          <w:b/>
          <w:sz w:val="24"/>
        </w:rPr>
        <w:t xml:space="preserve"> </w:t>
      </w:r>
      <w:r>
        <w:rPr>
          <w:rFonts w:ascii="Times New Roman" w:hAnsi="Times New Roman"/>
          <w:b/>
          <w:sz w:val="24"/>
        </w:rPr>
        <w:t xml:space="preserve">je </w:t>
      </w:r>
      <w:r w:rsidRPr="009F2DD4">
        <w:rPr>
          <w:rFonts w:ascii="Times New Roman" w:hAnsi="Times New Roman"/>
          <w:b/>
          <w:sz w:val="24"/>
        </w:rPr>
        <w:t>zadavatel povinen předložit</w:t>
      </w:r>
      <w:r>
        <w:rPr>
          <w:rFonts w:ascii="Times New Roman" w:hAnsi="Times New Roman"/>
          <w:b/>
          <w:sz w:val="24"/>
        </w:rPr>
        <w:t>:</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relevantní písemné odůvodnění </w:t>
      </w:r>
      <w:r>
        <w:rPr>
          <w:rFonts w:ascii="Times New Roman" w:hAnsi="Times New Roman"/>
          <w:b/>
          <w:sz w:val="24"/>
        </w:rPr>
        <w:t xml:space="preserve">ke </w:t>
      </w:r>
      <w:r w:rsidRPr="009F2DD4">
        <w:rPr>
          <w:rFonts w:ascii="Times New Roman" w:hAnsi="Times New Roman"/>
          <w:b/>
          <w:sz w:val="24"/>
        </w:rPr>
        <w:t>stanovení předpokl</w:t>
      </w:r>
      <w:r>
        <w:rPr>
          <w:rFonts w:ascii="Times New Roman" w:hAnsi="Times New Roman"/>
          <w:b/>
          <w:sz w:val="24"/>
        </w:rPr>
        <w:t>ádané hodnoty veřejné zakázky;</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podrobné odůvodnění hodnocení, ze kterého bude jednoznačně vyplývat, že zásady 3E byly dodrženy</w:t>
      </w:r>
      <w:r>
        <w:rPr>
          <w:rFonts w:ascii="Times New Roman" w:hAnsi="Times New Roman"/>
          <w:b/>
          <w:sz w:val="24"/>
        </w:rPr>
        <w:t>,</w:t>
      </w:r>
      <w:r w:rsidRPr="009F2DD4">
        <w:rPr>
          <w:rFonts w:ascii="Times New Roman" w:hAnsi="Times New Roman"/>
          <w:b/>
          <w:sz w:val="24"/>
        </w:rPr>
        <w:t xml:space="preserve"> pokud ve výběrovém nebo zadávacím řízení nebyla vybrána nabídka s nejnižší nabídkovou cenou (bez ohledu</w:t>
      </w:r>
      <w:r>
        <w:rPr>
          <w:rFonts w:ascii="Times New Roman" w:hAnsi="Times New Roman"/>
          <w:b/>
          <w:sz w:val="24"/>
        </w:rPr>
        <w:t xml:space="preserve"> na stanovený způsob hodnocení);</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podrobné odůvodnění zvoleného způsobu hodnocení z hlediska zásad 3E </w:t>
      </w:r>
      <w:r>
        <w:rPr>
          <w:rFonts w:ascii="Times New Roman" w:hAnsi="Times New Roman"/>
          <w:b/>
          <w:sz w:val="24"/>
        </w:rPr>
        <w:t>u</w:t>
      </w:r>
      <w:r w:rsidRPr="009F2DD4">
        <w:rPr>
          <w:rFonts w:ascii="Times New Roman" w:hAnsi="Times New Roman"/>
          <w:b/>
          <w:sz w:val="24"/>
        </w:rPr>
        <w:t xml:space="preserve"> veřejných zakázek, kde </w:t>
      </w:r>
      <w:r>
        <w:rPr>
          <w:rFonts w:ascii="Times New Roman" w:hAnsi="Times New Roman"/>
          <w:b/>
          <w:sz w:val="24"/>
        </w:rPr>
        <w:t xml:space="preserve">má </w:t>
      </w:r>
      <w:r w:rsidRPr="009F2DD4">
        <w:rPr>
          <w:rFonts w:ascii="Times New Roman" w:hAnsi="Times New Roman"/>
          <w:b/>
          <w:sz w:val="24"/>
        </w:rPr>
        <w:t>dílčí hodnotící kritérium „nabídková cena</w:t>
      </w:r>
      <w:r>
        <w:rPr>
          <w:rFonts w:ascii="Times New Roman" w:hAnsi="Times New Roman"/>
          <w:b/>
          <w:sz w:val="24"/>
        </w:rPr>
        <w:t>“ menší váhu než 70 %;</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o</w:t>
      </w:r>
      <w:r w:rsidRPr="009F2DD4">
        <w:rPr>
          <w:rFonts w:ascii="Times New Roman" w:hAnsi="Times New Roman"/>
          <w:b/>
          <w:sz w:val="24"/>
        </w:rPr>
        <w:t>bdobné odůvodnění</w:t>
      </w:r>
      <w:r>
        <w:rPr>
          <w:rFonts w:ascii="Times New Roman" w:hAnsi="Times New Roman"/>
          <w:b/>
          <w:sz w:val="24"/>
        </w:rPr>
        <w:t xml:space="preserve"> jako v předchozí odrážce, pokud </w:t>
      </w:r>
      <w:r w:rsidRPr="009F2DD4">
        <w:rPr>
          <w:rFonts w:ascii="Times New Roman" w:hAnsi="Times New Roman"/>
          <w:b/>
          <w:sz w:val="24"/>
        </w:rPr>
        <w:t>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b/>
          <w:sz w:val="24"/>
        </w:rPr>
        <w:t>;</w:t>
      </w:r>
    </w:p>
    <w:p w:rsidR="00A05B45" w:rsidRDefault="00A05B45" w:rsidP="008633C1">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dokumentaci ke kontrole výběrového nebo zadávacího řízení před uzavřením smlouvy</w:t>
      </w:r>
      <w:r w:rsidRPr="009F2DD4">
        <w:rPr>
          <w:rFonts w:ascii="Times New Roman" w:hAnsi="Times New Roman"/>
          <w:b/>
          <w:sz w:val="24"/>
        </w:rPr>
        <w:t>.</w:t>
      </w:r>
    </w:p>
    <w:p w:rsidR="00A05B45" w:rsidRPr="00795FA3" w:rsidRDefault="00A806A8" w:rsidP="008633C1">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00A05B45" w:rsidRPr="00795FA3">
        <w:rPr>
          <w:rFonts w:ascii="Times New Roman" w:hAnsi="Times New Roman"/>
          <w:b/>
          <w:sz w:val="24"/>
          <w:szCs w:val="24"/>
        </w:rPr>
        <w:t>e</w:t>
      </w:r>
      <w:r w:rsidR="001831D2">
        <w:rPr>
          <w:rFonts w:ascii="Times New Roman" w:hAnsi="Times New Roman"/>
          <w:b/>
          <w:sz w:val="24"/>
          <w:szCs w:val="24"/>
        </w:rPr>
        <w:t xml:space="preserve"> </w:t>
      </w:r>
      <w:r w:rsidR="00A05B45" w:rsidRPr="00795FA3">
        <w:rPr>
          <w:rFonts w:ascii="Times New Roman" w:hAnsi="Times New Roman"/>
          <w:b/>
          <w:sz w:val="24"/>
          <w:szCs w:val="24"/>
        </w:rPr>
        <w:t>každému dodatku ke smlouvě vytvoři</w:t>
      </w:r>
      <w:r>
        <w:rPr>
          <w:rFonts w:ascii="Times New Roman" w:hAnsi="Times New Roman"/>
          <w:b/>
          <w:sz w:val="24"/>
          <w:szCs w:val="24"/>
        </w:rPr>
        <w:t>l</w:t>
      </w:r>
      <w:r w:rsidR="00A05B45">
        <w:rPr>
          <w:rFonts w:ascii="Times New Roman" w:hAnsi="Times New Roman"/>
          <w:b/>
          <w:sz w:val="24"/>
          <w:szCs w:val="24"/>
        </w:rPr>
        <w:t xml:space="preserve"> objektivní</w:t>
      </w:r>
      <w:r w:rsidR="00A05B45" w:rsidRPr="00795FA3">
        <w:rPr>
          <w:rFonts w:ascii="Times New Roman" w:hAnsi="Times New Roman"/>
          <w:b/>
          <w:sz w:val="24"/>
          <w:szCs w:val="24"/>
        </w:rPr>
        <w:t xml:space="preserve"> odůvodnění </w:t>
      </w:r>
      <w:r w:rsidR="00A05B45">
        <w:rPr>
          <w:rFonts w:ascii="Times New Roman" w:hAnsi="Times New Roman"/>
          <w:b/>
          <w:sz w:val="24"/>
          <w:szCs w:val="24"/>
        </w:rPr>
        <w:t xml:space="preserve">nutnosti uzavřít předmětný dodatek </w:t>
      </w:r>
      <w:r w:rsidR="00A05B45" w:rsidRPr="00795FA3">
        <w:rPr>
          <w:rFonts w:ascii="Times New Roman" w:hAnsi="Times New Roman"/>
          <w:b/>
          <w:sz w:val="24"/>
          <w:szCs w:val="24"/>
        </w:rPr>
        <w:t>s přesným odkazem na ustanovení právního předpisu, který umožňuje</w:t>
      </w:r>
      <w:r w:rsidR="00A05B45">
        <w:rPr>
          <w:rFonts w:ascii="Times New Roman" w:hAnsi="Times New Roman"/>
          <w:b/>
          <w:sz w:val="24"/>
          <w:szCs w:val="24"/>
        </w:rPr>
        <w:t xml:space="preserve"> takový</w:t>
      </w:r>
      <w:r w:rsidR="00A05B45" w:rsidRPr="00795FA3">
        <w:rPr>
          <w:rFonts w:ascii="Times New Roman" w:hAnsi="Times New Roman"/>
          <w:b/>
          <w:sz w:val="24"/>
          <w:szCs w:val="24"/>
        </w:rPr>
        <w:t xml:space="preserve"> </w:t>
      </w:r>
      <w:r w:rsidR="00A05B45">
        <w:rPr>
          <w:rFonts w:ascii="Times New Roman" w:hAnsi="Times New Roman"/>
          <w:b/>
          <w:sz w:val="24"/>
          <w:szCs w:val="24"/>
        </w:rPr>
        <w:t>dodatek uzavřít.</w:t>
      </w:r>
    </w:p>
    <w:p w:rsidR="00C703D5" w:rsidRDefault="00C703D5" w:rsidP="00C703D5">
      <w:pPr>
        <w:keepNext/>
        <w:keepLines/>
        <w:tabs>
          <w:tab w:val="left" w:pos="360"/>
        </w:tabs>
        <w:spacing w:after="120"/>
        <w:rPr>
          <w:rFonts w:ascii="Times New Roman" w:hAnsi="Times New Roman"/>
          <w:b/>
          <w:sz w:val="24"/>
          <w:szCs w:val="24"/>
        </w:rPr>
      </w:pPr>
    </w:p>
    <w:p w:rsidR="00A05B45" w:rsidRDefault="00A05B45" w:rsidP="00FB3B5E">
      <w:pPr>
        <w:pStyle w:val="Odstavecseseznamem"/>
        <w:keepNext/>
        <w:keepLines/>
        <w:numPr>
          <w:ilvl w:val="0"/>
          <w:numId w:val="260"/>
        </w:numPr>
        <w:tabs>
          <w:tab w:val="left" w:pos="360"/>
        </w:tabs>
        <w:spacing w:before="240" w:after="120" w:line="240" w:lineRule="auto"/>
        <w:ind w:left="426" w:hanging="426"/>
        <w:jc w:val="both"/>
        <w:rPr>
          <w:rFonts w:ascii="Times New Roman" w:hAnsi="Times New Roman"/>
          <w:b/>
          <w:snapToGrid w:val="0"/>
          <w:sz w:val="24"/>
          <w:szCs w:val="24"/>
        </w:rPr>
      </w:pPr>
      <w:r w:rsidRPr="004913DA">
        <w:rPr>
          <w:rFonts w:ascii="Times New Roman" w:hAnsi="Times New Roman"/>
          <w:b/>
          <w:snapToGrid w:val="0"/>
          <w:sz w:val="24"/>
          <w:szCs w:val="24"/>
          <w:u w:val="single"/>
        </w:rPr>
        <w:t>Postup pro zadávání veřejných zakázek dle zákona č. 137/2006 Sb., o veřejných zakázkách</w:t>
      </w:r>
      <w:r w:rsidRPr="004913DA">
        <w:rPr>
          <w:rFonts w:ascii="Times New Roman" w:hAnsi="Times New Roman"/>
          <w:b/>
          <w:snapToGrid w:val="0"/>
          <w:sz w:val="24"/>
          <w:szCs w:val="24"/>
        </w:rPr>
        <w:t>:</w:t>
      </w:r>
    </w:p>
    <w:p w:rsidR="00A05B45" w:rsidRPr="0048085A" w:rsidRDefault="00A05B45" w:rsidP="00FB3B5E">
      <w:pPr>
        <w:keepNext/>
        <w:keepLines/>
        <w:tabs>
          <w:tab w:val="left" w:pos="360"/>
        </w:tabs>
        <w:spacing w:after="120"/>
        <w:rPr>
          <w:noProof/>
        </w:rPr>
      </w:pPr>
      <w:r>
        <w:rPr>
          <w:rFonts w:ascii="Times New Roman" w:hAnsi="Times New Roman" w:cs="Times New Roman"/>
          <w:b/>
          <w:snapToGrid w:val="0"/>
          <w:sz w:val="24"/>
          <w:szCs w:val="24"/>
        </w:rPr>
        <w:t xml:space="preserve">Je-li </w:t>
      </w:r>
      <w:r w:rsidR="00724180">
        <w:rPr>
          <w:rFonts w:ascii="Times New Roman" w:hAnsi="Times New Roman" w:cs="Times New Roman"/>
          <w:b/>
          <w:snapToGrid w:val="0"/>
          <w:sz w:val="24"/>
          <w:szCs w:val="24"/>
        </w:rPr>
        <w:t>žadatel/</w:t>
      </w:r>
      <w:r>
        <w:rPr>
          <w:rFonts w:ascii="Times New Roman" w:hAnsi="Times New Roman" w:cs="Times New Roman"/>
          <w:b/>
          <w:snapToGrid w:val="0"/>
          <w:sz w:val="24"/>
          <w:szCs w:val="24"/>
        </w:rPr>
        <w:t>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příjemce uskutečněné bez písemné smlouvy nejsou způsobilé, s výjimkou případů, kdy takové písemné ujednání uzavřít nelze. </w:t>
      </w: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sidR="00A05B45" w:rsidRPr="009B6532">
        <w:rPr>
          <w:rFonts w:ascii="Times New Roman" w:hAnsi="Times New Roman" w:cs="Times New Roman"/>
          <w:noProof/>
          <w:sz w:val="24"/>
          <w:szCs w:val="24"/>
        </w:rPr>
        <w:t>příjemce byl schopen splnit svoji povinnost prokázat způsobilé výdaje.</w:t>
      </w:r>
    </w:p>
    <w:p w:rsidR="00A05B45" w:rsidRPr="009B6532" w:rsidRDefault="00A05B45"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w:t>
      </w:r>
      <w:r w:rsidRPr="009B6532">
        <w:rPr>
          <w:rFonts w:ascii="Times New Roman" w:hAnsi="Times New Roman" w:cs="Times New Roman"/>
          <w:noProof/>
          <w:sz w:val="24"/>
          <w:szCs w:val="24"/>
        </w:rPr>
        <w:t xml:space="preserv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A05B45" w:rsidRPr="009B6532"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A05B45"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w:t>
      </w:r>
      <w:r w:rsidR="00724180">
        <w:rPr>
          <w:rFonts w:ascii="Times New Roman" w:hAnsi="Times New Roman" w:cs="Times New Roman"/>
          <w:b/>
          <w:noProof/>
          <w:sz w:val="24"/>
          <w:szCs w:val="24"/>
        </w:rPr>
        <w:t xml:space="preserve"> </w:t>
      </w:r>
      <w:r w:rsidR="00724180" w:rsidRPr="009B6532">
        <w:rPr>
          <w:rFonts w:ascii="Times New Roman" w:hAnsi="Times New Roman" w:cs="Times New Roman"/>
          <w:b/>
          <w:noProof/>
          <w:sz w:val="24"/>
          <w:szCs w:val="24"/>
        </w:rPr>
        <w:t>a toto zadávací řízení bude zahájeno po vyhlášení výzvy k předkládání projektů</w:t>
      </w:r>
      <w:r w:rsidR="00724180">
        <w:rPr>
          <w:rFonts w:ascii="Times New Roman" w:hAnsi="Times New Roman" w:cs="Times New Roman"/>
          <w:b/>
          <w:noProof/>
          <w:sz w:val="24"/>
          <w:szCs w:val="24"/>
        </w:rPr>
        <w:t>,</w:t>
      </w:r>
      <w:r w:rsidR="00724180" w:rsidRPr="009B6532">
        <w:rPr>
          <w:rFonts w:ascii="Times New Roman" w:hAnsi="Times New Roman" w:cs="Times New Roman"/>
          <w:b/>
          <w:noProof/>
          <w:sz w:val="24"/>
          <w:szCs w:val="24"/>
        </w:rPr>
        <w:t xml:space="preserve"> žadatel</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sidR="00F46A2F">
        <w:rPr>
          <w:rFonts w:ascii="Times New Roman" w:hAnsi="Times New Roman" w:cs="Times New Roman"/>
          <w:b/>
          <w:noProof/>
          <w:sz w:val="24"/>
          <w:szCs w:val="24"/>
        </w:rPr>
        <w:t>ČR</w:t>
      </w:r>
      <w:r w:rsidR="001D15D8"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10 pracovních dní před zveřejněním </w:t>
      </w:r>
      <w:r w:rsidR="004906FE">
        <w:rPr>
          <w:rFonts w:ascii="Times New Roman" w:hAnsi="Times New Roman" w:cs="Times New Roman"/>
          <w:b/>
          <w:noProof/>
          <w:sz w:val="24"/>
          <w:szCs w:val="24"/>
        </w:rPr>
        <w:t>zadávacího řízení</w:t>
      </w:r>
      <w:r w:rsidR="004906FE"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724180" w:rsidRPr="009B6532" w:rsidRDefault="00724180"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povinnost</w:t>
      </w:r>
      <w:r w:rsidR="00E45B4E">
        <w:rPr>
          <w:rFonts w:ascii="Times New Roman" w:hAnsi="Times New Roman" w:cs="Times New Roman"/>
          <w:b/>
          <w:noProof/>
          <w:sz w:val="24"/>
          <w:szCs w:val="24"/>
        </w:rPr>
        <w:t>i uvedené v předcházejícím odstavci</w:t>
      </w:r>
      <w:r w:rsidRPr="009B6532">
        <w:rPr>
          <w:rFonts w:ascii="Times New Roman" w:hAnsi="Times New Roman" w:cs="Times New Roman"/>
          <w:b/>
          <w:noProof/>
          <w:sz w:val="24"/>
          <w:szCs w:val="24"/>
        </w:rPr>
        <w:t xml:space="preserve"> neplatí.</w:t>
      </w:r>
    </w:p>
    <w:p w:rsidR="00FB3B5E" w:rsidRDefault="00A05B45" w:rsidP="00FB3B5E">
      <w:pPr>
        <w:rPr>
          <w:rFonts w:ascii="Times New Roman" w:hAnsi="Times New Roman" w:cs="Times New Roman"/>
          <w:noProof/>
          <w:sz w:val="24"/>
        </w:rPr>
      </w:pPr>
      <w:r w:rsidRPr="00FB3B5E">
        <w:rPr>
          <w:rFonts w:ascii="Times New Roman" w:hAnsi="Times New Roman" w:cs="Times New Roman"/>
          <w:noProof/>
          <w:sz w:val="24"/>
        </w:rPr>
        <w:t xml:space="preserve">Zadavatel je povinen informovat CRR </w:t>
      </w:r>
      <w:r w:rsidR="00F46A2F" w:rsidRPr="00FB3B5E">
        <w:rPr>
          <w:rFonts w:ascii="Times New Roman" w:hAnsi="Times New Roman" w:cs="Times New Roman"/>
          <w:noProof/>
          <w:sz w:val="24"/>
        </w:rPr>
        <w:t>ČR</w:t>
      </w:r>
      <w:r w:rsidRPr="00FB3B5E">
        <w:rPr>
          <w:rFonts w:ascii="Times New Roman" w:hAnsi="Times New Roman" w:cs="Times New Roman"/>
          <w:noProof/>
          <w:sz w:val="24"/>
        </w:rPr>
        <w:t xml:space="preserve"> o změnách, které nastaly v průběhu zadávacího řízení nebo realizace zakázky prostřednictvím hlášení o pokroku, resp. monitorovací zprávy.</w:t>
      </w:r>
    </w:p>
    <w:p w:rsidR="00FB3B5E" w:rsidRDefault="00A05B45" w:rsidP="00FB3B5E">
      <w:pPr>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w:t>
      </w:r>
      <w:r w:rsidR="008D75B3">
        <w:rPr>
          <w:rFonts w:ascii="Times New Roman" w:hAnsi="Times New Roman" w:cs="Times New Roman"/>
          <w:noProof/>
          <w:sz w:val="24"/>
          <w:szCs w:val="24"/>
        </w:rPr>
        <w:t>Řídi</w:t>
      </w:r>
      <w:r w:rsidR="001D15D8" w:rsidRPr="009B6532">
        <w:rPr>
          <w:rFonts w:ascii="Times New Roman" w:hAnsi="Times New Roman" w:cs="Times New Roman"/>
          <w:noProof/>
          <w:sz w:val="24"/>
          <w:szCs w:val="24"/>
        </w:rPr>
        <w:t>cího</w:t>
      </w:r>
      <w:r w:rsidRPr="009B6532">
        <w:rPr>
          <w:rFonts w:ascii="Times New Roman" w:hAnsi="Times New Roman" w:cs="Times New Roman"/>
          <w:noProof/>
          <w:sz w:val="24"/>
          <w:szCs w:val="24"/>
        </w:rPr>
        <w:t xml:space="preserve"> orgánu IOP ve znění: „Šance pro Váš rozvoj“; blíže viz </w:t>
      </w:r>
      <w:r w:rsidR="005E4CD4">
        <w:rPr>
          <w:rFonts w:ascii="Times New Roman" w:hAnsi="Times New Roman" w:cs="Times New Roman"/>
          <w:noProof/>
          <w:sz w:val="24"/>
          <w:szCs w:val="24"/>
        </w:rPr>
        <w:t xml:space="preserve">příloha č. </w:t>
      </w:r>
      <w:r w:rsidR="00B83EEC">
        <w:rPr>
          <w:rFonts w:ascii="Times New Roman" w:hAnsi="Times New Roman" w:cs="Times New Roman"/>
          <w:noProof/>
          <w:sz w:val="24"/>
          <w:szCs w:val="24"/>
        </w:rPr>
        <w:t>8</w:t>
      </w:r>
      <w:r w:rsidRPr="009B6532">
        <w:rPr>
          <w:rFonts w:ascii="Times New Roman" w:hAnsi="Times New Roman" w:cs="Times New Roman"/>
          <w:noProof/>
          <w:sz w:val="24"/>
          <w:szCs w:val="24"/>
        </w:rPr>
        <w:t xml:space="preserve"> Příručky. </w:t>
      </w:r>
    </w:p>
    <w:p w:rsidR="00FB3B5E" w:rsidRDefault="00724180" w:rsidP="00FB3B5E">
      <w:pPr>
        <w:rPr>
          <w:rFonts w:ascii="Times New Roman" w:hAnsi="Times New Roman" w:cs="Times New Roman"/>
          <w:noProof/>
          <w:sz w:val="24"/>
        </w:rPr>
      </w:pPr>
      <w:r w:rsidRPr="009B6532">
        <w:rPr>
          <w:rFonts w:ascii="Times New Roman" w:hAnsi="Times New Roman" w:cs="Times New Roman"/>
          <w:b/>
          <w:noProof/>
          <w:sz w:val="24"/>
          <w:szCs w:val="24"/>
          <w:u w:val="single"/>
        </w:rPr>
        <w:t>Toto ustanovení se vztahuje na</w:t>
      </w:r>
      <w:r w:rsidR="00FB3B5E">
        <w:rPr>
          <w:rFonts w:ascii="Times New Roman" w:hAnsi="Times New Roman" w:cs="Times New Roman"/>
          <w:b/>
          <w:noProof/>
          <w:sz w:val="24"/>
          <w:szCs w:val="24"/>
          <w:u w:val="single"/>
        </w:rPr>
        <w:t xml:space="preserve"> </w:t>
      </w:r>
      <w:r w:rsidR="00FB3B5E" w:rsidRPr="009B6532">
        <w:rPr>
          <w:rFonts w:ascii="Times New Roman" w:hAnsi="Times New Roman" w:cs="Times New Roman"/>
          <w:b/>
          <w:noProof/>
          <w:sz w:val="24"/>
          <w:szCs w:val="24"/>
          <w:u w:val="single"/>
        </w:rPr>
        <w:t>dokumenty k </w:t>
      </w:r>
      <w:r w:rsidR="00FB3B5E">
        <w:rPr>
          <w:rFonts w:ascii="Times New Roman" w:hAnsi="Times New Roman" w:cs="Times New Roman"/>
          <w:b/>
          <w:noProof/>
          <w:sz w:val="24"/>
          <w:szCs w:val="24"/>
          <w:u w:val="single"/>
        </w:rPr>
        <w:t>zadávacím</w:t>
      </w:r>
      <w:r w:rsidR="00FB3B5E" w:rsidRPr="009B6532">
        <w:rPr>
          <w:rFonts w:ascii="Times New Roman" w:hAnsi="Times New Roman" w:cs="Times New Roman"/>
          <w:b/>
          <w:noProof/>
          <w:sz w:val="24"/>
          <w:szCs w:val="24"/>
          <w:u w:val="single"/>
        </w:rPr>
        <w:t xml:space="preserve"> řízením zahájeným až po </w:t>
      </w:r>
      <w:r w:rsidR="00FB3B5E">
        <w:rPr>
          <w:rFonts w:ascii="Times New Roman" w:hAnsi="Times New Roman" w:cs="Times New Roman"/>
          <w:b/>
          <w:noProof/>
          <w:sz w:val="24"/>
          <w:szCs w:val="24"/>
          <w:u w:val="single"/>
        </w:rPr>
        <w:t>schválení</w:t>
      </w:r>
      <w:r w:rsidR="00FB3B5E" w:rsidRPr="009B6532">
        <w:rPr>
          <w:rFonts w:ascii="Times New Roman" w:hAnsi="Times New Roman" w:cs="Times New Roman"/>
          <w:b/>
          <w:noProof/>
          <w:sz w:val="24"/>
          <w:szCs w:val="24"/>
          <w:u w:val="single"/>
        </w:rPr>
        <w:t xml:space="preserve"> </w:t>
      </w:r>
      <w:r w:rsidR="00FB3B5E">
        <w:rPr>
          <w:rFonts w:ascii="Times New Roman" w:hAnsi="Times New Roman" w:cs="Times New Roman"/>
          <w:b/>
          <w:noProof/>
          <w:sz w:val="24"/>
          <w:szCs w:val="24"/>
          <w:u w:val="single"/>
        </w:rPr>
        <w:t>Stanovení výdajů</w:t>
      </w:r>
      <w:r w:rsidR="00FB3B5E" w:rsidRPr="009B6532">
        <w:rPr>
          <w:rFonts w:ascii="Times New Roman" w:hAnsi="Times New Roman" w:cs="Times New Roman"/>
          <w:b/>
          <w:noProof/>
          <w:sz w:val="24"/>
          <w:szCs w:val="24"/>
          <w:u w:val="single"/>
        </w:rPr>
        <w:t xml:space="preserve"> (tedy od momentu, kdy se z</w:t>
      </w:r>
      <w:r w:rsidR="00FB3B5E">
        <w:rPr>
          <w:rFonts w:ascii="Times New Roman" w:hAnsi="Times New Roman" w:cs="Times New Roman"/>
          <w:b/>
          <w:noProof/>
          <w:sz w:val="24"/>
          <w:szCs w:val="24"/>
          <w:u w:val="single"/>
        </w:rPr>
        <w:t>e</w:t>
      </w:r>
      <w:r w:rsidR="00FB3B5E" w:rsidRPr="009B6532">
        <w:rPr>
          <w:rFonts w:ascii="Times New Roman" w:hAnsi="Times New Roman" w:cs="Times New Roman"/>
          <w:b/>
          <w:noProof/>
          <w:sz w:val="24"/>
          <w:szCs w:val="24"/>
          <w:u w:val="single"/>
        </w:rPr>
        <w:t> žadatele stává příjemce).</w:t>
      </w:r>
    </w:p>
    <w:p w:rsidR="00FB3B5E" w:rsidRDefault="00A05B45" w:rsidP="00FB3B5E">
      <w:pPr>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FB3B5E" w:rsidRDefault="00A05B45"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 xml:space="preserve">formát, obsah předběžného oznámení, způsob uveřejnění předběžného oznámení nebo výzvy z hlediska zákona o veřejných zakázkách, </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zvolený druh zadávacího řízení d</w:t>
      </w:r>
      <w:r>
        <w:rPr>
          <w:rFonts w:ascii="Times New Roman" w:hAnsi="Times New Roman"/>
          <w:snapToGrid w:val="0"/>
          <w:sz w:val="24"/>
          <w:szCs w:val="24"/>
        </w:rPr>
        <w:t>le zákona o veřejných zakázkách,</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odůvodnění veřejné zakázky dle § 156 zákona o veřejných zakázkách,</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zadávací dokumentace,</w:t>
      </w:r>
    </w:p>
    <w:p w:rsidR="00FB3B5E" w:rsidRDefault="00FB3B5E" w:rsidP="00FB3B5E">
      <w:pPr>
        <w:pStyle w:val="Odstavecseseznamem"/>
        <w:numPr>
          <w:ilvl w:val="0"/>
          <w:numId w:val="302"/>
        </w:numPr>
        <w:rPr>
          <w:rFonts w:ascii="Times New Roman" w:hAnsi="Times New Roman"/>
          <w:snapToGrid w:val="0"/>
          <w:sz w:val="24"/>
          <w:szCs w:val="24"/>
        </w:rPr>
      </w:pPr>
      <w:r w:rsidRPr="00FB3B5E">
        <w:rPr>
          <w:rFonts w:ascii="Times New Roman" w:hAnsi="Times New Roman"/>
          <w:snapToGrid w:val="0"/>
          <w:sz w:val="24"/>
          <w:szCs w:val="24"/>
        </w:rPr>
        <w:t>technická specifikace předmětu plnění zadávací dokumentace  z hlediska zákazu uvádění konkrétních výrobků a výrobců apod.</w:t>
      </w:r>
    </w:p>
    <w:p w:rsidR="00FB3B5E" w:rsidRPr="00FB3B5E" w:rsidRDefault="00FB3B5E" w:rsidP="00CF3A89">
      <w:pPr>
        <w:pStyle w:val="Odstavecseseznamem"/>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ind w:left="0"/>
        <w:jc w:val="both"/>
        <w:rPr>
          <w:rFonts w:ascii="Times New Roman" w:hAnsi="Times New Roman"/>
          <w:b/>
          <w:snapToGrid w:val="0"/>
          <w:sz w:val="24"/>
          <w:szCs w:val="24"/>
        </w:rPr>
      </w:pPr>
      <w:r w:rsidRPr="00FB3B5E">
        <w:rPr>
          <w:rFonts w:ascii="Times New Roman" w:hAnsi="Times New Roman"/>
          <w:b/>
          <w:snapToGrid w:val="0"/>
          <w:sz w:val="24"/>
          <w:szCs w:val="24"/>
        </w:rPr>
        <w:lastRenderedPageBreak/>
        <w:t>Upozornění: Zadavatel je povinen předložit CRR ČR ke kontrole veškerou pořízenou dokumentaci k průběhu zadání veřejné zakázky před rozhodnutím zadavatele o výběru nejvhodnější nabídky podle § 81 odst. 1 zákona o veřejných zakázkách.</w:t>
      </w:r>
    </w:p>
    <w:p w:rsidR="00FB3B5E" w:rsidRDefault="00FB3B5E" w:rsidP="00FB3B5E">
      <w:pPr>
        <w:keepNext/>
        <w:keepLines/>
        <w:tabs>
          <w:tab w:val="left" w:pos="0"/>
        </w:tabs>
        <w:overflowPunct w:val="0"/>
        <w:autoSpaceDE w:val="0"/>
        <w:autoSpaceDN w:val="0"/>
        <w:adjustRightInd w:val="0"/>
        <w:spacing w:after="120"/>
        <w:textAlignment w:val="baseline"/>
        <w:rPr>
          <w:rFonts w:ascii="Times New Roman" w:hAnsi="Times New Roman" w:cs="Times New Roman"/>
          <w:b/>
          <w:sz w:val="24"/>
          <w:szCs w:val="24"/>
        </w:rPr>
      </w:pPr>
    </w:p>
    <w:p w:rsidR="00FB3B5E" w:rsidRPr="000A0DF6" w:rsidRDefault="00FB3B5E" w:rsidP="00FB3B5E">
      <w:pPr>
        <w:keepNext/>
        <w:keepLines/>
        <w:tabs>
          <w:tab w:val="left" w:pos="0"/>
        </w:tab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Pr>
          <w:rFonts w:ascii="Times New Roman" w:hAnsi="Times New Roman" w:cs="Times New Roman"/>
          <w:snapToGrid w:val="0"/>
          <w:sz w:val="24"/>
          <w:szCs w:val="24"/>
        </w:rPr>
        <w:t>,</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E45B4E" w:rsidRPr="000A0DF6" w:rsidRDefault="00E45B4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zápis z jednání komise,</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B3B5E" w:rsidRPr="000A0DF6"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B3B5E" w:rsidRDefault="00FB3B5E"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A05B45" w:rsidRPr="00FB3B5E" w:rsidRDefault="00A05B45"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FB3B5E">
        <w:rPr>
          <w:rFonts w:ascii="Times New Roman" w:hAnsi="Times New Roman" w:cs="Times New Roman"/>
          <w:snapToGrid w:val="0"/>
          <w:sz w:val="24"/>
          <w:szCs w:val="24"/>
        </w:rPr>
        <w:t>vítězná nabídka za účelem kontroly uzavřené smlouvy s dodavatelem,</w:t>
      </w:r>
    </w:p>
    <w:p w:rsidR="00A05B45" w:rsidRPr="000A0DF6" w:rsidRDefault="00A05B45" w:rsidP="00FB3B5E">
      <w:pPr>
        <w:pStyle w:val="Textpoznpodarou"/>
        <w:keepNext/>
        <w:keepLines/>
        <w:numPr>
          <w:ilvl w:val="0"/>
          <w:numId w:val="38"/>
        </w:numPr>
        <w:tabs>
          <w:tab w:val="clear" w:pos="1068"/>
          <w:tab w:val="num" w:pos="1210"/>
        </w:tabs>
        <w:spacing w:before="60"/>
        <w:ind w:left="1210"/>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A05B45" w:rsidRPr="000A0DF6" w:rsidRDefault="00A05B45" w:rsidP="00FB3B5E">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r w:rsidR="00E45B4E">
        <w:rPr>
          <w:rFonts w:ascii="Times New Roman" w:hAnsi="Times New Roman" w:cs="Times New Roman"/>
          <w:b/>
          <w:sz w:val="24"/>
          <w:szCs w:val="24"/>
        </w:rPr>
        <w:t xml:space="preserve"> </w:t>
      </w:r>
    </w:p>
    <w:p w:rsidR="00AD5895" w:rsidRDefault="00AD5895" w:rsidP="00FB3B5E">
      <w:pPr>
        <w:keepNext/>
        <w:keepLines/>
        <w:spacing w:before="240" w:after="120"/>
        <w:rPr>
          <w:rFonts w:ascii="Times New Roman" w:hAnsi="Times New Roman" w:cs="Times New Roman"/>
          <w:b/>
          <w:sz w:val="24"/>
          <w:szCs w:val="24"/>
          <w:u w:val="single"/>
        </w:rPr>
      </w:pPr>
    </w:p>
    <w:p w:rsidR="00A05B45" w:rsidRPr="000A0DF6" w:rsidRDefault="00A05B45" w:rsidP="00FB3B5E">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A05B45" w:rsidRDefault="00A05B45" w:rsidP="00FB3B5E">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FB3B5E" w:rsidRDefault="00FB3B5E" w:rsidP="00FB3B5E">
      <w:pPr>
        <w:keepNext/>
        <w:keepLines/>
        <w:spacing w:before="0" w:after="120"/>
        <w:rPr>
          <w:rFonts w:ascii="Times New Roman" w:hAnsi="Times New Roman" w:cs="Times New Roman"/>
          <w:sz w:val="24"/>
          <w:szCs w:val="24"/>
        </w:rPr>
      </w:pPr>
    </w:p>
    <w:p w:rsidR="00FB3B5E" w:rsidRDefault="00FB3B5E" w:rsidP="00FB3B5E">
      <w:pPr>
        <w:keepNext/>
        <w:keepLines/>
        <w:spacing w:before="0" w:after="120"/>
        <w:rPr>
          <w:rFonts w:ascii="Times New Roman" w:hAnsi="Times New Roman" w:cs="Times New Roman"/>
          <w:sz w:val="24"/>
          <w:szCs w:val="24"/>
        </w:rPr>
      </w:pPr>
    </w:p>
    <w:p w:rsidR="00A05B45" w:rsidRPr="000A0DF6" w:rsidRDefault="00A05B45" w:rsidP="00FB3B5E">
      <w:pPr>
        <w:pStyle w:val="Odstavecseseznamem"/>
        <w:keepNext/>
        <w:keepLines/>
        <w:numPr>
          <w:ilvl w:val="0"/>
          <w:numId w:val="260"/>
        </w:numPr>
        <w:tabs>
          <w:tab w:val="left" w:pos="360"/>
        </w:tabs>
        <w:spacing w:before="240" w:after="120" w:line="240" w:lineRule="auto"/>
        <w:ind w:left="426" w:hanging="426"/>
        <w:jc w:val="both"/>
        <w:rPr>
          <w:rFonts w:ascii="Times New Roman" w:hAnsi="Times New Roman"/>
          <w:b/>
          <w:noProof/>
          <w:snapToGrid w:val="0"/>
          <w:sz w:val="24"/>
          <w:szCs w:val="24"/>
          <w:u w:val="single"/>
        </w:rPr>
      </w:pPr>
      <w:r w:rsidRPr="000A0DF6">
        <w:rPr>
          <w:rFonts w:ascii="Times New Roman" w:hAnsi="Times New Roman"/>
          <w:b/>
          <w:noProof/>
          <w:snapToGrid w:val="0"/>
          <w:sz w:val="24"/>
          <w:szCs w:val="24"/>
          <w:u w:val="single"/>
        </w:rPr>
        <w:lastRenderedPageBreak/>
        <w:t xml:space="preserve">Postup pro zadávání veřejných zakázek, které nespadají do režimu zákona </w:t>
      </w:r>
      <w:r w:rsidR="00A41628">
        <w:rPr>
          <w:rFonts w:ascii="Times New Roman" w:hAnsi="Times New Roman"/>
          <w:b/>
          <w:noProof/>
          <w:snapToGrid w:val="0"/>
          <w:sz w:val="24"/>
          <w:szCs w:val="24"/>
          <w:u w:val="single"/>
        </w:rPr>
        <w:br/>
      </w:r>
      <w:r w:rsidRPr="000A0DF6">
        <w:rPr>
          <w:rFonts w:ascii="Times New Roman" w:hAnsi="Times New Roman"/>
          <w:b/>
          <w:noProof/>
          <w:snapToGrid w:val="0"/>
          <w:sz w:val="24"/>
          <w:szCs w:val="24"/>
          <w:u w:val="single"/>
        </w:rPr>
        <w:t>č. 137/2006 Sb., o veřejných zakázkách:</w:t>
      </w:r>
    </w:p>
    <w:p w:rsidR="00A05B45" w:rsidRDefault="00724180" w:rsidP="00FB3B5E">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00A05B45" w:rsidRPr="000A0DF6">
        <w:rPr>
          <w:rFonts w:ascii="Times New Roman" w:hAnsi="Times New Roman" w:cs="Times New Roman"/>
          <w:b/>
          <w:sz w:val="24"/>
          <w:szCs w:val="24"/>
        </w:rPr>
        <w:t>říjemci, kteří nejsou zadavateli veřejných zakázek podle zákona č. 137/2006 Sb., jsou povinni při výběru dodavatele pro realizaci projektu postupovat v souladu se Závaznými postupy pro zadávání zakázek spolufinancovaných ze zdrojů EU, n</w:t>
      </w:r>
      <w:r w:rsidR="00A05B45" w:rsidRPr="00886393">
        <w:rPr>
          <w:rFonts w:ascii="Times New Roman" w:hAnsi="Times New Roman" w:cs="Times New Roman"/>
          <w:b/>
          <w:sz w:val="24"/>
          <w:szCs w:val="24"/>
        </w:rPr>
        <w:t xml:space="preserve">espadajících pod aplikaci zákona č. 137/2006 </w:t>
      </w:r>
      <w:r w:rsidR="00D3480E">
        <w:rPr>
          <w:rFonts w:ascii="Times New Roman" w:hAnsi="Times New Roman" w:cs="Times New Roman"/>
          <w:b/>
          <w:sz w:val="24"/>
          <w:szCs w:val="24"/>
        </w:rPr>
        <w:t>S</w:t>
      </w:r>
      <w:r w:rsidR="001D15D8" w:rsidRPr="00886393">
        <w:rPr>
          <w:rFonts w:ascii="Times New Roman" w:hAnsi="Times New Roman" w:cs="Times New Roman"/>
          <w:b/>
          <w:sz w:val="24"/>
          <w:szCs w:val="24"/>
        </w:rPr>
        <w:t>b</w:t>
      </w:r>
      <w:r w:rsidR="00A05B45" w:rsidRPr="00886393">
        <w:rPr>
          <w:rFonts w:ascii="Times New Roman" w:hAnsi="Times New Roman" w:cs="Times New Roman"/>
          <w:b/>
          <w:sz w:val="24"/>
          <w:szCs w:val="24"/>
        </w:rPr>
        <w:t>., o veřejných zakázkách, v programovém období 2007</w:t>
      </w:r>
      <w:r w:rsidR="00D3480E">
        <w:rPr>
          <w:rFonts w:ascii="Times New Roman" w:hAnsi="Times New Roman" w:cs="Times New Roman"/>
          <w:b/>
          <w:sz w:val="24"/>
          <w:szCs w:val="24"/>
        </w:rPr>
        <w:t>–</w:t>
      </w:r>
      <w:r w:rsidR="00A05B45" w:rsidRPr="00886393">
        <w:rPr>
          <w:rFonts w:ascii="Times New Roman" w:hAnsi="Times New Roman" w:cs="Times New Roman"/>
          <w:b/>
          <w:sz w:val="24"/>
          <w:szCs w:val="24"/>
        </w:rPr>
        <w:t xml:space="preserve">2013 (dále „Závazné postupy“), které jsou přílohou č. </w:t>
      </w:r>
      <w:r w:rsidR="00B04109">
        <w:rPr>
          <w:rFonts w:ascii="Times New Roman" w:hAnsi="Times New Roman" w:cs="Times New Roman"/>
          <w:b/>
          <w:sz w:val="24"/>
          <w:szCs w:val="24"/>
        </w:rPr>
        <w:t>1</w:t>
      </w:r>
      <w:r w:rsidR="00B83EEC">
        <w:rPr>
          <w:rFonts w:ascii="Times New Roman" w:hAnsi="Times New Roman" w:cs="Times New Roman"/>
          <w:b/>
          <w:sz w:val="24"/>
          <w:szCs w:val="24"/>
        </w:rPr>
        <w:t>0</w:t>
      </w:r>
      <w:r w:rsidR="00A05B45" w:rsidRPr="00886393">
        <w:rPr>
          <w:rFonts w:ascii="Times New Roman" w:hAnsi="Times New Roman" w:cs="Times New Roman"/>
          <w:b/>
          <w:sz w:val="24"/>
          <w:szCs w:val="24"/>
        </w:rPr>
        <w:t xml:space="preserve"> této Příručky, a dodržovat níže uvedené požadavky, které jsou nad rámec Závazných postupů.</w:t>
      </w:r>
    </w:p>
    <w:p w:rsidR="00A05B45" w:rsidRDefault="00A05B45" w:rsidP="00FB3B5E">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221219" w:rsidRPr="001B4647" w:rsidRDefault="00A806A8" w:rsidP="001831D2">
      <w:pPr>
        <w:pStyle w:val="Textpoznpodarou"/>
        <w:keepNext/>
        <w:keepLines/>
        <w:spacing w:before="60"/>
        <w:jc w:val="both"/>
        <w:rPr>
          <w:rFonts w:ascii="Times New Roman" w:hAnsi="Times New Roman" w:cs="Times New Roman"/>
          <w:sz w:val="24"/>
          <w:szCs w:val="24"/>
        </w:rPr>
      </w:pPr>
      <w:r w:rsidRPr="00A806A8">
        <w:rPr>
          <w:rFonts w:ascii="Times New Roman" w:hAnsi="Times New Roman" w:cs="Times New Roman"/>
          <w:sz w:val="24"/>
          <w:szCs w:val="24"/>
        </w:rPr>
        <w:t>1.</w:t>
      </w:r>
      <w:r w:rsidR="00CA2534">
        <w:rPr>
          <w:rFonts w:ascii="Times New Roman" w:hAnsi="Times New Roman" w:cs="Times New Roman"/>
          <w:sz w:val="24"/>
          <w:szCs w:val="24"/>
        </w:rPr>
        <w:t xml:space="preserve"> </w:t>
      </w:r>
      <w:r w:rsidR="001401CF" w:rsidRPr="001401CF">
        <w:rPr>
          <w:rFonts w:ascii="Times New Roman" w:hAnsi="Times New Roman" w:cs="Times New Roman"/>
          <w:sz w:val="24"/>
          <w:szCs w:val="24"/>
        </w:rPr>
        <w:t>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w:t>
      </w:r>
    </w:p>
    <w:p w:rsidR="00221219" w:rsidRPr="001B4647" w:rsidRDefault="00A806A8" w:rsidP="001831D2">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 xml:space="preserve">2. </w:t>
      </w:r>
      <w:r w:rsidR="001401CF" w:rsidRPr="001401CF">
        <w:rPr>
          <w:rFonts w:ascii="Times New Roman" w:hAnsi="Times New Roman" w:cs="Times New Roman"/>
          <w:sz w:val="24"/>
          <w:szCs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zákona o veřejných zakázkách.</w:t>
      </w:r>
    </w:p>
    <w:p w:rsidR="00A05B45" w:rsidRPr="001B4647" w:rsidRDefault="001401CF" w:rsidP="00FB3B5E">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 činí v případě zakázek na dodávky a služby 1 000 000 Kč a v případě zakázek na stavební práce 3 000 000 Kč.</w:t>
      </w:r>
    </w:p>
    <w:p w:rsidR="00A05B45" w:rsidRDefault="004E35BB" w:rsidP="00A806A8">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 xml:space="preserve">Od 1. </w:t>
      </w:r>
      <w:r w:rsidR="00A806A8" w:rsidRPr="00A806A8">
        <w:rPr>
          <w:rFonts w:ascii="Times New Roman" w:hAnsi="Times New Roman" w:cs="Times New Roman"/>
          <w:sz w:val="24"/>
          <w:szCs w:val="24"/>
        </w:rPr>
        <w:t xml:space="preserve">1. 2014 </w:t>
      </w:r>
      <w:r>
        <w:rPr>
          <w:rFonts w:ascii="Times New Roman" w:hAnsi="Times New Roman" w:cs="Times New Roman"/>
          <w:sz w:val="24"/>
          <w:szCs w:val="24"/>
        </w:rPr>
        <w:t xml:space="preserve">se </w:t>
      </w:r>
      <w:r w:rsidR="00A806A8" w:rsidRPr="00A806A8">
        <w:rPr>
          <w:rFonts w:ascii="Times New Roman" w:hAnsi="Times New Roman" w:cs="Times New Roman"/>
          <w:sz w:val="24"/>
          <w:szCs w:val="24"/>
        </w:rPr>
        <w:t>limit k zakázkám malého rozsahu, stanovený v § 12 zákona o veřejných zakázkách</w:t>
      </w:r>
      <w:r>
        <w:rPr>
          <w:rFonts w:ascii="Times New Roman" w:hAnsi="Times New Roman" w:cs="Times New Roman"/>
          <w:sz w:val="24"/>
          <w:szCs w:val="24"/>
        </w:rPr>
        <w:t>,</w:t>
      </w:r>
      <w:r w:rsidR="00A806A8" w:rsidRPr="00A806A8">
        <w:rPr>
          <w:rFonts w:ascii="Times New Roman" w:hAnsi="Times New Roman" w:cs="Times New Roman"/>
          <w:sz w:val="24"/>
          <w:szCs w:val="24"/>
        </w:rPr>
        <w:t xml:space="preserve"> v případě zakázek na dodávky a služby mění na 2 000 000 Kč bez daně z přidané hodnoty a v případě zakázek na stavební práce na 6 000 000 Kč bez daně z přidané hodnoty.</w:t>
      </w:r>
    </w:p>
    <w:p w:rsidR="00A05B45" w:rsidRDefault="00A05B45" w:rsidP="00FB3B5E">
      <w:pPr>
        <w:keepNext/>
        <w:keepLines/>
        <w:spacing w:before="0"/>
        <w:rPr>
          <w:rFonts w:ascii="Times New Roman" w:hAnsi="Times New Roman" w:cs="Times New Roman"/>
          <w:noProof/>
          <w:sz w:val="24"/>
          <w:szCs w:val="24"/>
        </w:rPr>
      </w:pPr>
    </w:p>
    <w:p w:rsidR="00A05B45" w:rsidRDefault="001D15D8" w:rsidP="00FB3B5E">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00A05B45" w:rsidRPr="009E52D7">
        <w:rPr>
          <w:rFonts w:ascii="Times New Roman" w:hAnsi="Times New Roman" w:cs="Times New Roman"/>
          <w:b/>
          <w:noProof/>
          <w:sz w:val="24"/>
          <w:szCs w:val="24"/>
        </w:rPr>
        <w:t xml:space="preserve"> </w:t>
      </w:r>
      <w:r w:rsidR="00A05B45">
        <w:rPr>
          <w:rFonts w:ascii="Times New Roman" w:hAnsi="Times New Roman" w:cs="Times New Roman"/>
          <w:b/>
          <w:noProof/>
          <w:sz w:val="24"/>
          <w:szCs w:val="24"/>
        </w:rPr>
        <w:t xml:space="preserve">a oprávnění </w:t>
      </w:r>
      <w:r w:rsidR="00A05B45" w:rsidRPr="009E52D7">
        <w:rPr>
          <w:rFonts w:ascii="Times New Roman" w:hAnsi="Times New Roman" w:cs="Times New Roman"/>
          <w:b/>
          <w:noProof/>
          <w:sz w:val="24"/>
          <w:szCs w:val="24"/>
        </w:rPr>
        <w:t>zadavatele nad rámec Závazných postupů</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dodržovat obecná ustanovení, která platí pro všechny zakázky v úvodu kapitoly </w:t>
      </w:r>
      <w:r w:rsidR="005E21C7">
        <w:rPr>
          <w:rFonts w:ascii="Times New Roman" w:hAnsi="Times New Roman"/>
          <w:noProof/>
          <w:sz w:val="24"/>
          <w:szCs w:val="24"/>
        </w:rPr>
        <w:t>7</w:t>
      </w:r>
      <w:r>
        <w:rPr>
          <w:rFonts w:ascii="Times New Roman" w:hAnsi="Times New Roman"/>
          <w:noProof/>
          <w:sz w:val="24"/>
          <w:szCs w:val="24"/>
        </w:rPr>
        <w:t>.6 této Příručky.</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zapracovat do všech smluv s dodavateli náležitostí uvedené  v části „Povinnosti dodavatele (zhotovitele)“ kapitoly </w:t>
      </w:r>
      <w:r w:rsidR="005E21C7">
        <w:rPr>
          <w:rFonts w:ascii="Times New Roman" w:hAnsi="Times New Roman"/>
          <w:noProof/>
          <w:sz w:val="24"/>
          <w:szCs w:val="24"/>
        </w:rPr>
        <w:t>7</w:t>
      </w:r>
      <w:r>
        <w:rPr>
          <w:rFonts w:ascii="Times New Roman" w:hAnsi="Times New Roman"/>
          <w:noProof/>
          <w:sz w:val="24"/>
          <w:szCs w:val="24"/>
        </w:rPr>
        <w:t>.6.</w:t>
      </w:r>
    </w:p>
    <w:p w:rsidR="00A05B45" w:rsidRPr="009B6532" w:rsidRDefault="00A05B45" w:rsidP="00FB3B5E">
      <w:pPr>
        <w:pStyle w:val="Odstavecseseznamem"/>
        <w:keepNext/>
        <w:keepLines/>
        <w:numPr>
          <w:ilvl w:val="0"/>
          <w:numId w:val="264"/>
        </w:numPr>
        <w:spacing w:line="240" w:lineRule="auto"/>
        <w:ind w:left="426" w:right="-2" w:hanging="426"/>
        <w:jc w:val="both"/>
        <w:rPr>
          <w:rFonts w:ascii="Times New Roman" w:hAnsi="Times New Roman"/>
          <w:noProof/>
          <w:sz w:val="24"/>
          <w:szCs w:val="24"/>
        </w:rPr>
      </w:pPr>
      <w:r>
        <w:rPr>
          <w:rFonts w:ascii="Times New Roman" w:hAnsi="Times New Roman"/>
          <w:noProof/>
          <w:sz w:val="24"/>
          <w:szCs w:val="24"/>
        </w:rPr>
        <w:t>V</w:t>
      </w:r>
      <w:r w:rsidRPr="00AC621B">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w:t>
      </w:r>
      <w:r>
        <w:rPr>
          <w:rFonts w:ascii="Times New Roman" w:hAnsi="Times New Roman"/>
          <w:sz w:val="24"/>
          <w:szCs w:val="24"/>
        </w:rPr>
        <w:t>i</w:t>
      </w:r>
      <w:r w:rsidRPr="00AC621B">
        <w:rPr>
          <w:rFonts w:ascii="Times New Roman" w:hAnsi="Times New Roman"/>
          <w:sz w:val="24"/>
          <w:szCs w:val="24"/>
        </w:rPr>
        <w:t xml:space="preserve">cího orgánu IOP ve znění: „Šance pro Váš rozvoj“; blíže viz příloha č. </w:t>
      </w:r>
      <w:r w:rsidR="00B83EEC">
        <w:rPr>
          <w:rFonts w:ascii="Times New Roman" w:hAnsi="Times New Roman"/>
          <w:sz w:val="24"/>
          <w:szCs w:val="24"/>
        </w:rPr>
        <w:t>8</w:t>
      </w:r>
      <w:r>
        <w:rPr>
          <w:rFonts w:ascii="Times New Roman" w:hAnsi="Times New Roman"/>
          <w:sz w:val="24"/>
          <w:szCs w:val="24"/>
        </w:rPr>
        <w:t xml:space="preserve"> Příručky a bod 6.5.4 Závazných postupů. </w:t>
      </w:r>
      <w:r w:rsidR="00724180" w:rsidRPr="009B6532">
        <w:rPr>
          <w:rFonts w:ascii="Times New Roman" w:hAnsi="Times New Roman"/>
          <w:b/>
          <w:noProof/>
          <w:sz w:val="24"/>
          <w:szCs w:val="24"/>
          <w:u w:val="single"/>
        </w:rPr>
        <w:t>Toto ustanovení se vztahuje na dokumenty k </w:t>
      </w:r>
      <w:r w:rsidR="00724180">
        <w:rPr>
          <w:rFonts w:ascii="Times New Roman" w:hAnsi="Times New Roman"/>
          <w:b/>
          <w:noProof/>
          <w:sz w:val="24"/>
          <w:szCs w:val="24"/>
          <w:u w:val="single"/>
        </w:rPr>
        <w:t>výběrovým</w:t>
      </w:r>
      <w:r w:rsidR="00724180" w:rsidRPr="009B6532">
        <w:rPr>
          <w:rFonts w:ascii="Times New Roman" w:hAnsi="Times New Roman"/>
          <w:b/>
          <w:noProof/>
          <w:sz w:val="24"/>
          <w:szCs w:val="24"/>
          <w:u w:val="single"/>
        </w:rPr>
        <w:t xml:space="preserve"> řízením zahájeným až po </w:t>
      </w:r>
      <w:r w:rsidR="00724180">
        <w:rPr>
          <w:rFonts w:ascii="Times New Roman" w:hAnsi="Times New Roman"/>
          <w:b/>
          <w:noProof/>
          <w:sz w:val="24"/>
          <w:szCs w:val="24"/>
          <w:u w:val="single"/>
        </w:rPr>
        <w:t>schválení</w:t>
      </w:r>
      <w:r w:rsidR="00724180" w:rsidRPr="009B6532">
        <w:rPr>
          <w:rFonts w:ascii="Times New Roman" w:hAnsi="Times New Roman"/>
          <w:b/>
          <w:noProof/>
          <w:sz w:val="24"/>
          <w:szCs w:val="24"/>
          <w:u w:val="single"/>
        </w:rPr>
        <w:t xml:space="preserve"> </w:t>
      </w:r>
      <w:r w:rsidR="003A16D2">
        <w:rPr>
          <w:rFonts w:ascii="Times New Roman" w:hAnsi="Times New Roman"/>
          <w:b/>
          <w:noProof/>
          <w:sz w:val="24"/>
          <w:szCs w:val="24"/>
          <w:u w:val="single"/>
        </w:rPr>
        <w:t>Stanovení výdajů</w:t>
      </w:r>
      <w:r w:rsidR="00724180" w:rsidRPr="009B6532">
        <w:rPr>
          <w:rFonts w:ascii="Times New Roman" w:hAnsi="Times New Roman"/>
          <w:b/>
          <w:noProof/>
          <w:sz w:val="24"/>
          <w:szCs w:val="24"/>
          <w:u w:val="single"/>
        </w:rPr>
        <w:t xml:space="preserve"> (tedy od momentu, kdy se z</w:t>
      </w:r>
      <w:r w:rsidR="00FB3B5E">
        <w:rPr>
          <w:rFonts w:ascii="Times New Roman" w:hAnsi="Times New Roman"/>
          <w:b/>
          <w:noProof/>
          <w:sz w:val="24"/>
          <w:szCs w:val="24"/>
          <w:u w:val="single"/>
        </w:rPr>
        <w:t>e</w:t>
      </w:r>
      <w:r w:rsidR="00724180" w:rsidRPr="009B6532">
        <w:rPr>
          <w:rFonts w:ascii="Times New Roman" w:hAnsi="Times New Roman"/>
          <w:b/>
          <w:noProof/>
          <w:sz w:val="24"/>
          <w:szCs w:val="24"/>
          <w:u w:val="single"/>
        </w:rPr>
        <w:t> žadatele stává příjemce).</w:t>
      </w:r>
    </w:p>
    <w:p w:rsidR="00A05B45" w:rsidRPr="006E50CC" w:rsidRDefault="00A05B45" w:rsidP="00FB3B5E">
      <w:pPr>
        <w:pStyle w:val="Odstavecseseznamem"/>
        <w:keepNext/>
        <w:keepLines/>
        <w:numPr>
          <w:ilvl w:val="0"/>
          <w:numId w:val="264"/>
        </w:numPr>
        <w:overflowPunct w:val="0"/>
        <w:autoSpaceDE w:val="0"/>
        <w:autoSpaceDN w:val="0"/>
        <w:adjustRightInd w:val="0"/>
        <w:spacing w:after="120" w:line="240" w:lineRule="auto"/>
        <w:ind w:left="426" w:right="-2" w:hanging="426"/>
        <w:jc w:val="both"/>
        <w:textAlignment w:val="baseline"/>
        <w:rPr>
          <w:rFonts w:ascii="Times New Roman" w:hAnsi="Times New Roman"/>
          <w:sz w:val="24"/>
          <w:szCs w:val="24"/>
        </w:rPr>
      </w:pPr>
      <w:r w:rsidRPr="006E50CC">
        <w:rPr>
          <w:rFonts w:ascii="Times New Roman" w:hAnsi="Times New Roman"/>
          <w:sz w:val="24"/>
          <w:szCs w:val="24"/>
        </w:rPr>
        <w:t xml:space="preserve">Oznámení o zahájení výběrového řízení nebo výzva k podání nabídky </w:t>
      </w:r>
      <w:r>
        <w:rPr>
          <w:rFonts w:ascii="Times New Roman" w:hAnsi="Times New Roman"/>
          <w:sz w:val="24"/>
          <w:szCs w:val="24"/>
        </w:rPr>
        <w:t xml:space="preserve">(viz bod 6.5.4 Závazných postupů) </w:t>
      </w:r>
      <w:r w:rsidRPr="006E50CC">
        <w:rPr>
          <w:rFonts w:ascii="Times New Roman" w:hAnsi="Times New Roman"/>
          <w:sz w:val="24"/>
          <w:szCs w:val="24"/>
        </w:rPr>
        <w:t>musí obsahovat požadavek na předložení návrhu smlouvy podepsaného osobou oprávněnou jednat jménem či za uchazeče.</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Dodatečná lhůta pro </w:t>
      </w:r>
      <w:r w:rsidRPr="006E50CC">
        <w:rPr>
          <w:rFonts w:ascii="Times New Roman" w:hAnsi="Times New Roman"/>
          <w:sz w:val="24"/>
          <w:szCs w:val="24"/>
        </w:rPr>
        <w:t>doplnění nabídky nesmí být kratší než 3 pracovní dny</w:t>
      </w:r>
      <w:r>
        <w:rPr>
          <w:rFonts w:ascii="Times New Roman" w:hAnsi="Times New Roman"/>
          <w:sz w:val="24"/>
          <w:szCs w:val="24"/>
        </w:rPr>
        <w:t xml:space="preserve"> (viz bod 7.2.2, 7.2.3, 7.3.2 a 7.3.3 Závazných postupů)</w:t>
      </w:r>
      <w:r w:rsidRPr="006E50CC">
        <w:rPr>
          <w:rFonts w:ascii="Times New Roman" w:hAnsi="Times New Roman"/>
          <w:sz w:val="24"/>
          <w:szCs w:val="24"/>
        </w:rPr>
        <w:t>.</w:t>
      </w:r>
    </w:p>
    <w:p w:rsidR="00A05B45" w:rsidRPr="00886393" w:rsidRDefault="00A05B45" w:rsidP="00FB3B5E">
      <w:pPr>
        <w:pStyle w:val="Textpoznpodarou"/>
        <w:keepNext/>
        <w:keepLines/>
        <w:numPr>
          <w:ilvl w:val="0"/>
          <w:numId w:val="264"/>
        </w:numPr>
        <w:spacing w:before="60"/>
        <w:ind w:left="426" w:hanging="426"/>
        <w:jc w:val="both"/>
        <w:rPr>
          <w:rFonts w:ascii="Times New Roman" w:hAnsi="Times New Roman" w:cs="Times New Roman"/>
          <w:noProof/>
          <w:sz w:val="24"/>
          <w:szCs w:val="24"/>
        </w:rPr>
      </w:pPr>
      <w:r w:rsidRPr="00886393">
        <w:rPr>
          <w:rFonts w:ascii="Times New Roman" w:hAnsi="Times New Roman" w:cs="Times New Roman"/>
          <w:noProof/>
          <w:sz w:val="24"/>
          <w:szCs w:val="24"/>
        </w:rPr>
        <w:lastRenderedPageBreak/>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A05B45" w:rsidRDefault="00A05B45" w:rsidP="00FB3B5E">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A05B45" w:rsidRPr="00F52FA3"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Zadavatel může zrušit výběrové řízen</w:t>
      </w:r>
      <w:r w:rsidRPr="006E50CC">
        <w:rPr>
          <w:rFonts w:ascii="Times New Roman" w:hAnsi="Times New Roman"/>
          <w:sz w:val="24"/>
          <w:szCs w:val="24"/>
        </w:rPr>
        <w:t xml:space="preserve">í, pokud byla podána jenom jedna nabídka nebo pokud byly všechny nabídky kromě jedné vyřazeny </w:t>
      </w:r>
      <w:r>
        <w:rPr>
          <w:rFonts w:ascii="Times New Roman" w:hAnsi="Times New Roman"/>
          <w:sz w:val="24"/>
          <w:szCs w:val="24"/>
        </w:rPr>
        <w:t>na základě bodu 11.4 písm. a) Závazných postupů, neboť nemožnost porovnání nabídky je důvodem hodným zvláštního zřetele.</w:t>
      </w:r>
    </w:p>
    <w:p w:rsidR="00A05B45" w:rsidRDefault="00A05B45" w:rsidP="00FB3B5E">
      <w:pPr>
        <w:pStyle w:val="Odstavecseseznamem"/>
        <w:keepNext/>
        <w:keepLines/>
        <w:numPr>
          <w:ilvl w:val="0"/>
          <w:numId w:val="264"/>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Pokud zadavatel obdrží námitku od dodavatele, je povinen </w:t>
      </w:r>
      <w:r w:rsidRPr="006E50CC">
        <w:rPr>
          <w:rFonts w:ascii="Times New Roman" w:hAnsi="Times New Roman"/>
          <w:sz w:val="24"/>
          <w:szCs w:val="24"/>
        </w:rPr>
        <w:t xml:space="preserve">přezkoumat </w:t>
      </w:r>
      <w:r>
        <w:rPr>
          <w:rFonts w:ascii="Times New Roman" w:hAnsi="Times New Roman"/>
          <w:sz w:val="24"/>
          <w:szCs w:val="24"/>
        </w:rPr>
        <w:t>ji</w:t>
      </w:r>
      <w:r w:rsidRPr="006E50CC">
        <w:rPr>
          <w:rFonts w:ascii="Times New Roman" w:hAnsi="Times New Roman"/>
          <w:sz w:val="24"/>
          <w:szCs w:val="24"/>
        </w:rPr>
        <w:t xml:space="preserve"> v plném rozsahu do 15 pracovních dnů. Rozhodnutí zadavatele o vyřízení </w:t>
      </w:r>
      <w:r>
        <w:rPr>
          <w:rFonts w:ascii="Times New Roman" w:hAnsi="Times New Roman"/>
          <w:sz w:val="24"/>
          <w:szCs w:val="24"/>
        </w:rPr>
        <w:t>námitky</w:t>
      </w:r>
      <w:r w:rsidRPr="006E50CC">
        <w:rPr>
          <w:rFonts w:ascii="Times New Roman" w:hAnsi="Times New Roman"/>
          <w:sz w:val="24"/>
          <w:szCs w:val="24"/>
        </w:rPr>
        <w:t xml:space="preserve"> </w:t>
      </w:r>
      <w:r>
        <w:rPr>
          <w:rFonts w:ascii="Times New Roman" w:hAnsi="Times New Roman"/>
          <w:sz w:val="24"/>
          <w:szCs w:val="24"/>
        </w:rPr>
        <w:t xml:space="preserve">musí obsahovat odůvodnění a musí být </w:t>
      </w:r>
      <w:r w:rsidRPr="006E50CC">
        <w:rPr>
          <w:rFonts w:ascii="Times New Roman" w:hAnsi="Times New Roman"/>
          <w:sz w:val="24"/>
          <w:szCs w:val="24"/>
        </w:rPr>
        <w:t xml:space="preserve">prokazatelným způsobem </w:t>
      </w:r>
      <w:r>
        <w:rPr>
          <w:rFonts w:ascii="Times New Roman" w:hAnsi="Times New Roman"/>
          <w:sz w:val="24"/>
          <w:szCs w:val="24"/>
        </w:rPr>
        <w:t xml:space="preserve">doručeno </w:t>
      </w:r>
      <w:r w:rsidRPr="006E50CC">
        <w:rPr>
          <w:rFonts w:ascii="Times New Roman" w:hAnsi="Times New Roman"/>
          <w:sz w:val="24"/>
          <w:szCs w:val="24"/>
        </w:rPr>
        <w:t xml:space="preserve">dodavateli, jenž </w:t>
      </w:r>
      <w:r>
        <w:rPr>
          <w:rFonts w:ascii="Times New Roman" w:hAnsi="Times New Roman"/>
          <w:sz w:val="24"/>
          <w:szCs w:val="24"/>
        </w:rPr>
        <w:t xml:space="preserve">námitku </w:t>
      </w:r>
      <w:r w:rsidRPr="006E50CC">
        <w:rPr>
          <w:rFonts w:ascii="Times New Roman" w:hAnsi="Times New Roman"/>
          <w:sz w:val="24"/>
          <w:szCs w:val="24"/>
        </w:rPr>
        <w:t>podal.</w:t>
      </w:r>
    </w:p>
    <w:p w:rsidR="00AD5895" w:rsidRDefault="00AD5895" w:rsidP="00AD5895">
      <w:pPr>
        <w:pStyle w:val="Odstavecseseznamem"/>
        <w:keepNext/>
        <w:keepLines/>
        <w:overflowPunct w:val="0"/>
        <w:autoSpaceDE w:val="0"/>
        <w:autoSpaceDN w:val="0"/>
        <w:adjustRightInd w:val="0"/>
        <w:spacing w:after="120" w:line="240" w:lineRule="auto"/>
        <w:ind w:left="426"/>
        <w:jc w:val="both"/>
        <w:textAlignment w:val="baseline"/>
        <w:rPr>
          <w:rFonts w:ascii="Times New Roman" w:hAnsi="Times New Roman"/>
          <w:sz w:val="24"/>
          <w:szCs w:val="24"/>
        </w:rPr>
      </w:pPr>
    </w:p>
    <w:p w:rsidR="00A05B45" w:rsidRPr="00ED0391" w:rsidRDefault="00A05B45" w:rsidP="00FB3B5E">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A05B45" w:rsidRPr="000A0DF6" w:rsidRDefault="00A05B45" w:rsidP="00FB3B5E">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w:t>
      </w:r>
      <w:r w:rsidR="00C428DA">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rovněž povinen předložit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A05B45" w:rsidRPr="000A0DF6" w:rsidRDefault="00A05B45" w:rsidP="00FB3B5E">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Zadavatel je povinen informovat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FB3B5E">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5C2B04">
        <w:rPr>
          <w:rFonts w:ascii="Times New Roman" w:hAnsi="Times New Roman"/>
          <w:b/>
          <w:snapToGrid w:val="0"/>
          <w:sz w:val="24"/>
          <w:szCs w:val="24"/>
        </w:rPr>
        <w:t xml:space="preserve">je </w:t>
      </w:r>
      <w:r>
        <w:rPr>
          <w:rFonts w:ascii="Times New Roman" w:hAnsi="Times New Roman"/>
          <w:b/>
          <w:snapToGrid w:val="0"/>
          <w:sz w:val="24"/>
          <w:szCs w:val="24"/>
        </w:rPr>
        <w:t>z</w:t>
      </w:r>
      <w:r w:rsidRPr="005C3357">
        <w:rPr>
          <w:rFonts w:ascii="Times New Roman" w:hAnsi="Times New Roman"/>
          <w:b/>
          <w:snapToGrid w:val="0"/>
          <w:sz w:val="24"/>
          <w:szCs w:val="24"/>
        </w:rPr>
        <w:t xml:space="preserve">adavatel povinen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pořízenou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5C3357" w:rsidRPr="000A0DF6" w:rsidRDefault="005C3357" w:rsidP="00FB3B5E">
      <w:pPr>
        <w:keepNext/>
        <w:keepLines/>
        <w:rPr>
          <w:rFonts w:ascii="Times New Roman" w:hAnsi="Times New Roman" w:cs="Times New Roman"/>
          <w:noProof/>
          <w:sz w:val="24"/>
          <w:szCs w:val="24"/>
        </w:rPr>
      </w:pPr>
    </w:p>
    <w:p w:rsidR="00A05B45" w:rsidRPr="000A0DF6" w:rsidRDefault="00A05B45" w:rsidP="00FB3B5E">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w:t>
      </w:r>
      <w:r w:rsidR="001D15D8" w:rsidRPr="000A0DF6">
        <w:rPr>
          <w:rFonts w:ascii="Times New Roman" w:hAnsi="Times New Roman" w:cs="Times New Roman"/>
          <w:noProof/>
          <w:sz w:val="24"/>
          <w:szCs w:val="24"/>
        </w:rPr>
        <w:t>,</w:t>
      </w:r>
      <w:r w:rsidRPr="000A0DF6">
        <w:rPr>
          <w:rFonts w:ascii="Times New Roman" w:hAnsi="Times New Roman" w:cs="Times New Roman"/>
          <w:noProof/>
          <w:sz w:val="24"/>
          <w:szCs w:val="24"/>
        </w:rPr>
        <w:t xml:space="preserve"> zejména:</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žádosti dodavatelů o dodatečné informace, pokud byly podány, a odpověď zadavatele na tyto žádosti,</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A05B45" w:rsidRPr="000A0DF6" w:rsidRDefault="00A05B45" w:rsidP="00FB3B5E">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Pr="0014009A" w:rsidRDefault="0014009A" w:rsidP="00FB3B5E">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A05B45" w:rsidRPr="000A0DF6" w:rsidRDefault="00A05B45" w:rsidP="00CF22F8">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Upozornění: Věnujte pozornost celému textu Závazných postupů (viz příloha č. </w:t>
      </w:r>
      <w:r w:rsidR="005E4CD4">
        <w:rPr>
          <w:rFonts w:ascii="Times New Roman" w:hAnsi="Times New Roman" w:cs="Times New Roman"/>
          <w:b/>
          <w:bCs/>
          <w:noProof/>
        </w:rPr>
        <w:t>1</w:t>
      </w:r>
      <w:r w:rsidR="00B83EEC">
        <w:rPr>
          <w:rFonts w:ascii="Times New Roman" w:hAnsi="Times New Roman" w:cs="Times New Roman"/>
          <w:b/>
          <w:bCs/>
          <w:noProof/>
        </w:rPr>
        <w:t>0</w:t>
      </w:r>
      <w:r w:rsidRPr="000A0DF6">
        <w:rPr>
          <w:rFonts w:ascii="Times New Roman" w:hAnsi="Times New Roman" w:cs="Times New Roman"/>
          <w:b/>
          <w:bCs/>
          <w:noProof/>
        </w:rPr>
        <w:t xml:space="preserve"> Příručky). Každá odchylka od Závazných postupů může vést k tomu, že výdaje dodavatele budou nezpůsobilé</w:t>
      </w:r>
      <w:r w:rsidR="00E74FBF">
        <w:rPr>
          <w:rFonts w:ascii="Times New Roman" w:hAnsi="Times New Roman" w:cs="Times New Roman"/>
          <w:b/>
          <w:bCs/>
          <w:noProof/>
        </w:rPr>
        <w:t>.</w:t>
      </w:r>
    </w:p>
    <w:p w:rsidR="00A05B45" w:rsidRPr="000A0DF6" w:rsidRDefault="00A05B45" w:rsidP="00CF22F8">
      <w:pPr>
        <w:pStyle w:val="Nadpis4"/>
        <w:keepLines/>
        <w:numPr>
          <w:ilvl w:val="0"/>
          <w:numId w:val="0"/>
        </w:numPr>
        <w:spacing w:before="360"/>
        <w:rPr>
          <w:rFonts w:ascii="Times New Roman" w:hAnsi="Times New Roman" w:cs="Times New Roman"/>
          <w:smallCaps/>
          <w:noProof/>
          <w:sz w:val="24"/>
          <w:szCs w:val="24"/>
          <w:u w:val="single"/>
          <w:lang w:val="cs-CZ"/>
        </w:rPr>
      </w:pPr>
      <w:r w:rsidRPr="000A0DF6">
        <w:rPr>
          <w:rFonts w:ascii="Times New Roman" w:hAnsi="Times New Roman" w:cs="Times New Roman"/>
          <w:smallCaps/>
          <w:noProof/>
          <w:sz w:val="24"/>
          <w:szCs w:val="24"/>
          <w:u w:val="single"/>
          <w:lang w:val="cs-CZ"/>
        </w:rPr>
        <w:t>Povinnosti dodavatele (zhotovitele)</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w:t>
      </w:r>
      <w:r w:rsidR="006F6E9E">
        <w:rPr>
          <w:rFonts w:ascii="Times New Roman" w:hAnsi="Times New Roman" w:cs="Times New Roman"/>
          <w:noProof/>
          <w:sz w:val="24"/>
          <w:szCs w:val="24"/>
        </w:rPr>
        <w:t>n</w:t>
      </w:r>
      <w:r w:rsidRPr="000A0DF6">
        <w:rPr>
          <w:rFonts w:ascii="Times New Roman" w:hAnsi="Times New Roman" w:cs="Times New Roman"/>
          <w:noProof/>
          <w:sz w:val="24"/>
          <w:szCs w:val="24"/>
        </w:rPr>
        <w:t xml:space="preserve">ou spolupůsobit při výkonu finanční kontroly prováděné v souvislosti s úhradou zboží nebo služeb z veřejných výdajů. </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A05B45" w:rsidRPr="000A0DF6" w:rsidRDefault="00A05B45" w:rsidP="00CF22F8">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sidR="00B83EEC">
        <w:rPr>
          <w:rFonts w:ascii="Times New Roman" w:hAnsi="Times New Roman" w:cs="Times New Roman"/>
          <w:noProof/>
          <w:sz w:val="24"/>
          <w:szCs w:val="24"/>
        </w:rPr>
        <w:t>8</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A05B45" w:rsidRPr="000A0DF6" w:rsidRDefault="00724180" w:rsidP="00CF22F8">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xml:space="preserve">, je povinen dodat CRR </w:t>
      </w:r>
      <w:r w:rsidR="00447A45">
        <w:rPr>
          <w:rFonts w:ascii="Times New Roman" w:hAnsi="Times New Roman" w:cs="Times New Roman"/>
          <w:b/>
          <w:bCs/>
          <w:noProof/>
          <w:sz w:val="24"/>
          <w:szCs w:val="24"/>
        </w:rPr>
        <w:t>ČR</w:t>
      </w:r>
      <w:r w:rsidR="00447A45" w:rsidRPr="000A0DF6">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 xml:space="preserve">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předkládá tuto dokumentaci</w:t>
      </w:r>
      <w:r w:rsidR="002C2E6C">
        <w:rPr>
          <w:rFonts w:ascii="Times New Roman" w:hAnsi="Times New Roman" w:cs="Times New Roman"/>
          <w:b/>
          <w:bCs/>
          <w:noProof/>
          <w:sz w:val="24"/>
          <w:szCs w:val="24"/>
        </w:rPr>
        <w:t xml:space="preserve"> </w:t>
      </w:r>
      <w:r w:rsidR="00AD5895">
        <w:rPr>
          <w:rFonts w:ascii="Times New Roman" w:hAnsi="Times New Roman" w:cs="Times New Roman"/>
          <w:b/>
          <w:bCs/>
          <w:noProof/>
          <w:sz w:val="24"/>
          <w:szCs w:val="24"/>
        </w:rPr>
        <w:t xml:space="preserve">CRR ČR </w:t>
      </w:r>
      <w:r w:rsidR="00A05B45" w:rsidRPr="000A0DF6">
        <w:rPr>
          <w:rFonts w:ascii="Times New Roman" w:hAnsi="Times New Roman" w:cs="Times New Roman"/>
          <w:b/>
          <w:bCs/>
          <w:noProof/>
          <w:sz w:val="24"/>
          <w:szCs w:val="24"/>
        </w:rPr>
        <w:t>nejpozději k Žádosti o platbu, resp. Hlášení o pokroku.</w:t>
      </w:r>
    </w:p>
    <w:p w:rsidR="00A05B45" w:rsidRDefault="00A05B45" w:rsidP="00CF22F8">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CRR </w:t>
      </w:r>
      <w:r w:rsidR="00447A45">
        <w:rPr>
          <w:rFonts w:ascii="Times New Roman" w:hAnsi="Times New Roman" w:cs="Times New Roman"/>
          <w:b/>
          <w:bCs/>
          <w:noProof/>
          <w:sz w:val="24"/>
          <w:szCs w:val="24"/>
        </w:rPr>
        <w:t>ČR</w:t>
      </w:r>
      <w:r w:rsidR="00447A45" w:rsidRPr="000A0DF6">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w:t>
      </w:r>
      <w:r w:rsidR="00447A45" w:rsidRPr="000A0DF6">
        <w:rPr>
          <w:rFonts w:ascii="Times New Roman" w:hAnsi="Times New Roman" w:cs="Times New Roman"/>
          <w:b/>
          <w:bCs/>
          <w:noProof/>
          <w:sz w:val="24"/>
          <w:szCs w:val="24"/>
        </w:rPr>
        <w:t>nezbavuj</w:t>
      </w:r>
      <w:r w:rsidR="00447A45">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7B2A95" w:rsidRDefault="00100A0D" w:rsidP="00CF22F8">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 xml:space="preserve">Uplatní-li příjemce vůči dodavateli smluvní pokuty či penále, je povinen o této skutečnosti informovat CRR </w:t>
      </w:r>
      <w:r w:rsidR="00447A45">
        <w:rPr>
          <w:rFonts w:ascii="Times New Roman" w:hAnsi="Times New Roman" w:cs="Times New Roman"/>
          <w:b/>
          <w:noProof/>
          <w:sz w:val="24"/>
          <w:szCs w:val="24"/>
        </w:rPr>
        <w:t>ČR</w:t>
      </w:r>
      <w:r w:rsidR="00447A45" w:rsidRPr="00100A0D">
        <w:rPr>
          <w:rFonts w:ascii="Times New Roman" w:hAnsi="Times New Roman" w:cs="Times New Roman"/>
          <w:b/>
          <w:noProof/>
          <w:sz w:val="24"/>
          <w:szCs w:val="24"/>
        </w:rPr>
        <w:t xml:space="preserve"> </w:t>
      </w:r>
      <w:r w:rsidRPr="00100A0D">
        <w:rPr>
          <w:rFonts w:ascii="Times New Roman" w:hAnsi="Times New Roman" w:cs="Times New Roman"/>
          <w:b/>
          <w:noProof/>
          <w:sz w:val="24"/>
          <w:szCs w:val="24"/>
        </w:rPr>
        <w:t>prostřednictvím Oznámení o změnách v projektu bezprostředně po jejich vzniku.</w:t>
      </w:r>
      <w:r w:rsidR="007B2A95" w:rsidRPr="00100A0D">
        <w:rPr>
          <w:rFonts w:ascii="Times New Roman" w:hAnsi="Times New Roman" w:cs="Times New Roman"/>
          <w:b/>
          <w:bCs/>
          <w:noProof/>
          <w:sz w:val="24"/>
          <w:szCs w:val="24"/>
        </w:rPr>
        <w:t xml:space="preserve"> </w:t>
      </w:r>
    </w:p>
    <w:p w:rsidR="00F46041" w:rsidRPr="006F2A14" w:rsidRDefault="00F46041" w:rsidP="003145D7">
      <w:pPr>
        <w:keepNext/>
        <w:keepLines/>
        <w:spacing w:before="240"/>
        <w:rPr>
          <w:rFonts w:ascii="Times New Roman" w:hAnsi="Times New Roman" w:cs="Times New Roman"/>
          <w:b/>
          <w:sz w:val="24"/>
          <w:szCs w:val="24"/>
          <w:u w:val="single"/>
        </w:rPr>
      </w:pPr>
      <w:bookmarkStart w:id="535" w:name="_Toc324935363"/>
      <w:bookmarkEnd w:id="535"/>
      <w:r w:rsidRPr="006F2A14">
        <w:rPr>
          <w:rFonts w:ascii="Times New Roman" w:hAnsi="Times New Roman" w:cs="Times New Roman"/>
          <w:b/>
          <w:sz w:val="24"/>
          <w:szCs w:val="24"/>
          <w:u w:val="single"/>
        </w:rPr>
        <w:lastRenderedPageBreak/>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skutečného plnění s</w:t>
      </w:r>
      <w:r w:rsidR="006E5052">
        <w:rPr>
          <w:rFonts w:ascii="Times New Roman" w:hAnsi="Times New Roman" w:cs="Times New Roman"/>
          <w:sz w:val="24"/>
          <w:szCs w:val="24"/>
        </w:rPr>
        <w:t>e stavem</w:t>
      </w:r>
      <w:r w:rsidR="00115C98" w:rsidRPr="00675ADF">
        <w:rPr>
          <w:rFonts w:ascii="Times New Roman" w:hAnsi="Times New Roman" w:cs="Times New Roman"/>
          <w:sz w:val="24"/>
          <w:szCs w:val="24"/>
        </w:rPr>
        <w:t>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w:t>
      </w:r>
      <w:r w:rsidR="006E5052">
        <w:rPr>
          <w:rFonts w:ascii="Times New Roman" w:hAnsi="Times New Roman" w:cs="Times New Roman"/>
          <w:sz w:val="24"/>
          <w:szCs w:val="24"/>
        </w:rPr>
        <w:t>K</w:t>
      </w:r>
      <w:r w:rsidR="00115C98" w:rsidRPr="00675ADF">
        <w:rPr>
          <w:rFonts w:ascii="Times New Roman" w:hAnsi="Times New Roman" w:cs="Times New Roman"/>
          <w:sz w:val="24"/>
          <w:szCs w:val="24"/>
        </w:rPr>
        <w:t>ontrol</w:t>
      </w:r>
      <w:r w:rsidR="006E5052">
        <w:rPr>
          <w:rFonts w:ascii="Times New Roman" w:hAnsi="Times New Roman" w:cs="Times New Roman"/>
          <w:sz w:val="24"/>
          <w:szCs w:val="24"/>
        </w:rPr>
        <w:t>uje</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 xml:space="preserve">Proto </w:t>
      </w:r>
      <w:r w:rsidR="006E5052">
        <w:rPr>
          <w:rFonts w:ascii="Times New Roman" w:hAnsi="Times New Roman" w:cs="Times New Roman"/>
          <w:sz w:val="24"/>
          <w:szCs w:val="24"/>
        </w:rPr>
        <w:t xml:space="preserve">je nutné </w:t>
      </w:r>
      <w:r w:rsidRPr="00675ADF">
        <w:rPr>
          <w:rFonts w:ascii="Times New Roman" w:hAnsi="Times New Roman" w:cs="Times New Roman"/>
          <w:sz w:val="24"/>
          <w:szCs w:val="24"/>
        </w:rPr>
        <w:t xml:space="preserve">nastavit parametry předávacích protokolů (včetně dílčích), aby z nich bylo možno ověřit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006E5052">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168"/>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w:t>
      </w:r>
      <w:r w:rsidR="006E5052">
        <w:rPr>
          <w:rFonts w:ascii="Times New Roman" w:hAnsi="Times New Roman" w:cs="Times New Roman"/>
          <w:sz w:val="24"/>
          <w:szCs w:val="24"/>
        </w:rPr>
        <w:t>a</w:t>
      </w:r>
      <w:r w:rsidRPr="00675ADF">
        <w:rPr>
          <w:rFonts w:ascii="Times New Roman" w:hAnsi="Times New Roman" w:cs="Times New Roman"/>
          <w:sz w:val="24"/>
          <w:szCs w:val="24"/>
        </w:rPr>
        <w:t xml:space="preserve"> technologicky odpovídají projektu a cílů</w:t>
      </w:r>
      <w:r w:rsidR="00B06B20">
        <w:rPr>
          <w:rFonts w:ascii="Times New Roman" w:hAnsi="Times New Roman" w:cs="Times New Roman"/>
          <w:sz w:val="24"/>
          <w:szCs w:val="24"/>
        </w:rPr>
        <w:t>m</w:t>
      </w:r>
      <w:r w:rsidR="006E5052">
        <w:rPr>
          <w:rFonts w:ascii="Times New Roman" w:hAnsi="Times New Roman" w:cs="Times New Roman"/>
          <w:sz w:val="24"/>
          <w:szCs w:val="24"/>
        </w:rPr>
        <w:t xml:space="preserve"> uvedeným ve výzvě</w:t>
      </w:r>
      <w:r>
        <w:rPr>
          <w:rFonts w:ascii="Times New Roman" w:hAnsi="Times New Roman" w:cs="Times New Roman"/>
          <w:sz w:val="24"/>
          <w:szCs w:val="24"/>
        </w:rPr>
        <w:t>.</w:t>
      </w:r>
    </w:p>
    <w:p w:rsidR="00F46041" w:rsidRPr="00CF3A89" w:rsidRDefault="00F46041" w:rsidP="00C12073">
      <w:pPr>
        <w:keepNext/>
        <w:keepLines/>
        <w:numPr>
          <w:ilvl w:val="0"/>
          <w:numId w:val="168"/>
        </w:numPr>
        <w:tabs>
          <w:tab w:val="clear" w:pos="720"/>
          <w:tab w:val="left" w:pos="567"/>
        </w:tabs>
        <w:ind w:left="567" w:hanging="567"/>
        <w:rPr>
          <w:rFonts w:ascii="Times New Roman" w:hAnsi="Times New Roman"/>
          <w:b/>
          <w:sz w:val="24"/>
        </w:rPr>
      </w:pPr>
      <w:r w:rsidRPr="00675ADF">
        <w:rPr>
          <w:rFonts w:ascii="Times New Roman" w:hAnsi="Times New Roman" w:cs="Times New Roman"/>
          <w:sz w:val="24"/>
          <w:szCs w:val="24"/>
        </w:rPr>
        <w:t>Každé dílčí plnění obsah</w:t>
      </w:r>
      <w:r w:rsidR="006E5052">
        <w:rPr>
          <w:rFonts w:ascii="Times New Roman" w:hAnsi="Times New Roman" w:cs="Times New Roman"/>
          <w:sz w:val="24"/>
          <w:szCs w:val="24"/>
        </w:rPr>
        <w:t>uje</w:t>
      </w:r>
      <w:r w:rsidRPr="00675ADF">
        <w:rPr>
          <w:rFonts w:ascii="Times New Roman" w:hAnsi="Times New Roman" w:cs="Times New Roman"/>
          <w:sz w:val="24"/>
          <w:szCs w:val="24"/>
        </w:rPr>
        <w:t xml:space="preserve"> soupis provedených prací/dodávek/služeb, je</w:t>
      </w:r>
      <w:r w:rsidR="006E5052">
        <w:rPr>
          <w:rFonts w:ascii="Times New Roman" w:hAnsi="Times New Roman" w:cs="Times New Roman"/>
          <w:sz w:val="24"/>
          <w:szCs w:val="24"/>
        </w:rPr>
        <w:t>ho</w:t>
      </w:r>
      <w:r w:rsidRPr="00675ADF">
        <w:rPr>
          <w:rFonts w:ascii="Times New Roman" w:hAnsi="Times New Roman" w:cs="Times New Roman"/>
          <w:sz w:val="24"/>
          <w:szCs w:val="24"/>
        </w:rPr>
        <w:t xml:space="preserve"> přílohou </w:t>
      </w:r>
      <w:r w:rsidR="006E5052">
        <w:rPr>
          <w:rFonts w:ascii="Times New Roman" w:hAnsi="Times New Roman" w:cs="Times New Roman"/>
          <w:sz w:val="24"/>
          <w:szCs w:val="24"/>
        </w:rPr>
        <w:t>je</w:t>
      </w:r>
      <w:r w:rsidRPr="00675ADF">
        <w:rPr>
          <w:rFonts w:ascii="Times New Roman" w:hAnsi="Times New Roman" w:cs="Times New Roman"/>
          <w:sz w:val="24"/>
          <w:szCs w:val="24"/>
        </w:rPr>
        <w:t xml:space="preserve"> soupis dodaných jednotlivých položek, </w:t>
      </w:r>
      <w:r w:rsidR="006E5052">
        <w:rPr>
          <w:rFonts w:ascii="Times New Roman" w:hAnsi="Times New Roman" w:cs="Times New Roman"/>
          <w:sz w:val="24"/>
          <w:szCs w:val="24"/>
        </w:rPr>
        <w:t>které odpovídají obsahem a</w:t>
      </w:r>
      <w:r w:rsidRPr="00675ADF">
        <w:rPr>
          <w:rFonts w:ascii="Times New Roman" w:hAnsi="Times New Roman" w:cs="Times New Roman"/>
          <w:sz w:val="24"/>
          <w:szCs w:val="24"/>
        </w:rPr>
        <w:t xml:space="preserve"> formátem technickým podmínkám a specifikacím</w:t>
      </w:r>
      <w:r w:rsidR="006E5052">
        <w:rPr>
          <w:rFonts w:ascii="Times New Roman" w:hAnsi="Times New Roman" w:cs="Times New Roman"/>
          <w:sz w:val="24"/>
          <w:szCs w:val="24"/>
        </w:rPr>
        <w:t>,</w:t>
      </w:r>
      <w:r w:rsidRPr="00675ADF">
        <w:rPr>
          <w:rFonts w:ascii="Times New Roman" w:hAnsi="Times New Roman" w:cs="Times New Roman"/>
          <w:sz w:val="24"/>
          <w:szCs w:val="24"/>
        </w:rPr>
        <w:t xml:space="preserve"> uvedený</w:t>
      </w:r>
      <w:r w:rsidR="006E5052">
        <w:rPr>
          <w:rFonts w:ascii="Times New Roman" w:hAnsi="Times New Roman" w:cs="Times New Roman"/>
          <w:sz w:val="24"/>
          <w:szCs w:val="24"/>
        </w:rPr>
        <w:t>m</w:t>
      </w:r>
      <w:r w:rsidRPr="00675ADF">
        <w:rPr>
          <w:rFonts w:ascii="Times New Roman" w:hAnsi="Times New Roman" w:cs="Times New Roman"/>
          <w:sz w:val="24"/>
          <w:szCs w:val="24"/>
        </w:rPr>
        <w:t xml:space="preserve"> v bodě 1. </w:t>
      </w:r>
      <w:r w:rsidRPr="00675ADF">
        <w:rPr>
          <w:rFonts w:ascii="Times New Roman" w:hAnsi="Times New Roman" w:cs="Times New Roman"/>
          <w:b/>
          <w:sz w:val="24"/>
          <w:szCs w:val="24"/>
        </w:rPr>
        <w:t xml:space="preserve">Případné rozdíly oproti smlouvě o dílo </w:t>
      </w:r>
      <w:r w:rsidR="006E5052">
        <w:rPr>
          <w:rFonts w:ascii="Times New Roman" w:hAnsi="Times New Roman" w:cs="Times New Roman"/>
          <w:b/>
          <w:sz w:val="24"/>
          <w:szCs w:val="24"/>
        </w:rPr>
        <w:t>zadavatel</w:t>
      </w:r>
      <w:r w:rsidRPr="00675ADF">
        <w:rPr>
          <w:rFonts w:ascii="Times New Roman" w:hAnsi="Times New Roman" w:cs="Times New Roman"/>
          <w:b/>
          <w:sz w:val="24"/>
          <w:szCs w:val="24"/>
        </w:rPr>
        <w:t xml:space="preserve"> vyznač</w:t>
      </w:r>
      <w:r w:rsidR="006E5052">
        <w:rPr>
          <w:rFonts w:ascii="Times New Roman" w:hAnsi="Times New Roman" w:cs="Times New Roman"/>
          <w:b/>
          <w:sz w:val="24"/>
          <w:szCs w:val="24"/>
        </w:rPr>
        <w:t>í</w:t>
      </w:r>
      <w:r w:rsidRPr="00675ADF">
        <w:rPr>
          <w:rFonts w:ascii="Times New Roman" w:hAnsi="Times New Roman" w:cs="Times New Roman"/>
          <w:b/>
          <w:sz w:val="24"/>
          <w:szCs w:val="24"/>
        </w:rPr>
        <w:t xml:space="preserve"> a zdůvodn</w:t>
      </w:r>
      <w:r w:rsidR="006E5052">
        <w:rPr>
          <w:rFonts w:ascii="Times New Roman" w:hAnsi="Times New Roman" w:cs="Times New Roman"/>
          <w:b/>
          <w:sz w:val="24"/>
          <w:szCs w:val="24"/>
        </w:rPr>
        <w:t>í</w:t>
      </w:r>
      <w:r w:rsidRPr="00675ADF">
        <w:rPr>
          <w:rFonts w:ascii="Times New Roman" w:hAnsi="Times New Roman" w:cs="Times New Roman"/>
          <w:b/>
          <w:sz w:val="24"/>
          <w:szCs w:val="24"/>
        </w:rPr>
        <w:t>.</w:t>
      </w:r>
    </w:p>
    <w:p w:rsidR="00F46041" w:rsidRPr="00DB20DF" w:rsidRDefault="00F46041" w:rsidP="00C12073">
      <w:pPr>
        <w:keepNext/>
        <w:keepLines/>
        <w:numPr>
          <w:ilvl w:val="0"/>
          <w:numId w:val="168"/>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Závěrečný předávací protokol obsah</w:t>
      </w:r>
      <w:r w:rsidR="006E5052">
        <w:rPr>
          <w:rFonts w:ascii="Times New Roman" w:hAnsi="Times New Roman" w:cs="Times New Roman"/>
          <w:sz w:val="24"/>
          <w:szCs w:val="24"/>
        </w:rPr>
        <w:t>uje</w:t>
      </w:r>
      <w:r w:rsidRPr="00675ADF">
        <w:rPr>
          <w:rFonts w:ascii="Times New Roman" w:hAnsi="Times New Roman" w:cs="Times New Roman"/>
          <w:sz w:val="24"/>
          <w:szCs w:val="24"/>
        </w:rPr>
        <w:t xml:space="preserve"> soupis a specifikace jednotlivých položek, </w:t>
      </w:r>
      <w:r w:rsidR="006E5052">
        <w:rPr>
          <w:rFonts w:ascii="Times New Roman" w:hAnsi="Times New Roman" w:cs="Times New Roman"/>
          <w:sz w:val="24"/>
          <w:szCs w:val="24"/>
        </w:rPr>
        <w:t>které odpovídají</w:t>
      </w:r>
      <w:r w:rsidRPr="00675ADF">
        <w:rPr>
          <w:rFonts w:ascii="Times New Roman" w:hAnsi="Times New Roman" w:cs="Times New Roman"/>
          <w:sz w:val="24"/>
          <w:szCs w:val="24"/>
        </w:rPr>
        <w:t xml:space="preserve"> technickým podmínkám a soupisu a specifikaci jednotlivých položek ze zadávací dokumentace a uzavřené smlouvy o dílo. Součástí předávacího protokolu </w:t>
      </w:r>
      <w:r w:rsidR="006E5052">
        <w:rPr>
          <w:rFonts w:ascii="Times New Roman" w:hAnsi="Times New Roman" w:cs="Times New Roman"/>
          <w:sz w:val="24"/>
          <w:szCs w:val="24"/>
        </w:rPr>
        <w:t>je</w:t>
      </w:r>
      <w:r w:rsidRPr="00675ADF">
        <w:rPr>
          <w:rFonts w:ascii="Times New Roman" w:hAnsi="Times New Roman" w:cs="Times New Roman"/>
          <w:sz w:val="24"/>
          <w:szCs w:val="24"/>
        </w:rPr>
        <w:t xml:space="preserve"> prohlášení zadavatele, že poskytnuté práce/dodávky/služby jsou v pořádku a plně funkční. </w:t>
      </w:r>
      <w:r w:rsidRPr="00DB20DF">
        <w:rPr>
          <w:rFonts w:ascii="Times New Roman" w:hAnsi="Times New Roman" w:cs="Times New Roman"/>
          <w:b/>
          <w:sz w:val="24"/>
          <w:szCs w:val="24"/>
        </w:rPr>
        <w:t xml:space="preserve">Případné rozdíly oproti smlouvě o dílo </w:t>
      </w:r>
      <w:r w:rsidR="006E5052">
        <w:rPr>
          <w:rFonts w:ascii="Times New Roman" w:hAnsi="Times New Roman" w:cs="Times New Roman"/>
          <w:b/>
          <w:sz w:val="24"/>
          <w:szCs w:val="24"/>
        </w:rPr>
        <w:t>zadavatel</w:t>
      </w:r>
      <w:r w:rsidRPr="00DB20DF">
        <w:rPr>
          <w:rFonts w:ascii="Times New Roman" w:hAnsi="Times New Roman" w:cs="Times New Roman"/>
          <w:b/>
          <w:sz w:val="24"/>
          <w:szCs w:val="24"/>
        </w:rPr>
        <w:t xml:space="preserve"> vyznač</w:t>
      </w:r>
      <w:r w:rsidR="006E5052">
        <w:rPr>
          <w:rFonts w:ascii="Times New Roman" w:hAnsi="Times New Roman" w:cs="Times New Roman"/>
          <w:b/>
          <w:sz w:val="24"/>
          <w:szCs w:val="24"/>
        </w:rPr>
        <w:t>í a zdůvodnění</w:t>
      </w:r>
      <w:r w:rsidRPr="00DB20DF">
        <w:rPr>
          <w:rFonts w:ascii="Times New Roman" w:hAnsi="Times New Roman" w:cs="Times New Roman"/>
          <w:b/>
          <w:sz w:val="24"/>
          <w:szCs w:val="24"/>
        </w:rPr>
        <w:t>.</w:t>
      </w:r>
    </w:p>
    <w:p w:rsidR="00E54FA9" w:rsidRPr="0048085A" w:rsidRDefault="00E54FA9" w:rsidP="00765FD7">
      <w:pPr>
        <w:keepNext/>
        <w:keepLines/>
        <w:rPr>
          <w:b/>
          <w:bCs/>
          <w:noProof/>
        </w:rPr>
      </w:pPr>
    </w:p>
    <w:p w:rsidR="007B2A95" w:rsidRPr="0094202D" w:rsidRDefault="007B2A95">
      <w:pPr>
        <w:pStyle w:val="Nadpis2"/>
        <w:keepLines/>
        <w:spacing w:before="360"/>
        <w:ind w:left="578" w:hanging="578"/>
        <w:rPr>
          <w:noProof/>
        </w:rPr>
      </w:pPr>
      <w:bookmarkStart w:id="536" w:name="_Toc327168392"/>
      <w:bookmarkStart w:id="537" w:name="_Toc327282025"/>
      <w:bookmarkStart w:id="538" w:name="_Toc327282421"/>
      <w:bookmarkStart w:id="539" w:name="_Toc177462470"/>
      <w:bookmarkStart w:id="540" w:name="_Toc191363134"/>
      <w:bookmarkStart w:id="541" w:name="_Toc191972615"/>
      <w:bookmarkStart w:id="542" w:name="_Toc191978813"/>
      <w:bookmarkStart w:id="543" w:name="_Toc244415592"/>
      <w:bookmarkStart w:id="544" w:name="_Toc346195873"/>
      <w:bookmarkStart w:id="545" w:name="_Toc328732774"/>
      <w:bookmarkStart w:id="546" w:name="_Toc365638298"/>
      <w:bookmarkStart w:id="547" w:name="_Toc373858702"/>
      <w:bookmarkEnd w:id="536"/>
      <w:bookmarkEnd w:id="537"/>
      <w:bookmarkEnd w:id="538"/>
      <w:r w:rsidRPr="0094202D">
        <w:rPr>
          <w:noProof/>
        </w:rPr>
        <w:t>Monitorování postupu projektů</w:t>
      </w:r>
      <w:bookmarkStart w:id="548" w:name="_Toc168126984"/>
      <w:bookmarkStart w:id="549" w:name="_Toc174724541"/>
      <w:bookmarkEnd w:id="539"/>
      <w:bookmarkEnd w:id="540"/>
      <w:bookmarkEnd w:id="541"/>
      <w:bookmarkEnd w:id="542"/>
      <w:bookmarkEnd w:id="543"/>
      <w:bookmarkEnd w:id="544"/>
      <w:bookmarkEnd w:id="545"/>
      <w:bookmarkEnd w:id="546"/>
      <w:bookmarkEnd w:id="547"/>
    </w:p>
    <w:p w:rsidR="0094202D" w:rsidRDefault="0094202D" w:rsidP="00765FD7">
      <w:pPr>
        <w:keepNext/>
        <w:keepLines/>
        <w:rPr>
          <w:rFonts w:ascii="Times New Roman" w:hAnsi="Times New Roman" w:cs="Times New Roman"/>
          <w:sz w:val="24"/>
          <w:szCs w:val="24"/>
        </w:rPr>
      </w:pPr>
      <w:bookmarkStart w:id="550" w:name="_Toc192647196"/>
      <w:bookmarkStart w:id="551" w:name="_Toc192652046"/>
      <w:bookmarkStart w:id="552" w:name="_Toc192658911"/>
      <w:bookmarkStart w:id="553" w:name="_Toc193873403"/>
      <w:bookmarkStart w:id="554" w:name="_Toc198439940"/>
      <w:bookmarkEnd w:id="548"/>
      <w:bookmarkEnd w:id="549"/>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0"/>
      <w:bookmarkEnd w:id="551"/>
      <w:bookmarkEnd w:id="552"/>
      <w:bookmarkEnd w:id="553"/>
      <w:bookmarkEnd w:id="554"/>
      <w:r>
        <w:rPr>
          <w:rFonts w:ascii="Times New Roman" w:hAnsi="Times New Roman" w:cs="Times New Roman"/>
          <w:sz w:val="24"/>
          <w:szCs w:val="24"/>
        </w:rPr>
        <w:t xml:space="preserve"> </w:t>
      </w:r>
    </w:p>
    <w:p w:rsidR="007B2A95" w:rsidRDefault="0094202D" w:rsidP="0060682B">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a monitorovací zprávy (vzor viz příloha </w:t>
      </w:r>
      <w:r w:rsidR="00911039">
        <w:rPr>
          <w:rFonts w:ascii="Times New Roman" w:hAnsi="Times New Roman" w:cs="Times New Roman"/>
          <w:sz w:val="24"/>
          <w:szCs w:val="24"/>
        </w:rPr>
        <w:br/>
      </w:r>
      <w:r w:rsidRPr="00CF5AFC">
        <w:rPr>
          <w:rFonts w:ascii="Times New Roman" w:hAnsi="Times New Roman" w:cs="Times New Roman"/>
          <w:sz w:val="24"/>
          <w:szCs w:val="24"/>
        </w:rPr>
        <w:t xml:space="preserve">č. </w:t>
      </w:r>
      <w:r w:rsidR="00CF5AFC" w:rsidRPr="00CF5AFC">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sidR="005E4CD4">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C703D5">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C703D5">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C703D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C703D5">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lastRenderedPageBreak/>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C703D5" w:rsidRPr="00C703D5">
        <w:rPr>
          <w:rFonts w:ascii="Times New Roman" w:hAnsi="Times New Roman"/>
          <w:b/>
          <w:sz w:val="24"/>
          <w:szCs w:val="24"/>
        </w:rPr>
        <w:t>dnů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w:t>
      </w:r>
      <w:r w:rsidR="008D5407">
        <w:rPr>
          <w:rFonts w:ascii="Times New Roman" w:hAnsi="Times New Roman" w:cs="Times New Roman"/>
          <w:sz w:val="24"/>
          <w:szCs w:val="24"/>
        </w:rPr>
        <w:t>ve kt</w:t>
      </w:r>
      <w:r w:rsidR="00E614BE">
        <w:rPr>
          <w:rFonts w:ascii="Times New Roman" w:hAnsi="Times New Roman" w:cs="Times New Roman"/>
          <w:sz w:val="24"/>
          <w:szCs w:val="24"/>
        </w:rPr>
        <w:t>e</w:t>
      </w:r>
      <w:r w:rsidR="008D5407">
        <w:rPr>
          <w:rFonts w:ascii="Times New Roman" w:hAnsi="Times New Roman" w:cs="Times New Roman"/>
          <w:sz w:val="24"/>
          <w:szCs w:val="24"/>
        </w:rPr>
        <w:t>rém</w:t>
      </w:r>
      <w:r w:rsidRPr="006237B6">
        <w:rPr>
          <w:rFonts w:ascii="Times New Roman" w:hAnsi="Times New Roman" w:cs="Times New Roman"/>
          <w:sz w:val="24"/>
          <w:szCs w:val="24"/>
        </w:rPr>
        <w:t xml:space="preserve">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Povinnost předkládat hlášení 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B83EEC">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B83EEC">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sidR="008D5407">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sidR="008D5407">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sidR="008D5407">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 xml:space="preserve">do </w:t>
      </w:r>
      <w:r w:rsidR="008228AB" w:rsidRPr="00403FB4">
        <w:rPr>
          <w:rFonts w:ascii="Times New Roman" w:hAnsi="Times New Roman" w:cs="Times New Roman"/>
          <w:b/>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8D5407">
        <w:rPr>
          <w:rFonts w:ascii="Times New Roman" w:hAnsi="Times New Roman" w:cs="Times New Roman"/>
          <w:sz w:val="24"/>
          <w:szCs w:val="24"/>
        </w:rPr>
        <w:t xml:space="preserve">Pokud </w:t>
      </w:r>
      <w:r w:rsidR="00724180">
        <w:rPr>
          <w:rFonts w:ascii="Times New Roman" w:hAnsi="Times New Roman" w:cs="Times New Roman"/>
          <w:sz w:val="24"/>
          <w:szCs w:val="24"/>
        </w:rPr>
        <w:t xml:space="preserve">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etapovou monitorovací zprávu</w:t>
      </w:r>
      <w:r w:rsidR="008D5407">
        <w:rPr>
          <w:rFonts w:ascii="Times New Roman" w:hAnsi="Times New Roman" w:cs="Times New Roman"/>
          <w:sz w:val="24"/>
          <w:szCs w:val="24"/>
        </w:rPr>
        <w:t xml:space="preserve"> a </w:t>
      </w:r>
      <w:r w:rsidR="008D5407" w:rsidRPr="001A0C7B">
        <w:rPr>
          <w:rFonts w:ascii="Times New Roman" w:hAnsi="Times New Roman" w:cs="Times New Roman"/>
          <w:sz w:val="24"/>
          <w:szCs w:val="24"/>
        </w:rPr>
        <w:t xml:space="preserve">zjednodušenou žádost o platbu </w:t>
      </w:r>
      <w:r w:rsidR="00724180">
        <w:rPr>
          <w:rFonts w:ascii="Times New Roman" w:hAnsi="Times New Roman" w:cs="Times New Roman"/>
          <w:sz w:val="24"/>
          <w:szCs w:val="24"/>
        </w:rPr>
        <w:t xml:space="preserve">je nutné předložit do 20 pracovních dnů od schválení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w:t>
      </w:r>
      <w:r w:rsidR="008D5407">
        <w:rPr>
          <w:rFonts w:ascii="Times New Roman" w:hAnsi="Times New Roman" w:cs="Times New Roman"/>
          <w:sz w:val="24"/>
          <w:szCs w:val="24"/>
        </w:rPr>
        <w:t>áděl</w:t>
      </w:r>
      <w:r>
        <w:rPr>
          <w:rFonts w:ascii="Times New Roman" w:hAnsi="Times New Roman" w:cs="Times New Roman"/>
          <w:sz w:val="24"/>
          <w:szCs w:val="24"/>
        </w:rPr>
        <w:t xml:space="preserve"> v hlášení o pokroku, pokud se údaje týkají etapy</w:t>
      </w:r>
      <w:r w:rsidR="008D5407">
        <w:rPr>
          <w:rFonts w:ascii="Times New Roman" w:hAnsi="Times New Roman" w:cs="Times New Roman"/>
          <w:sz w:val="24"/>
          <w:szCs w:val="24"/>
        </w:rPr>
        <w:t>, za kterou předkládá monitorovací zprávu</w:t>
      </w:r>
      <w:r>
        <w:rPr>
          <w:rFonts w:ascii="Times New Roman" w:hAnsi="Times New Roman" w:cs="Times New Roman"/>
          <w:sz w:val="24"/>
          <w:szCs w:val="24"/>
        </w:rPr>
        <w:t>.</w:t>
      </w:r>
    </w:p>
    <w:p w:rsidR="008D5407"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sidR="00B04109">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B04109">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94202D" w:rsidRDefault="0094202D" w:rsidP="00765FD7">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sidR="00B04109">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8633C1">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sidR="008D5407">
        <w:rPr>
          <w:rFonts w:ascii="Times New Roman" w:hAnsi="Times New Roman" w:cs="Times New Roman"/>
          <w:sz w:val="24"/>
          <w:szCs w:val="24"/>
        </w:rPr>
        <w:t xml:space="preserve">závěrečnou monitorovací </w:t>
      </w:r>
      <w:r w:rsidRPr="00782FD0">
        <w:rPr>
          <w:rFonts w:ascii="Times New Roman" w:hAnsi="Times New Roman" w:cs="Times New Roman"/>
          <w:sz w:val="24"/>
          <w:szCs w:val="24"/>
        </w:rPr>
        <w:t xml:space="preserve">zprávu </w:t>
      </w:r>
      <w:r w:rsidR="008D5407">
        <w:rPr>
          <w:rFonts w:ascii="Times New Roman" w:hAnsi="Times New Roman" w:cs="Times New Roman"/>
          <w:sz w:val="24"/>
          <w:szCs w:val="24"/>
        </w:rPr>
        <w:t>a</w:t>
      </w:r>
      <w:r w:rsidRPr="001A0C7B">
        <w:rPr>
          <w:rFonts w:ascii="Times New Roman" w:hAnsi="Times New Roman" w:cs="Times New Roman"/>
          <w:sz w:val="24"/>
          <w:szCs w:val="24"/>
        </w:rPr>
        <w:t xml:space="preserve"> zjednodušenou žádost o platbu </w:t>
      </w:r>
      <w:r w:rsidR="008D5407" w:rsidRPr="00782FD0">
        <w:rPr>
          <w:rFonts w:ascii="Times New Roman" w:hAnsi="Times New Roman" w:cs="Times New Roman"/>
          <w:sz w:val="24"/>
          <w:szCs w:val="24"/>
        </w:rPr>
        <w:t>do B</w:t>
      </w:r>
      <w:r w:rsidR="008D5407">
        <w:rPr>
          <w:rFonts w:ascii="Times New Roman" w:hAnsi="Times New Roman" w:cs="Times New Roman"/>
          <w:sz w:val="24"/>
          <w:szCs w:val="24"/>
        </w:rPr>
        <w:t>ENEFIT</w:t>
      </w:r>
      <w:r w:rsidR="008D5407" w:rsidRPr="00782FD0">
        <w:rPr>
          <w:rFonts w:ascii="Times New Roman" w:hAnsi="Times New Roman" w:cs="Times New Roman"/>
          <w:sz w:val="24"/>
          <w:szCs w:val="24"/>
        </w:rPr>
        <w:t xml:space="preserve">7 </w:t>
      </w:r>
      <w:r>
        <w:rPr>
          <w:rFonts w:ascii="Times New Roman" w:hAnsi="Times New Roman" w:cs="Times New Roman"/>
          <w:sz w:val="24"/>
          <w:szCs w:val="24"/>
        </w:rPr>
        <w:t>a předloží j</w:t>
      </w:r>
      <w:r w:rsidR="008D5407">
        <w:rPr>
          <w:rFonts w:ascii="Times New Roman" w:hAnsi="Times New Roman" w:cs="Times New Roman"/>
          <w:sz w:val="24"/>
          <w:szCs w:val="24"/>
        </w:rPr>
        <w:t>e</w:t>
      </w:r>
      <w:r>
        <w:rPr>
          <w:rFonts w:ascii="Times New Roman" w:hAnsi="Times New Roman" w:cs="Times New Roman"/>
          <w:sz w:val="24"/>
          <w:szCs w:val="24"/>
        </w:rPr>
        <w:t xml:space="preserve"> na CRR ČR</w:t>
      </w:r>
      <w:r w:rsidRPr="003719EB">
        <w:rPr>
          <w:rFonts w:ascii="Times New Roman" w:hAnsi="Times New Roman" w:cs="Times New Roman"/>
          <w:b/>
          <w:sz w:val="24"/>
          <w:szCs w:val="24"/>
        </w:rPr>
        <w:t xml:space="preserve"> do </w:t>
      </w:r>
      <w:r w:rsidR="008228AB" w:rsidRPr="003719EB">
        <w:rPr>
          <w:rFonts w:ascii="Times New Roman" w:hAnsi="Times New Roman" w:cs="Times New Roman"/>
          <w:b/>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w:t>
      </w:r>
      <w:r w:rsidR="008D5407">
        <w:rPr>
          <w:rFonts w:ascii="Times New Roman" w:hAnsi="Times New Roman" w:cs="Times New Roman"/>
          <w:sz w:val="24"/>
          <w:szCs w:val="24"/>
        </w:rPr>
        <w:t>e</w:t>
      </w:r>
      <w:r w:rsidRPr="00782FD0">
        <w:rPr>
          <w:rFonts w:ascii="Times New Roman" w:hAnsi="Times New Roman" w:cs="Times New Roman"/>
          <w:sz w:val="24"/>
          <w:szCs w:val="24"/>
        </w:rPr>
        <w:t xml:space="preserve">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lastRenderedPageBreak/>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B04109">
        <w:rPr>
          <w:rFonts w:ascii="Times New Roman" w:hAnsi="Times New Roman" w:cs="Times New Roman"/>
          <w:b/>
        </w:rPr>
        <w:t>hlášení o pokroku</w:t>
      </w:r>
      <w:r w:rsidRPr="00325242">
        <w:rPr>
          <w:rFonts w:ascii="Times New Roman" w:hAnsi="Times New Roman" w:cs="Times New Roman"/>
          <w:b/>
        </w:rPr>
        <w:t xml:space="preserve"> a </w:t>
      </w:r>
      <w:r w:rsidR="00B04109">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B83EEC">
        <w:rPr>
          <w:rFonts w:ascii="Times New Roman" w:hAnsi="Times New Roman" w:cs="Times New Roman"/>
          <w:b/>
        </w:rPr>
        <w:t>1</w:t>
      </w:r>
      <w:r w:rsidR="005E4CD4">
        <w:rPr>
          <w:rFonts w:ascii="Times New Roman" w:hAnsi="Times New Roman" w:cs="Times New Roman"/>
          <w:b/>
        </w:rPr>
        <w:t xml:space="preserve"> a 1</w:t>
      </w:r>
      <w:r w:rsidR="00B83EEC">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sidR="00F41C6F">
        <w:rPr>
          <w:rFonts w:ascii="Times New Roman" w:hAnsi="Times New Roman" w:cs="Times New Roman"/>
          <w:b/>
        </w:rPr>
        <w:t> výpis z odděleného účetnictví, ve kterém jsou uvedené příjmy a výdaje, vztahující se k 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D15DC5" w:rsidRPr="00325242" w:rsidRDefault="00D15DC5" w:rsidP="00F22D47">
      <w:pPr>
        <w:keepNext/>
        <w:keepLines/>
        <w:spacing w:before="0"/>
        <w:rPr>
          <w:rFonts w:ascii="Times New Roman" w:hAnsi="Times New Roman" w:cs="Times New Roman"/>
          <w:sz w:val="24"/>
          <w:szCs w:val="24"/>
        </w:rPr>
      </w:pPr>
    </w:p>
    <w:p w:rsidR="0094202D" w:rsidRPr="00A56B25" w:rsidRDefault="00FD4701">
      <w:pPr>
        <w:pStyle w:val="Nadpis2"/>
        <w:keepLines/>
        <w:spacing w:before="360"/>
        <w:ind w:left="578" w:hanging="578"/>
        <w:rPr>
          <w:noProof/>
          <w:lang w:val="cs-CZ"/>
        </w:rPr>
      </w:pPr>
      <w:bookmarkStart w:id="555" w:name="_Toc244415591"/>
      <w:bookmarkStart w:id="556" w:name="_Toc328732775"/>
      <w:bookmarkStart w:id="557" w:name="_Toc365638299"/>
      <w:bookmarkStart w:id="558" w:name="_Toc346195874"/>
      <w:bookmarkStart w:id="559" w:name="_Toc373858703"/>
      <w:bookmarkStart w:id="560" w:name="_Toc155769586"/>
      <w:bookmarkStart w:id="561" w:name="_Toc177462476"/>
      <w:bookmarkStart w:id="562" w:name="_Toc191363135"/>
      <w:bookmarkStart w:id="563" w:name="_Toc191972616"/>
      <w:bookmarkStart w:id="564" w:name="_Toc191978814"/>
      <w:bookmarkStart w:id="565" w:name="_Toc244415593"/>
      <w:r w:rsidRPr="00FD4701">
        <w:rPr>
          <w:noProof/>
          <w:lang w:val="cs-CZ"/>
        </w:rPr>
        <w:t>Změny v projektu</w:t>
      </w:r>
      <w:bookmarkEnd w:id="555"/>
      <w:r w:rsidRPr="00FD4701">
        <w:rPr>
          <w:noProof/>
          <w:lang w:val="cs-CZ"/>
        </w:rPr>
        <w:t xml:space="preserve">, změny </w:t>
      </w:r>
      <w:bookmarkEnd w:id="556"/>
      <w:bookmarkEnd w:id="557"/>
      <w:r w:rsidRPr="00FD4701">
        <w:rPr>
          <w:noProof/>
          <w:lang w:val="cs-CZ"/>
        </w:rPr>
        <w:t>Stanovení výdajů</w:t>
      </w:r>
      <w:bookmarkEnd w:id="558"/>
      <w:bookmarkEnd w:id="559"/>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00D15DC5" w:rsidRPr="00FF3B60">
        <w:rPr>
          <w:rFonts w:ascii="Times New Roman" w:hAnsi="Times New Roman" w:cs="Times New Roman"/>
          <w:b/>
          <w:sz w:val="24"/>
          <w:szCs w:val="24"/>
        </w:rPr>
        <w:t>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272EB8">
      <w:pPr>
        <w:pStyle w:val="Odstavecseseznamem"/>
        <w:numPr>
          <w:ilvl w:val="0"/>
          <w:numId w:val="298"/>
        </w:numPr>
        <w:jc w:val="both"/>
        <w:rPr>
          <w:rFonts w:ascii="Times New Roman" w:hAnsi="Times New Roman"/>
          <w:sz w:val="24"/>
          <w:szCs w:val="24"/>
        </w:rPr>
      </w:pPr>
      <w:r>
        <w:rPr>
          <w:rFonts w:ascii="Times New Roman" w:hAnsi="Times New Roman"/>
          <w:sz w:val="24"/>
          <w:szCs w:val="24"/>
        </w:rPr>
        <w:lastRenderedPageBreak/>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F81986">
        <w:rPr>
          <w:rFonts w:ascii="Times New Roman" w:hAnsi="Times New Roman"/>
          <w:sz w:val="24"/>
          <w:szCs w:val="24"/>
        </w:rPr>
        <w:t>e</w:t>
      </w:r>
      <w:r>
        <w:rPr>
          <w:rFonts w:ascii="Times New Roman" w:hAnsi="Times New Roman"/>
          <w:sz w:val="24"/>
          <w:szCs w:val="24"/>
        </w:rPr>
        <w:t xml:space="preserve"> Stanovení výdajů</w:t>
      </w:r>
      <w:r w:rsidRPr="00012EC7">
        <w:rPr>
          <w:rFonts w:ascii="Times New Roman" w:hAnsi="Times New Roman"/>
          <w:sz w:val="24"/>
          <w:szCs w:val="24"/>
        </w:rPr>
        <w:t xml:space="preserve">, </w:t>
      </w:r>
    </w:p>
    <w:p w:rsidR="00272EB8" w:rsidRPr="00F41C6F" w:rsidRDefault="00272EB8" w:rsidP="00272EB8">
      <w:pPr>
        <w:pStyle w:val="Odstavecseseznamem"/>
        <w:numPr>
          <w:ilvl w:val="0"/>
          <w:numId w:val="298"/>
        </w:numPr>
        <w:jc w:val="both"/>
        <w:rPr>
          <w:rFonts w:ascii="Times New Roman" w:hAnsi="Times New Roman"/>
          <w:sz w:val="24"/>
          <w:szCs w:val="24"/>
        </w:rPr>
      </w:pPr>
      <w:r w:rsidRPr="00F41C6F">
        <w:rPr>
          <w:rFonts w:ascii="Times New Roman" w:hAnsi="Times New Roman"/>
          <w:sz w:val="24"/>
          <w:szCs w:val="24"/>
        </w:rPr>
        <w:t xml:space="preserve">projekt začne generovat příjmy přesto, že je původně negeneroval,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uvedené změny s předstihem, bude uplatněna sankce za pozdní oznámení změny podle </w:t>
      </w:r>
      <w:r w:rsidRPr="00012EC7">
        <w:rPr>
          <w:rFonts w:ascii="Times New Roman" w:hAnsi="Times New Roman"/>
          <w:sz w:val="24"/>
          <w:szCs w:val="24"/>
        </w:rPr>
        <w:t xml:space="preserve">Podmínek Stanovení výdajů. </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Stanovení výdajů </w:t>
      </w:r>
      <w:r w:rsidRPr="00012EC7">
        <w:rPr>
          <w:rFonts w:ascii="Times New Roman" w:hAnsi="Times New Roman"/>
          <w:sz w:val="24"/>
          <w:szCs w:val="24"/>
        </w:rPr>
        <w:t xml:space="preserve">a Podmínky: </w:t>
      </w:r>
    </w:p>
    <w:p w:rsidR="00272EB8" w:rsidRPr="00012EC7" w:rsidRDefault="00272EB8" w:rsidP="00272EB8">
      <w:pPr>
        <w:rPr>
          <w:rFonts w:ascii="Times New Roman" w:hAnsi="Times New Roman"/>
          <w:sz w:val="24"/>
          <w:szCs w:val="24"/>
        </w:rPr>
      </w:pP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272EB8">
      <w:pPr>
        <w:pStyle w:val="Odstavecseseznamem"/>
        <w:numPr>
          <w:ilvl w:val="0"/>
          <w:numId w:val="298"/>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změna poměru investic a neinvestic, </w:t>
      </w:r>
    </w:p>
    <w:p w:rsidR="00272EB8" w:rsidRPr="00012EC7" w:rsidRDefault="00272EB8" w:rsidP="00272EB8">
      <w:pPr>
        <w:pStyle w:val="Odstavecseseznamem"/>
        <w:numPr>
          <w:ilvl w:val="0"/>
          <w:numId w:val="299"/>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272EB8" w:rsidRPr="00F25B88" w:rsidRDefault="00272EB8" w:rsidP="00272EB8">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projektu společně </w:t>
      </w:r>
      <w:r w:rsidRPr="00DC33D7">
        <w:rPr>
          <w:rFonts w:ascii="Times New Roman" w:hAnsi="Times New Roman" w:cs="Times New Roman"/>
          <w:sz w:val="24"/>
          <w:szCs w:val="24"/>
        </w:rPr>
        <w:br/>
        <w:t xml:space="preserve">s nejbližší Etapovou/Závěrečnou monitorovací zprávou či s Hlášením o pokroku za etapu, ve které ke změnám došlo nebo je v této Etapové/Závěrečné monitorovací zprávě či Hlášení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lastRenderedPageBreak/>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v projektu. Úsporou v projektu se myslí rozdíl mezi předpokládanou hodnotou veřejné zakázky a skutečně vysoutěženou cenou. Úspory lze využít na dosud 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Pr="00DD57B2" w:rsidRDefault="007E7FB1"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w:t>
      </w:r>
      <w:r w:rsidR="00F41C6F">
        <w:rPr>
          <w:rFonts w:ascii="Times New Roman" w:hAnsi="Times New Roman" w:cs="Times New Roman"/>
          <w:sz w:val="24"/>
          <w:szCs w:val="24"/>
        </w:rPr>
        <w:t xml:space="preserve"> </w:t>
      </w:r>
      <w:r>
        <w:rPr>
          <w:rFonts w:ascii="Times New Roman" w:hAnsi="Times New Roman" w:cs="Times New Roman"/>
          <w:sz w:val="24"/>
          <w:szCs w:val="24"/>
        </w:rPr>
        <w:t>s odborem OPF MV</w:t>
      </w:r>
      <w:r w:rsidR="00F41C6F">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pPr>
        <w:pStyle w:val="Nadpis2"/>
        <w:keepLines/>
        <w:spacing w:before="360"/>
        <w:ind w:left="578" w:hanging="578"/>
        <w:rPr>
          <w:noProof/>
        </w:rPr>
      </w:pPr>
      <w:bookmarkStart w:id="566" w:name="_Toc285113251"/>
      <w:bookmarkStart w:id="567" w:name="_Toc285113363"/>
      <w:bookmarkStart w:id="568" w:name="_Toc285113447"/>
      <w:bookmarkStart w:id="569" w:name="_Toc311644748"/>
      <w:bookmarkStart w:id="570" w:name="_Toc346195875"/>
      <w:bookmarkStart w:id="571" w:name="_Toc328732776"/>
      <w:bookmarkStart w:id="572" w:name="_Toc365638300"/>
      <w:bookmarkStart w:id="573" w:name="_Toc373858704"/>
      <w:r w:rsidRPr="009C6266">
        <w:rPr>
          <w:noProof/>
        </w:rPr>
        <w:t xml:space="preserve">Odstoupení od </w:t>
      </w:r>
      <w:r>
        <w:rPr>
          <w:noProof/>
        </w:rPr>
        <w:t xml:space="preserve">realizace </w:t>
      </w:r>
      <w:r w:rsidRPr="009C6266">
        <w:rPr>
          <w:noProof/>
        </w:rPr>
        <w:t>projektu</w:t>
      </w:r>
      <w:bookmarkEnd w:id="566"/>
      <w:bookmarkEnd w:id="567"/>
      <w:bookmarkEnd w:id="568"/>
      <w:bookmarkEnd w:id="569"/>
      <w:bookmarkEnd w:id="570"/>
      <w:bookmarkEnd w:id="571"/>
      <w:bookmarkEnd w:id="572"/>
      <w:bookmarkEnd w:id="573"/>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8B6AA1" w:rsidRDefault="008B6AA1" w:rsidP="00D31CD7">
      <w:pPr>
        <w:rPr>
          <w:rFonts w:ascii="Times New Roman" w:hAnsi="Times New Roman" w:cs="Times New Roman"/>
          <w:sz w:val="24"/>
          <w:szCs w:val="24"/>
        </w:rPr>
      </w:pPr>
    </w:p>
    <w:p w:rsidR="00D31CD7" w:rsidRPr="00AA1D78" w:rsidRDefault="00D31CD7">
      <w:pPr>
        <w:pStyle w:val="Nadpis2"/>
        <w:keepLines/>
        <w:spacing w:before="360"/>
        <w:ind w:left="578" w:hanging="578"/>
        <w:rPr>
          <w:noProof/>
          <w:lang w:val="cs-CZ"/>
        </w:rPr>
      </w:pPr>
      <w:bookmarkStart w:id="574" w:name="_Toc285113252"/>
      <w:bookmarkStart w:id="575" w:name="_Toc285113364"/>
      <w:bookmarkStart w:id="576" w:name="_Toc285113448"/>
      <w:bookmarkStart w:id="577" w:name="_Toc311644749"/>
      <w:bookmarkStart w:id="578" w:name="_Toc346195876"/>
      <w:bookmarkStart w:id="579" w:name="_Toc328732777"/>
      <w:bookmarkStart w:id="580" w:name="_Toc365638301"/>
      <w:bookmarkStart w:id="581" w:name="_Toc373858705"/>
      <w:r w:rsidRPr="00AA1D78">
        <w:rPr>
          <w:noProof/>
          <w:lang w:val="cs-CZ"/>
        </w:rPr>
        <w:lastRenderedPageBreak/>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74"/>
      <w:bookmarkEnd w:id="575"/>
      <w:bookmarkEnd w:id="576"/>
      <w:bookmarkEnd w:id="577"/>
      <w:bookmarkEnd w:id="578"/>
      <w:bookmarkEnd w:id="579"/>
      <w:bookmarkEnd w:id="580"/>
      <w:bookmarkEnd w:id="581"/>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225467" w:rsidRPr="002E4DC2">
        <w:rPr>
          <w:rFonts w:ascii="Times New Roman" w:hAnsi="Times New Roman" w:cs="Times New Roman"/>
          <w:sz w:val="24"/>
          <w:szCs w:val="24"/>
        </w:rPr>
        <w:t xml:space="preserve">Za nesrovnalost se nepokládá provedení neoprávněného výdaje </w:t>
      </w:r>
      <w:r w:rsidR="00225467">
        <w:rPr>
          <w:rFonts w:ascii="Times New Roman" w:hAnsi="Times New Roman" w:cs="Times New Roman"/>
          <w:sz w:val="24"/>
          <w:szCs w:val="24"/>
        </w:rPr>
        <w:t>OSS</w:t>
      </w:r>
      <w:r w:rsidR="00F41C6F">
        <w:rPr>
          <w:rFonts w:ascii="Times New Roman" w:hAnsi="Times New Roman" w:cs="Times New Roman"/>
          <w:sz w:val="24"/>
          <w:szCs w:val="24"/>
        </w:rPr>
        <w:t>,</w:t>
      </w:r>
      <w:r w:rsidR="00225467" w:rsidRPr="002E4DC2">
        <w:rPr>
          <w:rFonts w:ascii="Times New Roman" w:hAnsi="Times New Roman" w:cs="Times New Roman"/>
          <w:sz w:val="24"/>
          <w:szCs w:val="24"/>
        </w:rPr>
        <w:t xml:space="preserve"> </w:t>
      </w:r>
      <w:r w:rsidR="00F41C6F">
        <w:rPr>
          <w:rFonts w:ascii="Times New Roman" w:hAnsi="Times New Roman" w:cs="Times New Roman"/>
          <w:sz w:val="24"/>
          <w:szCs w:val="24"/>
        </w:rPr>
        <w:t>pokud</w:t>
      </w:r>
      <w:r w:rsidR="00225467" w:rsidRPr="002E4DC2">
        <w:rPr>
          <w:rFonts w:ascii="Times New Roman" w:hAnsi="Times New Roman" w:cs="Times New Roman"/>
          <w:sz w:val="24"/>
          <w:szCs w:val="24"/>
        </w:rPr>
        <w:t xml:space="preserve"> dojde k</w:t>
      </w:r>
      <w:r w:rsidR="00F41C6F">
        <w:rPr>
          <w:rFonts w:ascii="Times New Roman" w:hAnsi="Times New Roman" w:cs="Times New Roman"/>
          <w:sz w:val="24"/>
          <w:szCs w:val="24"/>
        </w:rPr>
        <w:t xml:space="preserve"> jeho </w:t>
      </w:r>
      <w:r w:rsidR="00225467" w:rsidRPr="002E4DC2">
        <w:rPr>
          <w:rFonts w:ascii="Times New Roman" w:hAnsi="Times New Roman" w:cs="Times New Roman"/>
          <w:sz w:val="24"/>
          <w:szCs w:val="24"/>
        </w:rPr>
        <w:t xml:space="preserve">odhalení před schválením žádosti o platbu </w:t>
      </w:r>
      <w:r w:rsidR="00F41C6F">
        <w:rPr>
          <w:rFonts w:ascii="Times New Roman" w:hAnsi="Times New Roman" w:cs="Times New Roman"/>
          <w:sz w:val="24"/>
          <w:szCs w:val="24"/>
        </w:rPr>
        <w:t xml:space="preserve">na </w:t>
      </w:r>
      <w:r w:rsidR="00225467">
        <w:rPr>
          <w:rFonts w:ascii="Times New Roman" w:hAnsi="Times New Roman" w:cs="Times New Roman"/>
          <w:sz w:val="24"/>
          <w:szCs w:val="24"/>
        </w:rPr>
        <w:t>ŘO IOP</w:t>
      </w:r>
      <w:r w:rsidR="00225467" w:rsidRPr="002E4DC2">
        <w:rPr>
          <w:rFonts w:ascii="Times New Roman" w:hAnsi="Times New Roman" w:cs="Times New Roman"/>
          <w:sz w:val="24"/>
          <w:szCs w:val="24"/>
        </w:rPr>
        <w:t>. Tyto případy představ</w:t>
      </w:r>
      <w:r w:rsidR="00F41C6F">
        <w:rPr>
          <w:rFonts w:ascii="Times New Roman" w:hAnsi="Times New Roman" w:cs="Times New Roman"/>
          <w:sz w:val="24"/>
          <w:szCs w:val="24"/>
        </w:rPr>
        <w:t>ují</w:t>
      </w:r>
      <w:r w:rsidR="00225467" w:rsidRPr="002E4DC2">
        <w:rPr>
          <w:rFonts w:ascii="Times New Roman" w:hAnsi="Times New Roman" w:cs="Times New Roman"/>
          <w:sz w:val="24"/>
          <w:szCs w:val="24"/>
        </w:rPr>
        <w:t xml:space="preserve"> podezřen</w:t>
      </w:r>
      <w:r w:rsidR="00225467">
        <w:rPr>
          <w:rFonts w:ascii="Times New Roman" w:hAnsi="Times New Roman" w:cs="Times New Roman"/>
          <w:sz w:val="24"/>
          <w:szCs w:val="24"/>
        </w:rPr>
        <w:t>í na porušení rozpočtové kázně a budou předá</w:t>
      </w:r>
      <w:r w:rsidR="00225467" w:rsidRPr="002E4DC2">
        <w:rPr>
          <w:rFonts w:ascii="Times New Roman" w:hAnsi="Times New Roman" w:cs="Times New Roman"/>
          <w:sz w:val="24"/>
          <w:szCs w:val="24"/>
        </w:rPr>
        <w:t>ny příslušným orgánům finanční správy</w:t>
      </w:r>
      <w:r w:rsidR="0022546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pPr>
        <w:pStyle w:val="Nadpis2"/>
        <w:keepLines/>
        <w:spacing w:before="360"/>
        <w:ind w:left="578" w:hanging="578"/>
        <w:rPr>
          <w:noProof/>
        </w:rPr>
      </w:pPr>
      <w:bookmarkStart w:id="582" w:name="_Toc285113253"/>
      <w:bookmarkStart w:id="583" w:name="_Toc285113365"/>
      <w:bookmarkStart w:id="584" w:name="_Toc285113449"/>
      <w:bookmarkStart w:id="585" w:name="_Toc311644750"/>
      <w:bookmarkStart w:id="586" w:name="_Toc346195877"/>
      <w:bookmarkStart w:id="587" w:name="_Toc328732778"/>
      <w:bookmarkStart w:id="588" w:name="_Toc365638302"/>
      <w:bookmarkStart w:id="589" w:name="_Toc373858706"/>
      <w:r>
        <w:rPr>
          <w:noProof/>
        </w:rPr>
        <w:lastRenderedPageBreak/>
        <w:t>Čerpání dotace</w:t>
      </w:r>
      <w:bookmarkEnd w:id="582"/>
      <w:bookmarkEnd w:id="583"/>
      <w:bookmarkEnd w:id="584"/>
      <w:bookmarkEnd w:id="585"/>
      <w:bookmarkEnd w:id="586"/>
      <w:bookmarkEnd w:id="587"/>
      <w:bookmarkEnd w:id="588"/>
      <w:bookmarkEnd w:id="589"/>
    </w:p>
    <w:p w:rsidR="00D31CD7" w:rsidRPr="009C6266" w:rsidRDefault="00D50AFC">
      <w:pPr>
        <w:pStyle w:val="Nadpis3"/>
        <w:keepLines/>
      </w:pPr>
      <w:bookmarkStart w:id="590" w:name="_Toc285113254"/>
      <w:bookmarkStart w:id="591" w:name="_Toc285113366"/>
      <w:bookmarkStart w:id="592" w:name="_Toc285113450"/>
      <w:bookmarkStart w:id="593" w:name="_Toc311644751"/>
      <w:r>
        <w:t xml:space="preserve"> </w:t>
      </w:r>
      <w:bookmarkStart w:id="594" w:name="_Toc346195878"/>
      <w:bookmarkStart w:id="595" w:name="_Toc328732779"/>
      <w:bookmarkStart w:id="596" w:name="_Toc365638303"/>
      <w:bookmarkStart w:id="597" w:name="_Toc373858707"/>
      <w:r w:rsidR="00D31CD7">
        <w:t xml:space="preserve">Zřízení </w:t>
      </w:r>
      <w:r w:rsidR="00D31CD7" w:rsidRPr="009C6266">
        <w:t xml:space="preserve">účtu </w:t>
      </w:r>
      <w:r w:rsidR="00D31CD7">
        <w:t xml:space="preserve">pro </w:t>
      </w:r>
      <w:r w:rsidR="00D31CD7" w:rsidRPr="009C6266">
        <w:t>projekt</w:t>
      </w:r>
      <w:bookmarkEnd w:id="590"/>
      <w:bookmarkEnd w:id="591"/>
      <w:bookmarkEnd w:id="592"/>
      <w:bookmarkEnd w:id="593"/>
      <w:bookmarkEnd w:id="594"/>
      <w:bookmarkEnd w:id="595"/>
      <w:bookmarkEnd w:id="596"/>
      <w:bookmarkEnd w:id="597"/>
    </w:p>
    <w:p w:rsidR="00FB3B5E" w:rsidRPr="006D3B2A" w:rsidRDefault="00FB3B5E" w:rsidP="00FB3B5E">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před schválením Stanovení výdajů</w:t>
      </w:r>
      <w:r w:rsidR="0086493A">
        <w:rPr>
          <w:rFonts w:ascii="Times New Roman" w:hAnsi="Times New Roman" w:cs="Times New Roman"/>
          <w:b/>
          <w:sz w:val="24"/>
          <w:szCs w:val="24"/>
        </w:rPr>
        <w:t xml:space="preserve"> </w:t>
      </w:r>
      <w:bookmarkStart w:id="598" w:name="_GoBack"/>
      <w:bookmarkEnd w:id="598"/>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w:t>
      </w:r>
      <w:r w:rsidRPr="006D3B2A">
        <w:rPr>
          <w:rFonts w:ascii="Times New Roman" w:hAnsi="Times New Roman" w:cs="Times New Roman"/>
          <w:b/>
          <w:sz w:val="24"/>
          <w:szCs w:val="24"/>
        </w:rPr>
        <w:t xml:space="preserve">čísle účtu </w:t>
      </w:r>
      <w:r>
        <w:rPr>
          <w:rFonts w:ascii="Times New Roman" w:hAnsi="Times New Roman" w:cs="Times New Roman"/>
          <w:b/>
          <w:sz w:val="24"/>
          <w:szCs w:val="24"/>
        </w:rPr>
        <w:t>vedeného u ČNB,</w:t>
      </w:r>
      <w:r w:rsidRPr="006D3B2A">
        <w:rPr>
          <w:rFonts w:ascii="Times New Roman" w:hAnsi="Times New Roman" w:cs="Times New Roman"/>
          <w:b/>
          <w:sz w:val="24"/>
          <w:szCs w:val="24"/>
        </w:rPr>
        <w:t xml:space="preserve"> na který bud</w:t>
      </w:r>
      <w:r w:rsidR="004A0224">
        <w:rPr>
          <w:rFonts w:ascii="Times New Roman" w:hAnsi="Times New Roman" w:cs="Times New Roman"/>
          <w:b/>
          <w:sz w:val="24"/>
          <w:szCs w:val="24"/>
        </w:rPr>
        <w:t>ou</w:t>
      </w:r>
      <w:r w:rsidRPr="006D3B2A">
        <w:rPr>
          <w:rFonts w:ascii="Times New Roman" w:hAnsi="Times New Roman" w:cs="Times New Roman"/>
          <w:b/>
          <w:sz w:val="24"/>
          <w:szCs w:val="24"/>
        </w:rPr>
        <w:t xml:space="preserve"> </w:t>
      </w:r>
      <w:r w:rsidR="004A0224">
        <w:rPr>
          <w:rFonts w:ascii="Times New Roman" w:hAnsi="Times New Roman" w:cs="Times New Roman"/>
          <w:b/>
          <w:sz w:val="24"/>
          <w:szCs w:val="24"/>
        </w:rPr>
        <w:t>finanční prostředky převedeny.</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70767B" w:rsidP="0060682B">
      <w:pPr>
        <w:widowControl w:val="0"/>
        <w:spacing w:after="120"/>
        <w:ind w:right="-2"/>
        <w:rPr>
          <w:rFonts w:ascii="Times New Roman" w:hAnsi="Times New Roman" w:cs="Times New Roman"/>
          <w:sz w:val="24"/>
          <w:szCs w:val="24"/>
        </w:rPr>
      </w:pPr>
    </w:p>
    <w:p w:rsidR="005501F0" w:rsidRPr="005501F0" w:rsidRDefault="006445AE">
      <w:pPr>
        <w:pStyle w:val="Nadpis3"/>
        <w:keepLines/>
        <w:spacing w:before="360"/>
      </w:pPr>
      <w:bookmarkStart w:id="599" w:name="_Toc327282032"/>
      <w:bookmarkStart w:id="600" w:name="_Toc327282428"/>
      <w:bookmarkStart w:id="601" w:name="_Toc315678991"/>
      <w:bookmarkEnd w:id="599"/>
      <w:bookmarkEnd w:id="600"/>
      <w:r>
        <w:t xml:space="preserve"> </w:t>
      </w:r>
      <w:bookmarkStart w:id="602" w:name="_Toc346195879"/>
      <w:bookmarkStart w:id="603" w:name="_Toc373858708"/>
      <w:r w:rsidR="005501F0" w:rsidRPr="005501F0">
        <w:t>Rozpočtování</w:t>
      </w:r>
      <w:bookmarkEnd w:id="601"/>
      <w:bookmarkEnd w:id="602"/>
      <w:bookmarkEnd w:id="603"/>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040FCF">
        <w:rPr>
          <w:rStyle w:val="Znakapoznpodarou"/>
          <w:rFonts w:ascii="Times New Roman" w:hAnsi="Times New Roman" w:cs="Times New Roman"/>
          <w:sz w:val="24"/>
          <w:szCs w:val="24"/>
        </w:rPr>
        <w:footnoteReference w:id="6"/>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připravena ke schválení </w:t>
      </w:r>
      <w:r>
        <w:rPr>
          <w:rFonts w:ascii="Times New Roman" w:hAnsi="Times New Roman" w:cs="Times New Roman"/>
          <w:sz w:val="24"/>
          <w:szCs w:val="24"/>
        </w:rPr>
        <w:t>v roce n-1</w:t>
      </w:r>
      <w:r w:rsidR="00040FCF">
        <w:rPr>
          <w:rStyle w:val="Znakapoznpodarou"/>
          <w:rFonts w:ascii="Times New Roman" w:hAnsi="Times New Roman" w:cs="Times New Roman"/>
          <w:sz w:val="24"/>
          <w:szCs w:val="24"/>
        </w:rPr>
        <w:footnoteReference w:id="7"/>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OSS odpovědná za realizaci projektu </w:t>
      </w:r>
      <w:r w:rsidR="0006480F">
        <w:rPr>
          <w:rFonts w:ascii="Times New Roman" w:hAnsi="Times New Roman" w:cs="Times New Roman"/>
          <w:sz w:val="24"/>
          <w:szCs w:val="24"/>
        </w:rPr>
        <w:t xml:space="preserve">zabezpečí </w:t>
      </w:r>
      <w:r w:rsidRPr="005501F0">
        <w:rPr>
          <w:rFonts w:ascii="Times New Roman" w:hAnsi="Times New Roman" w:cs="Times New Roman"/>
          <w:sz w:val="24"/>
          <w:szCs w:val="24"/>
        </w:rPr>
        <w:t xml:space="preserve">rozpočtování podílu evropského spolufinancování (na příjmech a výdajích) ve své </w:t>
      </w:r>
      <w:r w:rsidR="0006480F">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národní</w:t>
      </w:r>
      <w:r w:rsidR="0086493A">
        <w:rPr>
          <w:rFonts w:ascii="Times New Roman" w:hAnsi="Times New Roman" w:cs="Times New Roman"/>
          <w:sz w:val="24"/>
          <w:szCs w:val="24"/>
        </w:rPr>
        <w:t>ho</w:t>
      </w:r>
      <w:r w:rsidRPr="005501F0">
        <w:rPr>
          <w:rFonts w:ascii="Times New Roman" w:hAnsi="Times New Roman" w:cs="Times New Roman"/>
          <w:sz w:val="24"/>
          <w:szCs w:val="24"/>
        </w:rPr>
        <w:t xml:space="preserve">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v průběhu roku n (příp. po ukončení rozpočtových prací v roce n-1)</w:t>
      </w:r>
    </w:p>
    <w:p w:rsidR="00FB170F" w:rsidRPr="005501F0" w:rsidRDefault="0086493A" w:rsidP="0086493A">
      <w:pPr>
        <w:ind w:left="360"/>
        <w:rPr>
          <w:rFonts w:ascii="Times New Roman" w:hAnsi="Times New Roman" w:cs="Times New Roman"/>
          <w:sz w:val="24"/>
          <w:szCs w:val="24"/>
        </w:rPr>
      </w:pPr>
      <w:r>
        <w:rPr>
          <w:rFonts w:ascii="Times New Roman" w:hAnsi="Times New Roman" w:cs="Times New Roman"/>
          <w:sz w:val="24"/>
          <w:szCs w:val="24"/>
        </w:rPr>
        <w:t xml:space="preserve">Pokud se </w:t>
      </w:r>
      <w:r w:rsidR="00FB170F" w:rsidRPr="005501F0">
        <w:rPr>
          <w:rFonts w:ascii="Times New Roman" w:hAnsi="Times New Roman" w:cs="Times New Roman"/>
          <w:sz w:val="24"/>
          <w:szCs w:val="24"/>
        </w:rPr>
        <w:t xml:space="preserve">o </w:t>
      </w:r>
      <w:r>
        <w:rPr>
          <w:rFonts w:ascii="Times New Roman" w:hAnsi="Times New Roman" w:cs="Times New Roman"/>
          <w:sz w:val="24"/>
          <w:szCs w:val="24"/>
        </w:rPr>
        <w:t xml:space="preserve">realizaci </w:t>
      </w:r>
      <w:r w:rsidR="00FB170F" w:rsidRPr="005501F0">
        <w:rPr>
          <w:rFonts w:ascii="Times New Roman" w:hAnsi="Times New Roman" w:cs="Times New Roman"/>
          <w:sz w:val="24"/>
          <w:szCs w:val="24"/>
        </w:rPr>
        <w:t>projekt</w:t>
      </w:r>
      <w:r>
        <w:rPr>
          <w:rFonts w:ascii="Times New Roman" w:hAnsi="Times New Roman" w:cs="Times New Roman"/>
          <w:sz w:val="24"/>
          <w:szCs w:val="24"/>
        </w:rPr>
        <w:t>u</w:t>
      </w:r>
      <w:r w:rsidR="00FB170F" w:rsidRPr="005501F0">
        <w:rPr>
          <w:rFonts w:ascii="Times New Roman" w:hAnsi="Times New Roman" w:cs="Times New Roman"/>
          <w:sz w:val="24"/>
          <w:szCs w:val="24"/>
        </w:rPr>
        <w:t xml:space="preserve"> při přípravě návrhu státního rozpočtu neuvažuje a rozhodne</w:t>
      </w:r>
      <w:r w:rsidR="00FB170F">
        <w:rPr>
          <w:rFonts w:ascii="Times New Roman" w:hAnsi="Times New Roman" w:cs="Times New Roman"/>
          <w:sz w:val="24"/>
          <w:szCs w:val="24"/>
        </w:rPr>
        <w:t xml:space="preserve"> se</w:t>
      </w:r>
      <w:r w:rsidR="00FB170F" w:rsidRPr="005501F0">
        <w:rPr>
          <w:rFonts w:ascii="Times New Roman" w:hAnsi="Times New Roman" w:cs="Times New Roman"/>
          <w:sz w:val="24"/>
          <w:szCs w:val="24"/>
        </w:rPr>
        <w:t xml:space="preserve"> o ní v průběhu roku n (příp. po ukončení rozpočtových prací v roce n-1), postupuje </w:t>
      </w:r>
      <w:r w:rsidR="00FB170F">
        <w:rPr>
          <w:rFonts w:ascii="Times New Roman" w:hAnsi="Times New Roman" w:cs="Times New Roman"/>
          <w:sz w:val="24"/>
          <w:szCs w:val="24"/>
        </w:rPr>
        <w:t xml:space="preserve">se </w:t>
      </w:r>
      <w:r w:rsidR="00FB170F" w:rsidRPr="005501F0">
        <w:rPr>
          <w:rFonts w:ascii="Times New Roman" w:hAnsi="Times New Roman" w:cs="Times New Roman"/>
          <w:sz w:val="24"/>
          <w:szCs w:val="24"/>
        </w:rPr>
        <w:t>podle § 24 odst. 4 zákona č. 218/2000 Sb., o rozpočtových pravidlech. Na základě tohoto ustanovení ministr financí souvztažně navýší příjmy a výdaje ve výši odpovídající podílu spolufinancování ze strukturálních fondů EU</w:t>
      </w:r>
      <w:r w:rsidR="00CA69C7">
        <w:rPr>
          <w:rFonts w:ascii="Times New Roman" w:hAnsi="Times New Roman" w:cs="Times New Roman"/>
          <w:sz w:val="24"/>
          <w:szCs w:val="24"/>
        </w:rPr>
        <w:t>.</w:t>
      </w:r>
      <w:r w:rsidR="00FB170F" w:rsidRPr="005501F0">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příští</w:t>
      </w:r>
      <w:r w:rsidR="0006480F">
        <w:rPr>
          <w:rFonts w:ascii="Times New Roman" w:hAnsi="Times New Roman" w:cs="Times New Roman"/>
          <w:sz w:val="24"/>
          <w:szCs w:val="24"/>
        </w:rPr>
        <w:t xml:space="preserve">m roce příjemce zabezpečí </w:t>
      </w:r>
      <w:r w:rsidRPr="005501F0">
        <w:rPr>
          <w:rFonts w:ascii="Times New Roman" w:hAnsi="Times New Roman" w:cs="Times New Roman"/>
          <w:sz w:val="24"/>
          <w:szCs w:val="24"/>
        </w:rPr>
        <w:t xml:space="preserve">rozpočtování evropského a národního spolufinancování ve své rozpočtové kapitole </w:t>
      </w:r>
      <w:r w:rsidR="0086493A">
        <w:rPr>
          <w:rFonts w:ascii="Times New Roman" w:hAnsi="Times New Roman" w:cs="Times New Roman"/>
          <w:sz w:val="24"/>
          <w:szCs w:val="24"/>
        </w:rPr>
        <w:t>a</w:t>
      </w:r>
      <w:r w:rsidRPr="005501F0">
        <w:rPr>
          <w:rFonts w:ascii="Times New Roman" w:hAnsi="Times New Roman" w:cs="Times New Roman"/>
          <w:sz w:val="24"/>
          <w:szCs w:val="24"/>
        </w:rPr>
        <w:t xml:space="preserve"> postu</w:t>
      </w:r>
      <w:r>
        <w:rPr>
          <w:rFonts w:ascii="Times New Roman" w:hAnsi="Times New Roman" w:cs="Times New Roman"/>
          <w:sz w:val="24"/>
          <w:szCs w:val="24"/>
        </w:rPr>
        <w:t xml:space="preserve">puje </w:t>
      </w:r>
      <w:r w:rsidR="0086493A">
        <w:rPr>
          <w:rFonts w:ascii="Times New Roman" w:hAnsi="Times New Roman" w:cs="Times New Roman"/>
          <w:sz w:val="24"/>
          <w:szCs w:val="24"/>
        </w:rPr>
        <w:t>podle</w:t>
      </w:r>
      <w:r>
        <w:rPr>
          <w:rFonts w:ascii="Times New Roman" w:hAnsi="Times New Roman" w:cs="Times New Roman"/>
          <w:sz w:val="24"/>
          <w:szCs w:val="24"/>
        </w:rPr>
        <w:t xml:space="preserve"> bodu 1</w:t>
      </w:r>
      <w:r w:rsidRPr="005501F0">
        <w:rPr>
          <w:rFonts w:ascii="Times New Roman" w:hAnsi="Times New Roman" w:cs="Times New Roman"/>
          <w:sz w:val="24"/>
          <w:szCs w:val="24"/>
        </w:rPr>
        <w:t xml:space="preserve">. </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85 % celkových způsobilých výdajů. Žadatel se na financování projektu podílí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pPr>
        <w:pStyle w:val="Nadpis3"/>
        <w:rPr>
          <w:rFonts w:cs="Times New Roman"/>
          <w:sz w:val="24"/>
          <w:szCs w:val="24"/>
        </w:rPr>
      </w:pPr>
      <w:r>
        <w:t xml:space="preserve"> </w:t>
      </w:r>
      <w:bookmarkStart w:id="604" w:name="_Toc322697263"/>
      <w:bookmarkStart w:id="605" w:name="_Toc322697597"/>
      <w:bookmarkStart w:id="606" w:name="_Toc322697920"/>
      <w:bookmarkStart w:id="607" w:name="_Toc322698172"/>
      <w:bookmarkStart w:id="608" w:name="_Toc322698423"/>
      <w:bookmarkStart w:id="609" w:name="_Toc322697276"/>
      <w:bookmarkStart w:id="610" w:name="_Toc322697610"/>
      <w:bookmarkStart w:id="611" w:name="_Toc322697933"/>
      <w:bookmarkStart w:id="612" w:name="_Toc322698185"/>
      <w:bookmarkStart w:id="613" w:name="_Toc322698436"/>
      <w:bookmarkStart w:id="614" w:name="_Toc322697279"/>
      <w:bookmarkStart w:id="615" w:name="_Toc322697613"/>
      <w:bookmarkStart w:id="616" w:name="_Toc322697936"/>
      <w:bookmarkStart w:id="617" w:name="_Toc322698188"/>
      <w:bookmarkStart w:id="618" w:name="_Toc322698439"/>
      <w:bookmarkStart w:id="619" w:name="_Toc346195880"/>
      <w:bookmarkStart w:id="620" w:name="_Toc177462478"/>
      <w:bookmarkStart w:id="621" w:name="_Toc191363136"/>
      <w:bookmarkStart w:id="622" w:name="_Toc191972617"/>
      <w:bookmarkStart w:id="623" w:name="_Toc191978815"/>
      <w:bookmarkStart w:id="624" w:name="_Toc244415594"/>
      <w:bookmarkStart w:id="625" w:name="_Toc328732781"/>
      <w:bookmarkStart w:id="626" w:name="_Toc365638305"/>
      <w:bookmarkStart w:id="627" w:name="_Toc37385870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009E238B">
        <w:t>Způsob financování</w:t>
      </w:r>
      <w:bookmarkEnd w:id="619"/>
      <w:bookmarkEnd w:id="620"/>
      <w:bookmarkEnd w:id="621"/>
      <w:bookmarkEnd w:id="622"/>
      <w:bookmarkEnd w:id="623"/>
      <w:bookmarkEnd w:id="624"/>
      <w:bookmarkEnd w:id="625"/>
      <w:bookmarkEnd w:id="626"/>
      <w:bookmarkEnd w:id="627"/>
    </w:p>
    <w:p w:rsidR="009E238B" w:rsidRPr="004F40F8" w:rsidRDefault="009E238B" w:rsidP="009E238B">
      <w:pPr>
        <w:spacing w:line="240" w:lineRule="atLeast"/>
        <w:rPr>
          <w:rFonts w:ascii="Times New Roman" w:hAnsi="Times New Roman" w:cs="Times New Roman"/>
          <w:b/>
          <w:bCs/>
          <w:sz w:val="24"/>
          <w:szCs w:val="24"/>
        </w:rPr>
      </w:pPr>
      <w:bookmarkStart w:id="628" w:name="_Toc194830282"/>
      <w:bookmarkEnd w:id="560"/>
      <w:bookmarkEnd w:id="561"/>
      <w:bookmarkEnd w:id="562"/>
      <w:bookmarkEnd w:id="563"/>
      <w:bookmarkEnd w:id="564"/>
      <w:bookmarkEnd w:id="565"/>
      <w:r>
        <w:rPr>
          <w:rFonts w:ascii="Times New Roman" w:hAnsi="Times New Roman" w:cs="Times New Roman"/>
          <w:sz w:val="24"/>
          <w:szCs w:val="24"/>
        </w:rPr>
        <w:t xml:space="preserve">V průběhu realizace projektu hradí příjemce veškeré výdaje ze svých zdrojů. </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7"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28"/>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CF16A5">
      <w:pPr>
        <w:numPr>
          <w:ilvl w:val="0"/>
          <w:numId w:val="230"/>
        </w:numPr>
        <w:spacing w:before="60"/>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CF16A5">
      <w:pPr>
        <w:numPr>
          <w:ilvl w:val="0"/>
          <w:numId w:val="230"/>
        </w:numPr>
        <w:spacing w:before="60"/>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lastRenderedPageBreak/>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P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pPr>
        <w:pStyle w:val="Nadpis3"/>
        <w:keepLines/>
        <w:spacing w:before="360"/>
      </w:pPr>
      <w:bookmarkStart w:id="629" w:name="_Toc202596979"/>
      <w:bookmarkStart w:id="630" w:name="_Toc217200910"/>
      <w:bookmarkStart w:id="631" w:name="_Toc217202479"/>
      <w:bookmarkStart w:id="632" w:name="_Toc285113256"/>
      <w:bookmarkStart w:id="633" w:name="_Toc285113368"/>
      <w:bookmarkStart w:id="634" w:name="_Toc285113452"/>
      <w:bookmarkStart w:id="635" w:name="_Toc311644753"/>
      <w:bookmarkStart w:id="636" w:name="_Toc189635673"/>
      <w:bookmarkStart w:id="637" w:name="_Toc193873411"/>
      <w:bookmarkStart w:id="638" w:name="_Toc195523407"/>
      <w:r>
        <w:t xml:space="preserve"> </w:t>
      </w:r>
      <w:bookmarkStart w:id="639" w:name="_Toc346195881"/>
      <w:bookmarkStart w:id="640" w:name="_Toc328732782"/>
      <w:bookmarkStart w:id="641" w:name="_Toc365638306"/>
      <w:bookmarkStart w:id="642" w:name="_Toc373858710"/>
      <w:r w:rsidRPr="005A259A">
        <w:t xml:space="preserve">Způsob vyplnění </w:t>
      </w:r>
      <w:r>
        <w:t>zjednodušené ž</w:t>
      </w:r>
      <w:r w:rsidRPr="005A259A">
        <w:t xml:space="preserve">ádosti o </w:t>
      </w:r>
      <w:r>
        <w:t>platbu</w:t>
      </w:r>
      <w:bookmarkEnd w:id="629"/>
      <w:bookmarkEnd w:id="630"/>
      <w:bookmarkEnd w:id="631"/>
      <w:bookmarkEnd w:id="632"/>
      <w:bookmarkEnd w:id="633"/>
      <w:bookmarkEnd w:id="634"/>
      <w:bookmarkEnd w:id="635"/>
      <w:bookmarkEnd w:id="639"/>
      <w:bookmarkEnd w:id="640"/>
      <w:bookmarkEnd w:id="641"/>
      <w:bookmarkEnd w:id="642"/>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CF16A5" w:rsidRDefault="00CF16A5" w:rsidP="00517E73">
      <w:pPr>
        <w:rPr>
          <w:rFonts w:ascii="Times New Roman" w:hAnsi="Times New Roman" w:cs="Times New Roman"/>
          <w:sz w:val="24"/>
          <w:szCs w:val="24"/>
        </w:rPr>
      </w:pP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3" w:name="_Toc361391224"/>
            <w:bookmarkStart w:id="644" w:name="_Toc365638307"/>
            <w:r w:rsidRPr="00CF16A5">
              <w:rPr>
                <w:rFonts w:ascii="Times New Roman" w:hAnsi="Times New Roman" w:cs="Times New Roman"/>
                <w:b/>
                <w:szCs w:val="22"/>
              </w:rPr>
              <w:t>Max. počet pracovních dnů od ukončení předchozí činnosti</w:t>
            </w:r>
            <w:bookmarkEnd w:id="643"/>
            <w:bookmarkEnd w:id="644"/>
          </w:p>
        </w:tc>
        <w:tc>
          <w:tcPr>
            <w:tcW w:w="2142" w:type="dxa"/>
            <w:vAlign w:val="center"/>
          </w:tcPr>
          <w:p w:rsidR="00CF16A5" w:rsidRPr="00CF16A5" w:rsidRDefault="00CF16A5" w:rsidP="00CF16A5">
            <w:pPr>
              <w:jc w:val="center"/>
              <w:rPr>
                <w:rFonts w:ascii="Times New Roman" w:hAnsi="Times New Roman" w:cs="Times New Roman"/>
                <w:b/>
                <w:szCs w:val="22"/>
              </w:rPr>
            </w:pPr>
            <w:bookmarkStart w:id="645" w:name="_Toc361391225"/>
            <w:bookmarkStart w:id="646" w:name="_Toc365638308"/>
            <w:r w:rsidRPr="00CF16A5">
              <w:rPr>
                <w:rFonts w:ascii="Times New Roman" w:hAnsi="Times New Roman" w:cs="Times New Roman"/>
                <w:b/>
                <w:szCs w:val="22"/>
              </w:rPr>
              <w:t>Počet pracovních dnů od předložení ZŽoP na CRR ČR</w:t>
            </w:r>
            <w:bookmarkEnd w:id="645"/>
            <w:bookmarkEnd w:id="646"/>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47" w:name="_Toc361391226"/>
            <w:bookmarkStart w:id="648" w:name="_Toc365638309"/>
            <w:r w:rsidRPr="00CF16A5">
              <w:rPr>
                <w:rFonts w:ascii="Times New Roman" w:hAnsi="Times New Roman" w:cs="Times New Roman"/>
                <w:b/>
                <w:szCs w:val="22"/>
              </w:rPr>
              <w:t>Předložení zjednodušené žádosti o platbu příjemcem na CRR ČR od ukončení etapy/ projektu</w:t>
            </w:r>
            <w:bookmarkEnd w:id="647"/>
            <w:bookmarkEnd w:id="648"/>
          </w:p>
        </w:tc>
        <w:tc>
          <w:tcPr>
            <w:tcW w:w="2395" w:type="dxa"/>
            <w:vAlign w:val="center"/>
          </w:tcPr>
          <w:p w:rsidR="00CF16A5" w:rsidRPr="00CF16A5" w:rsidRDefault="00CF16A5" w:rsidP="00CF16A5">
            <w:pPr>
              <w:jc w:val="center"/>
              <w:rPr>
                <w:rFonts w:ascii="Times New Roman" w:hAnsi="Times New Roman" w:cs="Times New Roman"/>
                <w:szCs w:val="22"/>
              </w:rPr>
            </w:pPr>
            <w:bookmarkStart w:id="649" w:name="_Toc361391227"/>
            <w:bookmarkStart w:id="650" w:name="_Toc365638310"/>
            <w:r w:rsidRPr="00CF16A5">
              <w:rPr>
                <w:rFonts w:ascii="Times New Roman" w:hAnsi="Times New Roman" w:cs="Times New Roman"/>
                <w:szCs w:val="22"/>
              </w:rPr>
              <w:t>20</w:t>
            </w:r>
            <w:bookmarkEnd w:id="649"/>
            <w:bookmarkEnd w:id="650"/>
          </w:p>
        </w:tc>
        <w:tc>
          <w:tcPr>
            <w:tcW w:w="2142" w:type="dxa"/>
            <w:vAlign w:val="center"/>
          </w:tcPr>
          <w:p w:rsidR="00CF16A5" w:rsidRPr="00CF16A5" w:rsidRDefault="00CF16A5" w:rsidP="00CF16A5">
            <w:pPr>
              <w:jc w:val="center"/>
              <w:rPr>
                <w:rFonts w:ascii="Times New Roman" w:hAnsi="Times New Roman" w:cs="Times New Roman"/>
                <w:szCs w:val="22"/>
              </w:rPr>
            </w:pPr>
            <w:bookmarkStart w:id="651" w:name="_Toc361391228"/>
            <w:bookmarkStart w:id="652" w:name="_Toc365638311"/>
            <w:r w:rsidRPr="00CF16A5">
              <w:rPr>
                <w:rFonts w:ascii="Times New Roman" w:hAnsi="Times New Roman" w:cs="Times New Roman"/>
                <w:szCs w:val="22"/>
              </w:rPr>
              <w:t>0</w:t>
            </w:r>
            <w:bookmarkEnd w:id="651"/>
            <w:bookmarkEnd w:id="652"/>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3" w:name="_Toc361391229"/>
            <w:bookmarkStart w:id="654" w:name="_Toc365638312"/>
            <w:r w:rsidRPr="00CF16A5">
              <w:rPr>
                <w:rFonts w:ascii="Times New Roman" w:hAnsi="Times New Roman" w:cs="Times New Roman"/>
                <w:b/>
                <w:szCs w:val="22"/>
              </w:rPr>
              <w:t>Kontrola ZŽoP a vystavení F1 - Žádost o platbu</w:t>
            </w:r>
            <w:bookmarkEnd w:id="653"/>
            <w:bookmarkEnd w:id="654"/>
          </w:p>
        </w:tc>
        <w:tc>
          <w:tcPr>
            <w:tcW w:w="2395" w:type="dxa"/>
            <w:vAlign w:val="center"/>
          </w:tcPr>
          <w:p w:rsidR="00CF16A5" w:rsidRPr="00CF16A5" w:rsidRDefault="00CF16A5" w:rsidP="00CF16A5">
            <w:pPr>
              <w:jc w:val="center"/>
              <w:rPr>
                <w:rFonts w:ascii="Times New Roman" w:hAnsi="Times New Roman" w:cs="Times New Roman"/>
                <w:szCs w:val="22"/>
              </w:rPr>
            </w:pPr>
            <w:bookmarkStart w:id="655" w:name="_Toc361391230"/>
            <w:bookmarkStart w:id="656" w:name="_Toc365638313"/>
            <w:r w:rsidRPr="00CF16A5">
              <w:rPr>
                <w:rFonts w:ascii="Times New Roman" w:hAnsi="Times New Roman" w:cs="Times New Roman"/>
                <w:szCs w:val="22"/>
              </w:rPr>
              <w:t>20</w:t>
            </w:r>
            <w:bookmarkEnd w:id="655"/>
            <w:bookmarkEnd w:id="656"/>
          </w:p>
        </w:tc>
        <w:tc>
          <w:tcPr>
            <w:tcW w:w="2142" w:type="dxa"/>
            <w:vAlign w:val="center"/>
          </w:tcPr>
          <w:p w:rsidR="00CF16A5" w:rsidRPr="00CF16A5" w:rsidRDefault="00CF16A5" w:rsidP="00CF16A5">
            <w:pPr>
              <w:jc w:val="center"/>
              <w:rPr>
                <w:rFonts w:ascii="Times New Roman" w:hAnsi="Times New Roman" w:cs="Times New Roman"/>
                <w:szCs w:val="22"/>
              </w:rPr>
            </w:pPr>
            <w:bookmarkStart w:id="657" w:name="_Toc361391231"/>
            <w:bookmarkStart w:id="658" w:name="_Toc365638314"/>
            <w:r w:rsidRPr="00CF16A5">
              <w:rPr>
                <w:rFonts w:ascii="Times New Roman" w:hAnsi="Times New Roman" w:cs="Times New Roman"/>
                <w:szCs w:val="22"/>
              </w:rPr>
              <w:t>20</w:t>
            </w:r>
            <w:bookmarkEnd w:id="657"/>
            <w:bookmarkEnd w:id="658"/>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9" w:name="_Toc361391232"/>
            <w:bookmarkStart w:id="660" w:name="_Toc365638315"/>
            <w:r w:rsidRPr="00CF16A5">
              <w:rPr>
                <w:rFonts w:ascii="Times New Roman" w:hAnsi="Times New Roman" w:cs="Times New Roman"/>
                <w:b/>
                <w:szCs w:val="22"/>
              </w:rPr>
              <w:t>Schválení F1 - Žádosti o platbu</w:t>
            </w:r>
            <w:bookmarkEnd w:id="659"/>
            <w:bookmarkEnd w:id="660"/>
          </w:p>
        </w:tc>
        <w:tc>
          <w:tcPr>
            <w:tcW w:w="2395" w:type="dxa"/>
            <w:vAlign w:val="center"/>
          </w:tcPr>
          <w:p w:rsidR="00CF16A5" w:rsidRPr="00CF16A5" w:rsidRDefault="00CF16A5" w:rsidP="00CF16A5">
            <w:pPr>
              <w:jc w:val="center"/>
              <w:rPr>
                <w:rFonts w:ascii="Times New Roman" w:hAnsi="Times New Roman" w:cs="Times New Roman"/>
                <w:szCs w:val="22"/>
              </w:rPr>
            </w:pPr>
            <w:bookmarkStart w:id="661" w:name="_Toc361391233"/>
            <w:bookmarkStart w:id="662" w:name="_Toc365638316"/>
            <w:r w:rsidRPr="00CF16A5">
              <w:rPr>
                <w:rFonts w:ascii="Times New Roman" w:hAnsi="Times New Roman" w:cs="Times New Roman"/>
                <w:szCs w:val="22"/>
              </w:rPr>
              <w:t>20</w:t>
            </w:r>
            <w:bookmarkEnd w:id="661"/>
            <w:bookmarkEnd w:id="662"/>
          </w:p>
        </w:tc>
        <w:tc>
          <w:tcPr>
            <w:tcW w:w="2142" w:type="dxa"/>
            <w:vAlign w:val="center"/>
          </w:tcPr>
          <w:p w:rsidR="00CF16A5" w:rsidRPr="00CF16A5" w:rsidRDefault="00CF16A5" w:rsidP="00CF16A5">
            <w:pPr>
              <w:jc w:val="center"/>
              <w:rPr>
                <w:rFonts w:ascii="Times New Roman" w:hAnsi="Times New Roman" w:cs="Times New Roman"/>
                <w:szCs w:val="22"/>
              </w:rPr>
            </w:pPr>
            <w:bookmarkStart w:id="663" w:name="_Toc361391234"/>
            <w:bookmarkStart w:id="664" w:name="_Toc365638317"/>
            <w:r w:rsidRPr="00CF16A5">
              <w:rPr>
                <w:rFonts w:ascii="Times New Roman" w:hAnsi="Times New Roman" w:cs="Times New Roman"/>
                <w:szCs w:val="22"/>
              </w:rPr>
              <w:t>40</w:t>
            </w:r>
            <w:bookmarkEnd w:id="663"/>
            <w:bookmarkEnd w:id="664"/>
          </w:p>
        </w:tc>
      </w:tr>
    </w:tbl>
    <w:p w:rsidR="00517E73" w:rsidRDefault="00517E73" w:rsidP="00517E73">
      <w:pPr>
        <w:rPr>
          <w:rFonts w:ascii="Times New Roman" w:hAnsi="Times New Roman" w:cs="Times New Roman"/>
          <w:sz w:val="24"/>
          <w:szCs w:val="24"/>
        </w:rPr>
      </w:pPr>
    </w:p>
    <w:p w:rsidR="00844237" w:rsidRPr="00C3662B" w:rsidRDefault="00844237">
      <w:pPr>
        <w:pStyle w:val="Nadpis3"/>
        <w:keepLines/>
        <w:spacing w:before="360"/>
      </w:pPr>
      <w:bookmarkStart w:id="665" w:name="_Toc344384739"/>
      <w:bookmarkStart w:id="666" w:name="_Toc344384745"/>
      <w:bookmarkStart w:id="667" w:name="_Toc323218013"/>
      <w:bookmarkStart w:id="668" w:name="_Toc328732783"/>
      <w:bookmarkStart w:id="669" w:name="_Toc365638318"/>
      <w:bookmarkStart w:id="670" w:name="_Toc369003522"/>
      <w:bookmarkStart w:id="671" w:name="_Toc373858711"/>
      <w:bookmarkStart w:id="672" w:name="_Toc311644754"/>
      <w:bookmarkEnd w:id="636"/>
      <w:bookmarkEnd w:id="637"/>
      <w:bookmarkEnd w:id="638"/>
      <w:bookmarkEnd w:id="665"/>
      <w:bookmarkEnd w:id="666"/>
      <w:r w:rsidRPr="00C3662B">
        <w:t>Přenesená daňová povinnost a vykazování DPH</w:t>
      </w:r>
      <w:bookmarkEnd w:id="667"/>
      <w:bookmarkEnd w:id="668"/>
      <w:bookmarkEnd w:id="669"/>
      <w:bookmarkEnd w:id="670"/>
      <w:bookmarkEnd w:id="671"/>
      <w:r w:rsidRPr="00C3662B">
        <w:t xml:space="preserve">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44237" w:rsidRPr="00C3662B" w:rsidRDefault="00844237" w:rsidP="00844237">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příjemce v přiznání k DPH za dané zdaňovací období (měsíční, čtvrtletní) vypořádá svou daňovou povinnost s</w:t>
      </w:r>
      <w:r>
        <w:rPr>
          <w:rFonts w:ascii="Times New Roman" w:hAnsi="Times New Roman"/>
          <w:sz w:val="24"/>
          <w:szCs w:val="24"/>
        </w:rPr>
        <w:t> orgánem finanční správy (OFS);</w:t>
      </w:r>
    </w:p>
    <w:p w:rsidR="00844237" w:rsidRPr="00844237" w:rsidRDefault="00844237" w:rsidP="00844237">
      <w:pPr>
        <w:pStyle w:val="Odstavecseseznamem"/>
        <w:numPr>
          <w:ilvl w:val="0"/>
          <w:numId w:val="163"/>
        </w:numPr>
        <w:spacing w:before="120" w:after="0"/>
        <w:jc w:val="both"/>
        <w:rPr>
          <w:rFonts w:ascii="Times New Roman" w:hAnsi="Times New Roman"/>
          <w:sz w:val="24"/>
          <w:szCs w:val="24"/>
        </w:rPr>
      </w:pPr>
      <w:r w:rsidRPr="00844237">
        <w:rPr>
          <w:rFonts w:ascii="Times New Roman" w:hAnsi="Times New Roman"/>
          <w:sz w:val="24"/>
          <w:szCs w:val="24"/>
        </w:rPr>
        <w:t xml:space="preserve">příjemce předloží se žádostí o platbu: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844237" w:rsidRDefault="00844237" w:rsidP="001831D2">
      <w:pPr>
        <w:pStyle w:val="Default"/>
        <w:numPr>
          <w:ilvl w:val="0"/>
          <w:numId w:val="276"/>
        </w:numPr>
        <w:spacing w:before="120"/>
        <w:ind w:left="1134"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831D2">
        <w:rPr>
          <w:rFonts w:ascii="Times New Roman" w:hAnsi="Times New Roman" w:cs="Times New Roman"/>
        </w:rPr>
        <w:t>OFS</w:t>
      </w:r>
      <w:r w:rsidRPr="00C3662B">
        <w:rPr>
          <w:rFonts w:ascii="Times New Roman" w:hAnsi="Times New Roman" w:cs="Times New Roman"/>
        </w:rPr>
        <w:t>.</w:t>
      </w:r>
    </w:p>
    <w:p w:rsidR="00844237" w:rsidRPr="00C3662B" w:rsidRDefault="00844237" w:rsidP="0084423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44237" w:rsidRPr="00C3662B" w:rsidRDefault="00844237" w:rsidP="00844237">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lastRenderedPageBreak/>
        <w:t xml:space="preserve">prodloužit realizaci projektu, pokud se jedná o závěrečnou etapu, ve které bude hrazen odděleně základ (dodavateli) a odděleně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44237" w:rsidRPr="00C3662B" w:rsidRDefault="00844237" w:rsidP="00844237">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44237" w:rsidRPr="00C3662B" w:rsidRDefault="00844237" w:rsidP="00844237">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44237" w:rsidRPr="00C3662B" w:rsidRDefault="00844237" w:rsidP="00844237">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844237" w:rsidRPr="00F26CF9" w:rsidRDefault="00844237" w:rsidP="00844237">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Pr>
          <w:rFonts w:ascii="Times New Roman" w:hAnsi="Times New Roman" w:cs="Times New Roman"/>
        </w:rPr>
        <w:t xml:space="preserve"> (tzn. kopií evidence pro daňové účely a kopií výpisu z bankovního účtu)</w:t>
      </w:r>
      <w:r w:rsidRPr="00C3662B">
        <w:rPr>
          <w:rFonts w:ascii="Times New Roman" w:hAnsi="Times New Roman" w:cs="Times New Roman"/>
        </w:rPr>
        <w:t>.</w:t>
      </w:r>
    </w:p>
    <w:p w:rsidR="004E1E09" w:rsidRPr="00273D60" w:rsidRDefault="006A469E">
      <w:pPr>
        <w:pStyle w:val="Nadpis1"/>
      </w:pPr>
      <w:r>
        <w:br w:type="page"/>
      </w:r>
      <w:bookmarkStart w:id="673" w:name="_Toc346195882"/>
      <w:bookmarkStart w:id="674" w:name="_Toc328732784"/>
      <w:bookmarkStart w:id="675" w:name="_Toc365638319"/>
      <w:bookmarkStart w:id="676" w:name="_Toc373858712"/>
      <w:r w:rsidR="004E1E09" w:rsidRPr="00273D60">
        <w:lastRenderedPageBreak/>
        <w:t>Stížnosti a odvolání</w:t>
      </w:r>
      <w:bookmarkEnd w:id="672"/>
      <w:bookmarkEnd w:id="673"/>
      <w:bookmarkEnd w:id="674"/>
      <w:bookmarkEnd w:id="675"/>
      <w:bookmarkEnd w:id="676"/>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rsidR="00DE4407">
        <w:t xml:space="preserve"> ČR</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06480F">
      <w:pPr>
        <w:numPr>
          <w:ilvl w:val="0"/>
          <w:numId w:val="268"/>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334BDF" w:rsidRDefault="00B802D8">
      <w:pPr>
        <w:pStyle w:val="Nadpis1"/>
      </w:pPr>
      <w:bookmarkStart w:id="677" w:name="_Toc285113258"/>
      <w:bookmarkStart w:id="678" w:name="_Toc285113370"/>
      <w:bookmarkStart w:id="679" w:name="_Toc285113454"/>
      <w:bookmarkStart w:id="680" w:name="_Toc311644755"/>
      <w:r>
        <w:lastRenderedPageBreak/>
        <w:t xml:space="preserve"> </w:t>
      </w:r>
      <w:bookmarkStart w:id="681" w:name="_Toc346195883"/>
      <w:bookmarkStart w:id="682" w:name="_Toc328732785"/>
      <w:bookmarkStart w:id="683" w:name="_Toc365638320"/>
      <w:bookmarkStart w:id="684" w:name="_Toc373858713"/>
      <w:r w:rsidR="00334BDF">
        <w:t>Kontroly projektu</w:t>
      </w:r>
      <w:bookmarkEnd w:id="677"/>
      <w:bookmarkEnd w:id="678"/>
      <w:bookmarkEnd w:id="679"/>
      <w:bookmarkEnd w:id="680"/>
      <w:bookmarkEnd w:id="681"/>
      <w:bookmarkEnd w:id="682"/>
      <w:bookmarkEnd w:id="683"/>
      <w:bookmarkEnd w:id="684"/>
    </w:p>
    <w:p w:rsidR="00334BDF" w:rsidRDefault="00334BDF">
      <w:pPr>
        <w:pStyle w:val="Nadpis2"/>
        <w:keepLines/>
        <w:spacing w:before="360"/>
        <w:ind w:left="578" w:hanging="578"/>
        <w:rPr>
          <w:noProof/>
        </w:rPr>
      </w:pPr>
      <w:bookmarkStart w:id="685" w:name="_Toc285113259"/>
      <w:bookmarkStart w:id="686" w:name="_Toc285113371"/>
      <w:bookmarkStart w:id="687" w:name="_Toc285113455"/>
      <w:bookmarkStart w:id="688" w:name="_Toc311644756"/>
      <w:bookmarkStart w:id="689" w:name="_Toc346195884"/>
      <w:bookmarkStart w:id="690" w:name="_Toc328732786"/>
      <w:bookmarkStart w:id="691" w:name="_Toc365638321"/>
      <w:bookmarkStart w:id="692" w:name="_Toc373858714"/>
      <w:bookmarkStart w:id="693" w:name="_Toc72902227"/>
      <w:bookmarkStart w:id="694" w:name="_Toc86201992"/>
      <w:bookmarkStart w:id="695" w:name="_Toc155769601"/>
      <w:r>
        <w:rPr>
          <w:noProof/>
        </w:rPr>
        <w:t>Základní druhy kontrol</w:t>
      </w:r>
      <w:bookmarkEnd w:id="685"/>
      <w:bookmarkEnd w:id="686"/>
      <w:bookmarkEnd w:id="687"/>
      <w:bookmarkEnd w:id="688"/>
      <w:bookmarkEnd w:id="689"/>
      <w:bookmarkEnd w:id="690"/>
      <w:bookmarkEnd w:id="691"/>
      <w:bookmarkEnd w:id="692"/>
      <w:r>
        <w:rPr>
          <w:noProof/>
        </w:rPr>
        <w:t xml:space="preserve"> </w:t>
      </w:r>
      <w:bookmarkEnd w:id="693"/>
      <w:bookmarkEnd w:id="694"/>
      <w:bookmarkEnd w:id="695"/>
    </w:p>
    <w:p w:rsidR="00334BDF" w:rsidRPr="00B61146" w:rsidRDefault="00334BDF">
      <w:pPr>
        <w:pStyle w:val="Nadpis3"/>
        <w:keepLines/>
        <w:spacing w:before="360"/>
      </w:pPr>
      <w:bookmarkStart w:id="696" w:name="_Toc285113260"/>
      <w:bookmarkStart w:id="697" w:name="_Toc285113372"/>
      <w:bookmarkStart w:id="698" w:name="_Toc285113456"/>
      <w:bookmarkStart w:id="699" w:name="_Toc311644757"/>
      <w:bookmarkStart w:id="700" w:name="_Toc346195885"/>
      <w:bookmarkStart w:id="701" w:name="_Toc328732787"/>
      <w:bookmarkStart w:id="702" w:name="_Toc365638322"/>
      <w:bookmarkStart w:id="703" w:name="_Toc373858715"/>
      <w:r w:rsidRPr="00B61146">
        <w:t>Kontroly z hlediska realizace projektu</w:t>
      </w:r>
      <w:bookmarkEnd w:id="696"/>
      <w:bookmarkEnd w:id="697"/>
      <w:bookmarkEnd w:id="698"/>
      <w:bookmarkEnd w:id="699"/>
      <w:bookmarkEnd w:id="700"/>
      <w:bookmarkEnd w:id="701"/>
      <w:bookmarkEnd w:id="702"/>
      <w:bookmarkEnd w:id="703"/>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Cílem je získat informace o přípravě projektu, porovnat skutečný stav se stavem deklarovaným v žádosti o podporu a ověřit, že žadatel splňuje definici žadatele pro dané opatření a naplňuj</w:t>
      </w:r>
      <w:r w:rsidR="00497A73">
        <w:rPr>
          <w:rFonts w:ascii="Times New Roman" w:hAnsi="Times New Roman" w:cs="Times New Roman"/>
          <w:sz w:val="24"/>
          <w:szCs w:val="24"/>
        </w:rPr>
        <w:t>e</w:t>
      </w:r>
      <w:r w:rsidRPr="002F712F">
        <w:rPr>
          <w:rFonts w:ascii="Times New Roman" w:hAnsi="Times New Roman" w:cs="Times New Roman"/>
          <w:sz w:val="24"/>
          <w:szCs w:val="24"/>
        </w:rPr>
        <w:t xml:space="preserve"> podmínky pomoci z IOP. Tyto kontroly probíhají </w:t>
      </w:r>
      <w:r w:rsidR="00497A73">
        <w:rPr>
          <w:rFonts w:ascii="Times New Roman" w:hAnsi="Times New Roman" w:cs="Times New Roman"/>
          <w:sz w:val="24"/>
          <w:szCs w:val="24"/>
        </w:rPr>
        <w:t>před</w:t>
      </w:r>
      <w:r>
        <w:rPr>
          <w:rFonts w:ascii="Times New Roman" w:hAnsi="Times New Roman" w:cs="Times New Roman"/>
          <w:sz w:val="24"/>
          <w:szCs w:val="24"/>
        </w:rPr>
        <w:t xml:space="preserve"> schválení</w:t>
      </w:r>
      <w:r w:rsidR="00497A73">
        <w:rPr>
          <w:rFonts w:ascii="Times New Roman" w:hAnsi="Times New Roman" w:cs="Times New Roman"/>
          <w:sz w:val="24"/>
          <w:szCs w:val="24"/>
        </w:rPr>
        <w:t>m</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497A73"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w:t>
      </w:r>
    </w:p>
    <w:p w:rsidR="00497A73"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Jejich cílem je</w:t>
      </w:r>
      <w:r w:rsidR="00497A73">
        <w:rPr>
          <w:rFonts w:ascii="Times New Roman" w:hAnsi="Times New Roman" w:cs="Times New Roman"/>
          <w:sz w:val="24"/>
          <w:szCs w:val="24"/>
        </w:rPr>
        <w:t xml:space="preserve"> ověření, že:</w:t>
      </w:r>
    </w:p>
    <w:p w:rsidR="00BC4334" w:rsidRPr="00B373CE" w:rsidRDefault="00823310" w:rsidP="00B373CE">
      <w:pPr>
        <w:pStyle w:val="Odstavecseseznamem"/>
        <w:numPr>
          <w:ilvl w:val="0"/>
          <w:numId w:val="309"/>
        </w:numPr>
        <w:rPr>
          <w:rFonts w:ascii="Times New Roman" w:hAnsi="Times New Roman"/>
          <w:sz w:val="24"/>
          <w:szCs w:val="24"/>
        </w:rPr>
      </w:pPr>
      <w:r w:rsidRPr="00B373CE">
        <w:rPr>
          <w:rFonts w:ascii="Times New Roman" w:hAnsi="Times New Roman"/>
          <w:sz w:val="24"/>
          <w:szCs w:val="24"/>
        </w:rPr>
        <w:t>příjemce plní Stanovení výdajů a Podmínk</w:t>
      </w:r>
      <w:r w:rsidR="00497A73">
        <w:rPr>
          <w:rFonts w:ascii="Times New Roman" w:hAnsi="Times New Roman"/>
          <w:sz w:val="24"/>
          <w:szCs w:val="24"/>
        </w:rPr>
        <w:t>y</w:t>
      </w:r>
      <w:r w:rsidRPr="00B373CE">
        <w:rPr>
          <w:rFonts w:ascii="Times New Roman" w:hAnsi="Times New Roman"/>
          <w:sz w:val="24"/>
          <w:szCs w:val="24"/>
        </w:rPr>
        <w:t>,</w:t>
      </w:r>
    </w:p>
    <w:p w:rsidR="00BC4334" w:rsidRPr="00B373CE" w:rsidRDefault="00823310" w:rsidP="00B373CE">
      <w:pPr>
        <w:pStyle w:val="Odstavecseseznamem"/>
        <w:numPr>
          <w:ilvl w:val="0"/>
          <w:numId w:val="309"/>
        </w:numPr>
        <w:jc w:val="both"/>
        <w:rPr>
          <w:rFonts w:ascii="Times New Roman" w:hAnsi="Times New Roman"/>
          <w:sz w:val="24"/>
          <w:szCs w:val="24"/>
        </w:rPr>
      </w:pPr>
      <w:r w:rsidRPr="00B373CE">
        <w:rPr>
          <w:rFonts w:ascii="Times New Roman" w:hAnsi="Times New Roman"/>
          <w:sz w:val="24"/>
          <w:szCs w:val="24"/>
        </w:rPr>
        <w:t xml:space="preserve">finanční prostředky použil k záměru specifikovanému projektem, Stanovením výdajů a Podmínkami, </w:t>
      </w:r>
    </w:p>
    <w:p w:rsidR="00BC4334" w:rsidRPr="00BC4334" w:rsidRDefault="00823310" w:rsidP="00B373CE">
      <w:pPr>
        <w:pStyle w:val="Odstavecseseznamem"/>
        <w:numPr>
          <w:ilvl w:val="0"/>
          <w:numId w:val="309"/>
        </w:numPr>
        <w:jc w:val="both"/>
        <w:rPr>
          <w:rFonts w:ascii="Times New Roman" w:hAnsi="Times New Roman"/>
          <w:sz w:val="24"/>
          <w:szCs w:val="24"/>
        </w:rPr>
      </w:pPr>
      <w:r w:rsidRPr="00B373CE">
        <w:rPr>
          <w:rFonts w:ascii="Times New Roman" w:hAnsi="Times New Roman"/>
          <w:sz w:val="24"/>
          <w:szCs w:val="24"/>
        </w:rPr>
        <w:t>v průběhu realizace projektu neporuš</w:t>
      </w:r>
      <w:r w:rsidR="00497A73">
        <w:rPr>
          <w:rFonts w:ascii="Times New Roman" w:hAnsi="Times New Roman"/>
          <w:sz w:val="24"/>
          <w:szCs w:val="24"/>
        </w:rPr>
        <w:t>uje</w:t>
      </w:r>
      <w:r w:rsidR="00FD4701" w:rsidRPr="00FD4701">
        <w:rPr>
          <w:rFonts w:ascii="Times New Roman" w:hAnsi="Times New Roman"/>
          <w:sz w:val="24"/>
          <w:szCs w:val="24"/>
        </w:rPr>
        <w:t xml:space="preserve"> pravidla pro poskytování finančních</w:t>
      </w:r>
      <w:r w:rsidR="00497A73">
        <w:rPr>
          <w:rFonts w:ascii="Times New Roman" w:hAnsi="Times New Roman"/>
          <w:sz w:val="24"/>
          <w:szCs w:val="24"/>
        </w:rPr>
        <w:t xml:space="preserve"> </w:t>
      </w:r>
      <w:r w:rsidR="00FD4701" w:rsidRPr="00FD4701">
        <w:rPr>
          <w:rFonts w:ascii="Times New Roman" w:hAnsi="Times New Roman"/>
          <w:sz w:val="24"/>
          <w:szCs w:val="24"/>
        </w:rPr>
        <w:t>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 xml:space="preserve">ověřit </w:t>
      </w:r>
      <w:r w:rsidR="00497A73">
        <w:rPr>
          <w:rFonts w:ascii="Times New Roman" w:hAnsi="Times New Roman" w:cs="Times New Roman"/>
          <w:sz w:val="24"/>
          <w:szCs w:val="24"/>
        </w:rPr>
        <w:t>zejména zachování a funkčnost výsledků projektu</w:t>
      </w:r>
      <w:r w:rsidR="00F34646">
        <w:rPr>
          <w:rFonts w:ascii="Times New Roman" w:hAnsi="Times New Roman" w:cs="Times New Roman"/>
          <w:sz w:val="24"/>
          <w:szCs w:val="24"/>
        </w:rPr>
        <w:t xml:space="preserve"> a</w:t>
      </w:r>
      <w:r w:rsidR="00497A73">
        <w:rPr>
          <w:rFonts w:ascii="Times New Roman" w:hAnsi="Times New Roman" w:cs="Times New Roman"/>
          <w:sz w:val="24"/>
          <w:szCs w:val="24"/>
        </w:rPr>
        <w:t xml:space="preserve"> dodržování pravidel publicity a archivace</w:t>
      </w:r>
      <w:r w:rsidR="00F34646">
        <w:rPr>
          <w:rFonts w:ascii="Times New Roman" w:hAnsi="Times New Roman" w:cs="Times New Roman"/>
          <w:sz w:val="24"/>
          <w:szCs w:val="24"/>
        </w:rPr>
        <w:t>.</w:t>
      </w:r>
      <w:r w:rsidR="00497A73">
        <w:rPr>
          <w:rFonts w:ascii="Times New Roman" w:hAnsi="Times New Roman" w:cs="Times New Roman"/>
          <w:sz w:val="24"/>
          <w:szCs w:val="24"/>
        </w:rPr>
        <w:t xml:space="preserve"> </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pPr>
        <w:pStyle w:val="Nadpis3"/>
        <w:keepLines/>
        <w:spacing w:before="360"/>
      </w:pPr>
      <w:bookmarkStart w:id="704" w:name="_Toc285113261"/>
      <w:bookmarkStart w:id="705" w:name="_Toc285113373"/>
      <w:bookmarkStart w:id="706" w:name="_Toc285113457"/>
      <w:bookmarkStart w:id="707" w:name="_Toc311644758"/>
      <w:bookmarkStart w:id="708" w:name="_Toc346195886"/>
      <w:bookmarkStart w:id="709" w:name="_Toc365638323"/>
      <w:bookmarkStart w:id="710" w:name="_Toc373858716"/>
      <w:r>
        <w:t>K</w:t>
      </w:r>
      <w:r w:rsidRPr="00E34E33">
        <w:t xml:space="preserve">ontroly </w:t>
      </w:r>
      <w:r>
        <w:t>z</w:t>
      </w:r>
      <w:r w:rsidRPr="00E34E33">
        <w:t> hlediska charakteru a zaměření</w:t>
      </w:r>
      <w:bookmarkEnd w:id="704"/>
      <w:bookmarkEnd w:id="705"/>
      <w:bookmarkEnd w:id="706"/>
      <w:bookmarkEnd w:id="707"/>
      <w:bookmarkEnd w:id="708"/>
      <w:bookmarkEnd w:id="709"/>
      <w:bookmarkEnd w:id="710"/>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může setkat s vnější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provádí zejména:</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FB3B5E"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225467">
        <w:rPr>
          <w:rFonts w:ascii="Times New Roman" w:hAnsi="Times New Roman" w:cs="Times New Roman"/>
        </w:rPr>
        <w:t>rgán finanční správy</w:t>
      </w:r>
      <w:r w:rsidR="00EC3CE5">
        <w:rPr>
          <w:rFonts w:ascii="Times New Roman" w:hAnsi="Times New Roman" w:cs="Times New Roman"/>
        </w:rPr>
        <w:t xml:space="preserve"> (</w:t>
      </w:r>
      <w:r w:rsidR="00225467">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sankcionován snížením finanční podpory v souladu s Podmínkami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pPr>
        <w:pStyle w:val="Nadpis2"/>
        <w:keepLines/>
        <w:spacing w:before="360"/>
        <w:ind w:left="578" w:hanging="578"/>
        <w:rPr>
          <w:noProof/>
        </w:rPr>
      </w:pPr>
      <w:bookmarkStart w:id="711" w:name="_Toc72902230"/>
      <w:bookmarkStart w:id="712" w:name="_Toc86201993"/>
      <w:bookmarkStart w:id="713" w:name="_Toc155769604"/>
      <w:bookmarkStart w:id="714" w:name="_Toc285113262"/>
      <w:bookmarkStart w:id="715" w:name="_Toc285113374"/>
      <w:bookmarkStart w:id="716" w:name="_Toc285113458"/>
      <w:bookmarkStart w:id="717" w:name="_Toc311644759"/>
      <w:bookmarkStart w:id="718" w:name="_Toc346195887"/>
      <w:bookmarkStart w:id="719" w:name="_Toc365638324"/>
      <w:bookmarkStart w:id="720" w:name="_Toc373858717"/>
      <w:r>
        <w:rPr>
          <w:noProof/>
        </w:rPr>
        <w:t>Fyzická kontrola na místě</w:t>
      </w:r>
      <w:bookmarkEnd w:id="711"/>
      <w:bookmarkEnd w:id="712"/>
      <w:bookmarkEnd w:id="713"/>
      <w:bookmarkEnd w:id="714"/>
      <w:bookmarkEnd w:id="715"/>
      <w:bookmarkEnd w:id="716"/>
      <w:bookmarkEnd w:id="717"/>
      <w:bookmarkEnd w:id="718"/>
      <w:bookmarkEnd w:id="719"/>
      <w:bookmarkEnd w:id="720"/>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 Fyzická kontrola na místě vykonávaná pracovníky ŘO IOP se řídí zákonem č. 320/2001 Sb., o finanční kontrole v režimu veřejnosprávní kontroly na místě.</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pPr>
        <w:pStyle w:val="Nadpis3"/>
        <w:keepLines/>
        <w:spacing w:before="360"/>
      </w:pPr>
      <w:bookmarkStart w:id="721" w:name="_Toc155769605"/>
      <w:bookmarkStart w:id="722" w:name="_Toc285113263"/>
      <w:bookmarkStart w:id="723" w:name="_Toc285113375"/>
      <w:bookmarkStart w:id="724" w:name="_Toc285113459"/>
      <w:bookmarkStart w:id="725" w:name="_Toc311644760"/>
      <w:bookmarkStart w:id="726" w:name="_Toc346195888"/>
      <w:bookmarkStart w:id="727" w:name="_Toc365638325"/>
      <w:bookmarkStart w:id="728" w:name="_Toc373858718"/>
      <w:r w:rsidRPr="00E34E33">
        <w:lastRenderedPageBreak/>
        <w:t xml:space="preserve">Práva </w:t>
      </w:r>
      <w:r>
        <w:t xml:space="preserve">žadatele/příjemce jako </w:t>
      </w:r>
      <w:r w:rsidRPr="00E34E33">
        <w:t>kontrolované</w:t>
      </w:r>
      <w:r>
        <w:t>ho subjektu</w:t>
      </w:r>
      <w:bookmarkEnd w:id="721"/>
      <w:bookmarkEnd w:id="722"/>
      <w:bookmarkEnd w:id="723"/>
      <w:bookmarkEnd w:id="724"/>
      <w:bookmarkEnd w:id="725"/>
      <w:bookmarkEnd w:id="726"/>
      <w:bookmarkEnd w:id="727"/>
      <w:bookmarkEnd w:id="728"/>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3820D3">
        <w:rPr>
          <w:rFonts w:ascii="Times New Roman" w:hAnsi="Times New Roman" w:cs="Times New Roman"/>
          <w:sz w:val="24"/>
          <w:szCs w:val="24"/>
        </w:rPr>
        <w:t xml:space="preserve"> </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334BDF"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334BDF" w:rsidRPr="00E1311E" w:rsidRDefault="00334BDF" w:rsidP="003820D3">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sidR="00FD4701" w:rsidRPr="00FD4701">
        <w:rPr>
          <w:sz w:val="24"/>
          <w:szCs w:val="24"/>
          <w:vertAlign w:val="superscript"/>
        </w:rPr>
        <w:footnoteReference w:id="8"/>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pPr>
        <w:pStyle w:val="Nadpis3"/>
        <w:keepLines/>
        <w:spacing w:before="360"/>
      </w:pPr>
      <w:bookmarkStart w:id="729" w:name="_Toc285113264"/>
      <w:bookmarkStart w:id="730" w:name="_Toc285113376"/>
      <w:bookmarkStart w:id="731" w:name="_Toc285113460"/>
      <w:bookmarkStart w:id="732" w:name="_Toc311644761"/>
      <w:bookmarkStart w:id="733" w:name="_Toc346195889"/>
      <w:bookmarkStart w:id="734" w:name="_Toc365638326"/>
      <w:bookmarkStart w:id="735" w:name="_Toc373858719"/>
      <w:bookmarkStart w:id="736" w:name="_Toc155769606"/>
      <w:r w:rsidRPr="00E34E33">
        <w:t xml:space="preserve">Povinnosti </w:t>
      </w:r>
      <w:r>
        <w:t xml:space="preserve">žadatele/příjemce jako </w:t>
      </w:r>
      <w:r w:rsidRPr="00E34E33">
        <w:t>kontrolované</w:t>
      </w:r>
      <w:r>
        <w:t>ho</w:t>
      </w:r>
      <w:r w:rsidRPr="00E34E33">
        <w:t xml:space="preserve"> </w:t>
      </w:r>
      <w:r>
        <w:t>subjektu</w:t>
      </w:r>
      <w:bookmarkEnd w:id="729"/>
      <w:bookmarkEnd w:id="730"/>
      <w:bookmarkEnd w:id="731"/>
      <w:bookmarkEnd w:id="732"/>
      <w:bookmarkEnd w:id="733"/>
      <w:bookmarkEnd w:id="734"/>
      <w:bookmarkEnd w:id="735"/>
    </w:p>
    <w:p w:rsidR="00334BDF" w:rsidRPr="003C77AA" w:rsidRDefault="00334BDF" w:rsidP="00334BDF">
      <w:pPr>
        <w:pStyle w:val="Pruka-ZkladnstylCharChar1Char"/>
      </w:pPr>
      <w:r w:rsidRPr="003C77AA">
        <w:t xml:space="preserve">Kontrolovaný subjekt je na základě </w:t>
      </w:r>
      <w:r w:rsidR="00111F22">
        <w:t>Stanovení výdajů</w:t>
      </w:r>
      <w:r w:rsidR="00111F22">
        <w:rPr>
          <w:szCs w:val="24"/>
        </w:rPr>
        <w:t xml:space="preserve"> </w:t>
      </w:r>
      <w:r w:rsidRPr="003C77AA">
        <w:t xml:space="preserve">a Podmínek povinný umožnit projekt před realizací, po dobu realizace </w:t>
      </w:r>
      <w:r w:rsidR="00161C19">
        <w:t>a</w:t>
      </w:r>
      <w:r w:rsidRPr="003C77AA">
        <w:t xml:space="preserve"> po realizaci zkontrolovat.</w:t>
      </w:r>
      <w:r w:rsidR="003A0669">
        <w:t xml:space="preserve"> Práva a povinnosti kontrolních pracovníků a kontrolovaných osob jsou stanoveny v zákoně č. 552/1991 Sb., o státní kontrole.</w:t>
      </w:r>
    </w:p>
    <w:bookmarkEnd w:id="736"/>
    <w:p w:rsidR="00334BDF" w:rsidRPr="008C1BFB"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00111F22" w:rsidRPr="00E1311E">
        <w:rPr>
          <w:rFonts w:ascii="Times New Roman" w:hAnsi="Times New Roman" w:cs="Times New Roman"/>
          <w:sz w:val="24"/>
          <w:szCs w:val="24"/>
        </w:rPr>
        <w:t xml:space="preserve"> </w:t>
      </w:r>
      <w:r w:rsidRPr="00E1311E">
        <w:rPr>
          <w:rFonts w:ascii="Times New Roman" w:hAnsi="Times New Roman" w:cs="Times New Roman"/>
          <w:sz w:val="24"/>
          <w:szCs w:val="24"/>
        </w:rPr>
        <w:t>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w:t>
      </w:r>
      <w:r w:rsidRPr="00E1311E">
        <w:rPr>
          <w:rFonts w:ascii="Times New Roman" w:hAnsi="Times New Roman" w:cs="Times New Roman"/>
          <w:sz w:val="24"/>
          <w:szCs w:val="24"/>
        </w:rPr>
        <w:lastRenderedPageBreak/>
        <w:t>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111F22">
        <w:rPr>
          <w:rFonts w:ascii="Times New Roman" w:hAnsi="Times New Roman" w:cs="Times New Roman"/>
          <w:sz w:val="24"/>
          <w:szCs w:val="24"/>
        </w:rPr>
        <w:t xml:space="preserve">Stanovení výdajů </w:t>
      </w:r>
      <w:r w:rsidRPr="00E1311E">
        <w:rPr>
          <w:rFonts w:ascii="Times New Roman" w:hAnsi="Times New Roman" w:cs="Times New Roman"/>
          <w:sz w:val="24"/>
          <w:szCs w:val="24"/>
        </w:rPr>
        <w:t>včetně Podmínek</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334BDF" w:rsidRPr="00E1311E"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334BDF" w:rsidRDefault="00334BDF" w:rsidP="00111F22">
      <w:pPr>
        <w:widowControl w:val="0"/>
        <w:numPr>
          <w:ilvl w:val="0"/>
          <w:numId w:val="233"/>
        </w:numPr>
        <w:tabs>
          <w:tab w:val="clear" w:pos="360"/>
          <w:tab w:val="num" w:pos="993"/>
        </w:tabs>
        <w:adjustRightInd w:val="0"/>
        <w:spacing w:before="60"/>
        <w:ind w:left="993" w:hanging="567"/>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pPr>
        <w:pStyle w:val="Nadpis3"/>
        <w:keepLines/>
        <w:spacing w:before="360"/>
      </w:pPr>
      <w:bookmarkStart w:id="737" w:name="_Toc265563311"/>
      <w:bookmarkStart w:id="738" w:name="_Toc271531088"/>
      <w:bookmarkStart w:id="739" w:name="_Toc272931024"/>
      <w:bookmarkStart w:id="740" w:name="_Toc277320823"/>
      <w:bookmarkStart w:id="741" w:name="_Toc277320934"/>
      <w:bookmarkStart w:id="742" w:name="_Toc285113265"/>
      <w:bookmarkStart w:id="743" w:name="_Toc285113377"/>
      <w:bookmarkStart w:id="744" w:name="_Toc285113461"/>
      <w:bookmarkStart w:id="745" w:name="_Toc311644762"/>
      <w:bookmarkStart w:id="746" w:name="_Toc346195890"/>
      <w:bookmarkStart w:id="747" w:name="_Toc365638327"/>
      <w:bookmarkStart w:id="748" w:name="_Toc373858720"/>
      <w:bookmarkStart w:id="749" w:name="_Toc155769610"/>
      <w:r w:rsidRPr="0095013B">
        <w:t>Zahájení fyzické kontroly na místě</w:t>
      </w:r>
      <w:bookmarkEnd w:id="737"/>
      <w:bookmarkEnd w:id="738"/>
      <w:bookmarkEnd w:id="739"/>
      <w:bookmarkEnd w:id="740"/>
      <w:bookmarkEnd w:id="741"/>
      <w:bookmarkEnd w:id="742"/>
      <w:bookmarkEnd w:id="743"/>
      <w:bookmarkEnd w:id="744"/>
      <w:bookmarkEnd w:id="745"/>
      <w:bookmarkEnd w:id="746"/>
      <w:bookmarkEnd w:id="747"/>
      <w:bookmarkEnd w:id="748"/>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334BDF" w:rsidRDefault="00334BDF" w:rsidP="00334BDF">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334BDF" w:rsidRPr="00E17FE4" w:rsidRDefault="00334BDF">
      <w:pPr>
        <w:pStyle w:val="Nadpis3"/>
        <w:keepLines/>
        <w:spacing w:before="360"/>
      </w:pPr>
      <w:bookmarkStart w:id="750" w:name="_Toc277320824"/>
      <w:bookmarkStart w:id="751" w:name="_Toc277320935"/>
      <w:bookmarkStart w:id="752" w:name="_Toc285113266"/>
      <w:bookmarkStart w:id="753" w:name="_Toc285113378"/>
      <w:bookmarkStart w:id="754" w:name="_Toc285113462"/>
      <w:bookmarkStart w:id="755" w:name="_Toc311644763"/>
      <w:bookmarkStart w:id="756" w:name="_Toc346195891"/>
      <w:bookmarkStart w:id="757" w:name="_Toc365638328"/>
      <w:bookmarkStart w:id="758" w:name="_Toc373858721"/>
      <w:r w:rsidRPr="00E17FE4">
        <w:t>Protokol/zápis z kontroly</w:t>
      </w:r>
      <w:bookmarkEnd w:id="750"/>
      <w:bookmarkEnd w:id="751"/>
      <w:bookmarkEnd w:id="752"/>
      <w:bookmarkEnd w:id="753"/>
      <w:bookmarkEnd w:id="754"/>
      <w:bookmarkEnd w:id="755"/>
      <w:bookmarkEnd w:id="756"/>
      <w:bookmarkEnd w:id="757"/>
      <w:bookmarkEnd w:id="758"/>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8B13C5"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 xml:space="preserve">/zápisu z kontroly (§ </w:t>
      </w:r>
      <w:smartTag w:uri="urn:schemas-microsoft-com:office:smarttags" w:element="metricconverter">
        <w:smartTagPr>
          <w:attr w:name="ProductID" w:val="16 a"/>
        </w:smartTagPr>
        <w:r>
          <w:rPr>
            <w:rFonts w:ascii="Times New Roman" w:hAnsi="Times New Roman" w:cs="Times New Roman"/>
            <w:sz w:val="24"/>
            <w:szCs w:val="24"/>
          </w:rPr>
          <w:t>16 a</w:t>
        </w:r>
      </w:smartTag>
      <w:r w:rsidRPr="006235F4">
        <w:rPr>
          <w:rFonts w:ascii="Times New Roman" w:hAnsi="Times New Roman" w:cs="Times New Roman"/>
          <w:sz w:val="24"/>
          <w:szCs w:val="24"/>
        </w:rPr>
        <w:t xml:space="preserve"> 17 zákon</w:t>
      </w:r>
      <w:r>
        <w:rPr>
          <w:rFonts w:ascii="Times New Roman" w:hAnsi="Times New Roman" w:cs="Times New Roman"/>
          <w:sz w:val="24"/>
          <w:szCs w:val="24"/>
        </w:rPr>
        <w:t xml:space="preserve">a č. </w:t>
      </w:r>
      <w:r w:rsidRPr="006235F4">
        <w:rPr>
          <w:rFonts w:ascii="Times New Roman" w:hAnsi="Times New Roman" w:cs="Times New Roman"/>
          <w:sz w:val="24"/>
          <w:szCs w:val="24"/>
        </w:rPr>
        <w:t>552/1991 Sb.</w:t>
      </w:r>
      <w:r>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334BDF" w:rsidRPr="00793A9C" w:rsidRDefault="00334BDF">
      <w:pPr>
        <w:pStyle w:val="Nadpis3"/>
        <w:keepLines/>
        <w:spacing w:before="360"/>
      </w:pPr>
      <w:bookmarkStart w:id="759" w:name="_Toc277320825"/>
      <w:bookmarkStart w:id="760" w:name="_Toc277320936"/>
      <w:bookmarkStart w:id="761" w:name="_Toc285113267"/>
      <w:bookmarkStart w:id="762" w:name="_Toc285113379"/>
      <w:bookmarkStart w:id="763" w:name="_Toc285113463"/>
      <w:bookmarkStart w:id="764" w:name="_Toc311644764"/>
      <w:bookmarkStart w:id="765" w:name="_Toc346195892"/>
      <w:bookmarkStart w:id="766" w:name="_Toc365638329"/>
      <w:bookmarkStart w:id="767" w:name="_Toc373858722"/>
      <w:r w:rsidRPr="00793A9C">
        <w:lastRenderedPageBreak/>
        <w:t>Řízení o námitkách kontrolovaného subjektu</w:t>
      </w:r>
      <w:bookmarkEnd w:id="759"/>
      <w:bookmarkEnd w:id="760"/>
      <w:bookmarkEnd w:id="761"/>
      <w:bookmarkEnd w:id="762"/>
      <w:bookmarkEnd w:id="763"/>
      <w:bookmarkEnd w:id="764"/>
      <w:bookmarkEnd w:id="765"/>
      <w:bookmarkEnd w:id="766"/>
      <w:bookmarkEnd w:id="767"/>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EC3CF0">
        <w:rPr>
          <w:rFonts w:ascii="Times New Roman" w:hAnsi="Times New Roman" w:cs="Times New Roman"/>
          <w:sz w:val="24"/>
          <w:szCs w:val="24"/>
        </w:rPr>
        <w:t>uplatnit své písemné a zdůvodněné námitky, a to ve lhůtě uvedené v protokolu/zápisu z fyzické kontroly.</w:t>
      </w:r>
      <w:r w:rsidRPr="00E1311E">
        <w:rPr>
          <w:rFonts w:ascii="Times New Roman" w:hAnsi="Times New Roman" w:cs="Times New Roman"/>
          <w:sz w:val="24"/>
          <w:szCs w:val="24"/>
        </w:rPr>
        <w:t xml:space="preserve"> </w:t>
      </w:r>
    </w:p>
    <w:p w:rsidR="00334BDF" w:rsidRPr="00E1311E" w:rsidRDefault="00EC3CF0"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111F22"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kalendářních dnů od podání námitek kontrolované</w:t>
      </w:r>
      <w:r w:rsidR="00334BDF">
        <w:rPr>
          <w:rFonts w:ascii="Times New Roman" w:hAnsi="Times New Roman" w:cs="Times New Roman"/>
          <w:sz w:val="24"/>
          <w:szCs w:val="24"/>
        </w:rPr>
        <w:t>mu subjektu</w:t>
      </w:r>
      <w:r w:rsidR="00334BDF" w:rsidRPr="00E1311E">
        <w:rPr>
          <w:rFonts w:ascii="Times New Roman" w:hAnsi="Times New Roman" w:cs="Times New Roman"/>
          <w:sz w:val="24"/>
          <w:szCs w:val="24"/>
        </w:rPr>
        <w:t xml:space="preserve"> odpoví. O důvodech prodloužení lhůty na prošetře</w:t>
      </w:r>
      <w:r w:rsidR="00334BDF">
        <w:rPr>
          <w:rFonts w:ascii="Times New Roman" w:hAnsi="Times New Roman" w:cs="Times New Roman"/>
          <w:sz w:val="24"/>
          <w:szCs w:val="24"/>
        </w:rPr>
        <w:t>ní námitek musí být kontrolovaný</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subjekt písemně vyrozuměn</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w:t>
      </w:r>
      <w:r w:rsidR="006F3D59">
        <w:rPr>
          <w:rFonts w:ascii="Times New Roman" w:hAnsi="Times New Roman" w:cs="Times New Roman"/>
          <w:sz w:val="24"/>
          <w:szCs w:val="24"/>
        </w:rPr>
        <w:t>r</w:t>
      </w:r>
      <w:r w:rsidR="00EC3CF0">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Kontrola je ukončena uplynutím lhůty pro podání námitek, vzdáním se práva podat námitky, odmítnutím seznámení se s protokolem/zápisem nebo dnem doručení rozhodnutí o námitkách kontrolovanému subjektu.</w:t>
      </w:r>
      <w:bookmarkEnd w:id="749"/>
    </w:p>
    <w:p w:rsidR="007B2A95" w:rsidRPr="0048085A" w:rsidRDefault="001B1163">
      <w:pPr>
        <w:pStyle w:val="Nadpis1"/>
        <w:keepLines/>
      </w:pPr>
      <w:bookmarkStart w:id="768" w:name="_Toc322697627"/>
      <w:bookmarkStart w:id="769" w:name="_Toc322697950"/>
      <w:bookmarkStart w:id="770" w:name="_Toc322698202"/>
      <w:bookmarkStart w:id="771" w:name="_Toc322698453"/>
      <w:bookmarkStart w:id="772" w:name="_Toc323218025"/>
      <w:bookmarkStart w:id="773" w:name="_Toc324935403"/>
      <w:bookmarkStart w:id="774" w:name="_Toc177462481"/>
      <w:bookmarkStart w:id="775" w:name="_Toc191363137"/>
      <w:bookmarkStart w:id="776" w:name="_Toc191978816"/>
      <w:bookmarkStart w:id="777" w:name="_Toc244415596"/>
      <w:bookmarkEnd w:id="768"/>
      <w:bookmarkEnd w:id="769"/>
      <w:bookmarkEnd w:id="770"/>
      <w:bookmarkEnd w:id="771"/>
      <w:bookmarkEnd w:id="772"/>
      <w:bookmarkEnd w:id="773"/>
      <w:r>
        <w:rPr>
          <w:noProof/>
        </w:rPr>
        <w:br w:type="page"/>
      </w:r>
      <w:r>
        <w:lastRenderedPageBreak/>
        <w:t xml:space="preserve"> </w:t>
      </w:r>
      <w:bookmarkStart w:id="778" w:name="_Toc346195893"/>
      <w:bookmarkStart w:id="779" w:name="_Toc365638330"/>
      <w:bookmarkStart w:id="780" w:name="_Toc373858723"/>
      <w:r w:rsidR="00110CB1">
        <w:t>Z</w:t>
      </w:r>
      <w:bookmarkStart w:id="781" w:name="_Toc322697296"/>
      <w:bookmarkStart w:id="782" w:name="_Toc322697631"/>
      <w:bookmarkStart w:id="783" w:name="_Toc322697324"/>
      <w:bookmarkStart w:id="784" w:name="_Toc322697659"/>
      <w:bookmarkStart w:id="785" w:name="_Toc322697325"/>
      <w:bookmarkStart w:id="786" w:name="_Toc322697660"/>
      <w:bookmarkStart w:id="787" w:name="_Toc322697330"/>
      <w:bookmarkStart w:id="788" w:name="_Toc322697665"/>
      <w:bookmarkStart w:id="789" w:name="_Toc322697332"/>
      <w:bookmarkStart w:id="790" w:name="_Toc322697667"/>
      <w:bookmarkStart w:id="791" w:name="_Toc322697334"/>
      <w:bookmarkStart w:id="792" w:name="_Toc322697669"/>
      <w:bookmarkStart w:id="793" w:name="_Toc322697336"/>
      <w:bookmarkStart w:id="794" w:name="_Toc322697671"/>
      <w:bookmarkStart w:id="795" w:name="_Toc322697339"/>
      <w:bookmarkStart w:id="796" w:name="_Toc322697674"/>
      <w:bookmarkStart w:id="797" w:name="_Toc322697341"/>
      <w:bookmarkStart w:id="798" w:name="_Toc322697676"/>
      <w:bookmarkStart w:id="799" w:name="_Toc322697343"/>
      <w:bookmarkStart w:id="800" w:name="_Toc322697678"/>
      <w:bookmarkStart w:id="801" w:name="_Toc322697345"/>
      <w:bookmarkStart w:id="802" w:name="_Toc322697680"/>
      <w:bookmarkStart w:id="803" w:name="_Toc322697346"/>
      <w:bookmarkStart w:id="804" w:name="_Toc322697681"/>
      <w:bookmarkEnd w:id="774"/>
      <w:bookmarkEnd w:id="775"/>
      <w:bookmarkEnd w:id="776"/>
      <w:bookmarkEnd w:id="777"/>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00110CB1">
        <w:t>ákladní právní předpisy a dokumenty</w:t>
      </w:r>
      <w:bookmarkEnd w:id="778"/>
      <w:bookmarkEnd w:id="779"/>
      <w:bookmarkEnd w:id="780"/>
    </w:p>
    <w:p w:rsidR="00110CB1" w:rsidRPr="00196ADA" w:rsidRDefault="00110CB1" w:rsidP="00110CB1">
      <w:pPr>
        <w:pStyle w:val="Pruky-Nadpis2"/>
        <w:numPr>
          <w:ilvl w:val="0"/>
          <w:numId w:val="0"/>
        </w:numPr>
        <w:spacing w:after="240"/>
        <w:rPr>
          <w:rFonts w:ascii="Times New Roman" w:hAnsi="Times New Roman"/>
        </w:rPr>
      </w:pPr>
      <w:bookmarkStart w:id="805" w:name="_Toc172096941"/>
      <w:bookmarkStart w:id="806" w:name="_Toc173138462"/>
      <w:bookmarkStart w:id="807" w:name="_Toc177462432"/>
      <w:bookmarkStart w:id="808" w:name="_Toc285113269"/>
      <w:bookmarkStart w:id="809" w:name="_Toc285113381"/>
      <w:bookmarkStart w:id="810" w:name="_Toc285113465"/>
      <w:bookmarkStart w:id="811" w:name="_Toc311644766"/>
      <w:bookmarkStart w:id="812" w:name="_Toc346195894"/>
      <w:bookmarkStart w:id="813" w:name="_Toc365638331"/>
      <w:bookmarkStart w:id="814" w:name="_Toc373858724"/>
      <w:bookmarkStart w:id="815" w:name="_Toc244415600"/>
      <w:r w:rsidRPr="00196ADA">
        <w:rPr>
          <w:rFonts w:ascii="Times New Roman" w:hAnsi="Times New Roman"/>
        </w:rPr>
        <w:t>Základní legislativa EU</w:t>
      </w:r>
      <w:bookmarkEnd w:id="805"/>
      <w:bookmarkEnd w:id="806"/>
      <w:bookmarkEnd w:id="807"/>
      <w:bookmarkEnd w:id="808"/>
      <w:bookmarkEnd w:id="809"/>
      <w:bookmarkEnd w:id="810"/>
      <w:bookmarkEnd w:id="811"/>
      <w:bookmarkEnd w:id="812"/>
      <w:bookmarkEnd w:id="813"/>
      <w:bookmarkEnd w:id="814"/>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110CB1">
      <w:pPr>
        <w:numPr>
          <w:ilvl w:val="0"/>
          <w:numId w:val="151"/>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16" w:name="_Toc173138463"/>
      <w:bookmarkStart w:id="817" w:name="_Toc177462433"/>
      <w:bookmarkStart w:id="818" w:name="_Toc285113270"/>
      <w:bookmarkStart w:id="819" w:name="_Toc285113382"/>
      <w:bookmarkStart w:id="820" w:name="_Toc285113466"/>
      <w:bookmarkStart w:id="821" w:name="_Toc311644767"/>
      <w:bookmarkStart w:id="822" w:name="_Toc346195895"/>
      <w:bookmarkStart w:id="823" w:name="_Toc365638332"/>
      <w:bookmarkStart w:id="824" w:name="_Toc373858725"/>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16"/>
      <w:bookmarkEnd w:id="817"/>
      <w:bookmarkEnd w:id="818"/>
      <w:bookmarkEnd w:id="819"/>
      <w:bookmarkEnd w:id="820"/>
      <w:bookmarkEnd w:id="821"/>
      <w:bookmarkEnd w:id="822"/>
      <w:bookmarkEnd w:id="823"/>
      <w:bookmarkEnd w:id="824"/>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177035">
        <w:rPr>
          <w:rFonts w:ascii="Times New Roman" w:hAnsi="Times New Roman" w:cs="Times New Roman"/>
          <w:bCs/>
          <w:sz w:val="24"/>
          <w:szCs w:val="24"/>
          <w:lang w:val="en-US"/>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35720A" w:rsidRPr="0035720A" w:rsidRDefault="0035720A" w:rsidP="0035720A">
      <w:pPr>
        <w:numPr>
          <w:ilvl w:val="0"/>
          <w:numId w:val="152"/>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160/2013 Sb., o spolufinancování bezpečnostního systému,</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25" w:name="_Toc346195896"/>
      <w:bookmarkStart w:id="826" w:name="_Toc365638333"/>
      <w:bookmarkStart w:id="827" w:name="_Toc373858726"/>
      <w:r w:rsidR="001B1163" w:rsidRPr="00896118">
        <w:rPr>
          <w:rFonts w:cs="Times New Roman"/>
          <w:noProof/>
          <w:szCs w:val="40"/>
        </w:rPr>
        <w:t>Seznam příloh</w:t>
      </w:r>
      <w:bookmarkEnd w:id="815"/>
      <w:bookmarkEnd w:id="825"/>
      <w:bookmarkEnd w:id="826"/>
      <w:bookmarkEnd w:id="827"/>
    </w:p>
    <w:p w:rsidR="007D7B05" w:rsidRDefault="007D7B05" w:rsidP="007D7B05"/>
    <w:p w:rsidR="00CF5AFC" w:rsidRPr="00040684" w:rsidRDefault="00CF5AFC" w:rsidP="00CF5AFC">
      <w:pPr>
        <w:numPr>
          <w:ilvl w:val="0"/>
          <w:numId w:val="28"/>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EE702B">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365B28" w:rsidP="00040684">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Registrace akce</w:t>
      </w:r>
      <w:r w:rsidR="00560291" w:rsidRPr="00766DA8">
        <w:rPr>
          <w:rFonts w:ascii="Times New Roman" w:hAnsi="Times New Roman"/>
          <w:noProof/>
          <w:sz w:val="24"/>
          <w:szCs w:val="24"/>
        </w:rPr>
        <w:t xml:space="preserve"> a </w:t>
      </w:r>
      <w:r w:rsidR="00766DA8" w:rsidRPr="00766DA8">
        <w:rPr>
          <w:rFonts w:ascii="Times New Roman" w:hAnsi="Times New Roman"/>
          <w:noProof/>
          <w:sz w:val="24"/>
          <w:szCs w:val="24"/>
        </w:rPr>
        <w:t>Stanovení výdajů na financování akce OSS</w:t>
      </w:r>
      <w:r w:rsidR="00FB3B5E">
        <w:rPr>
          <w:rFonts w:ascii="Times New Roman" w:hAnsi="Times New Roman"/>
          <w:noProof/>
          <w:sz w:val="24"/>
          <w:szCs w:val="24"/>
        </w:rPr>
        <w:t xml:space="preserve"> (sloučený dokument)</w:t>
      </w:r>
    </w:p>
    <w:p w:rsidR="00CF5AFC" w:rsidRPr="00A47433" w:rsidRDefault="00116620" w:rsidP="0060682B">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EE702B" w:rsidRDefault="00116620" w:rsidP="00105110">
      <w:pPr>
        <w:tabs>
          <w:tab w:val="left" w:pos="0"/>
          <w:tab w:val="left" w:pos="363"/>
          <w:tab w:val="left" w:pos="426"/>
        </w:tabs>
        <w:autoSpaceDE w:val="0"/>
        <w:autoSpaceDN w:val="0"/>
        <w:adjustRightInd w:val="0"/>
        <w:spacing w:after="120"/>
        <w:ind w:left="363" w:right="-108"/>
        <w:jc w:val="left"/>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766DA8" w:rsidRDefault="00766DA8" w:rsidP="00766DA8">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Dopisu ministerstva pro místní rozvoj</w:t>
      </w:r>
    </w:p>
    <w:p w:rsidR="00CF5AFC" w:rsidRPr="00766DA8" w:rsidRDefault="00CF5AFC" w:rsidP="00766DA8">
      <w:pPr>
        <w:pStyle w:val="Odstavecseseznamem"/>
        <w:numPr>
          <w:ilvl w:val="0"/>
          <w:numId w:val="28"/>
        </w:numPr>
        <w:tabs>
          <w:tab w:val="clear" w:pos="720"/>
          <w:tab w:val="num" w:pos="426"/>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Zprávy pro závěrečné vyhodnocení akce</w:t>
      </w:r>
    </w:p>
    <w:p w:rsidR="007B2A95" w:rsidRPr="00766DA8" w:rsidRDefault="007B2A95"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Pravidla pro provádění informačních a propagačních opatření a manuál vizuální identity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Logo manuál IOP</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2" w:hanging="426"/>
        <w:rPr>
          <w:rFonts w:ascii="Times New Roman" w:hAnsi="Times New Roman"/>
          <w:noProof/>
          <w:sz w:val="24"/>
          <w:szCs w:val="24"/>
        </w:rPr>
      </w:pPr>
      <w:r w:rsidRPr="00766DA8">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766DA8">
        <w:rPr>
          <w:rFonts w:ascii="Times New Roman" w:hAnsi="Times New Roman"/>
          <w:noProof/>
          <w:sz w:val="24"/>
          <w:szCs w:val="24"/>
        </w:rPr>
        <w:t>–</w:t>
      </w:r>
      <w:r w:rsidRPr="00766DA8">
        <w:rPr>
          <w:rFonts w:ascii="Times New Roman" w:hAnsi="Times New Roman"/>
          <w:noProof/>
          <w:sz w:val="24"/>
          <w:szCs w:val="24"/>
        </w:rPr>
        <w:t>2013</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hlášení o pokroku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etapové/závěrečné monitorovací zprávy o realizaci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hlášení o pokroku/monitorovací zprávy v IS BENEFIT7</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Soupiska faktur k monitorovací zprávě</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Oznámení o změnách v projektu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Vzor zjednodušené žádosti o platbu</w:t>
      </w:r>
    </w:p>
    <w:p w:rsidR="00CF5AFC" w:rsidRPr="00766DA8" w:rsidRDefault="00CF5AFC" w:rsidP="00766DA8">
      <w:pPr>
        <w:pStyle w:val="Odstavecseseznamem"/>
        <w:numPr>
          <w:ilvl w:val="0"/>
          <w:numId w:val="28"/>
        </w:numPr>
        <w:tabs>
          <w:tab w:val="clear" w:pos="720"/>
        </w:tabs>
        <w:autoSpaceDE w:val="0"/>
        <w:autoSpaceDN w:val="0"/>
        <w:adjustRightInd w:val="0"/>
        <w:spacing w:after="120" w:line="360" w:lineRule="auto"/>
        <w:ind w:left="426" w:right="-108" w:hanging="426"/>
        <w:rPr>
          <w:rFonts w:ascii="Times New Roman" w:hAnsi="Times New Roman"/>
          <w:noProof/>
          <w:sz w:val="24"/>
          <w:szCs w:val="24"/>
        </w:rPr>
      </w:pPr>
      <w:r w:rsidRPr="00766DA8">
        <w:rPr>
          <w:rFonts w:ascii="Times New Roman" w:hAnsi="Times New Roman"/>
          <w:noProof/>
          <w:sz w:val="24"/>
          <w:szCs w:val="24"/>
        </w:rPr>
        <w:t>Postup pro vyplňování zjednodušené žádosti o platbu v IS BENEFIT7</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8"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BC726E">
      <w:headerReference w:type="default" r:id="rId29"/>
      <w:footerReference w:type="default" r:id="rId30"/>
      <w:headerReference w:type="first" r:id="rId31"/>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3B" w:rsidRDefault="0013203B">
      <w:r>
        <w:separator/>
      </w:r>
    </w:p>
  </w:endnote>
  <w:endnote w:type="continuationSeparator" w:id="0">
    <w:p w:rsidR="0013203B" w:rsidRDefault="0013203B">
      <w:r>
        <w:continuationSeparator/>
      </w:r>
    </w:p>
  </w:endnote>
  <w:endnote w:type="continuationNotice" w:id="1">
    <w:p w:rsidR="0013203B" w:rsidRDefault="0013203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E33913" w:rsidRPr="0082433E" w:rsidTr="00204263">
      <w:trPr>
        <w:trHeight w:val="227"/>
      </w:trPr>
      <w:tc>
        <w:tcPr>
          <w:tcW w:w="5688" w:type="dxa"/>
          <w:tcBorders>
            <w:top w:val="single" w:sz="4" w:space="0" w:color="auto"/>
          </w:tcBorders>
        </w:tcPr>
        <w:p w:rsidR="00E33913" w:rsidRPr="005410ED" w:rsidRDefault="00E33913"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E33913" w:rsidRPr="005410ED" w:rsidRDefault="00E33913"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177035">
            <w:rPr>
              <w:rStyle w:val="slostrnky"/>
              <w:rFonts w:ascii="Times New Roman" w:hAnsi="Times New Roman" w:cs="Times New Roman"/>
              <w:noProof/>
              <w:sz w:val="16"/>
              <w:szCs w:val="16"/>
            </w:rPr>
            <w:t>46</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177035">
            <w:rPr>
              <w:rStyle w:val="slostrnky"/>
              <w:rFonts w:ascii="Times New Roman" w:hAnsi="Times New Roman" w:cs="Times New Roman"/>
              <w:noProof/>
              <w:sz w:val="16"/>
              <w:szCs w:val="16"/>
            </w:rPr>
            <w:t>63</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E33913" w:rsidRPr="0082433E" w:rsidTr="00204263">
      <w:trPr>
        <w:trHeight w:val="227"/>
      </w:trPr>
      <w:tc>
        <w:tcPr>
          <w:tcW w:w="5688" w:type="dxa"/>
        </w:tcPr>
        <w:p w:rsidR="00E33913" w:rsidRPr="005410ED" w:rsidRDefault="00E33913"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E33913" w:rsidRPr="005410ED" w:rsidRDefault="00E33913" w:rsidP="003B4C3E">
          <w:pPr>
            <w:rPr>
              <w:rFonts w:ascii="Times New Roman" w:hAnsi="Times New Roman" w:cs="Times New Roman"/>
              <w:sz w:val="16"/>
              <w:szCs w:val="16"/>
            </w:rPr>
          </w:pPr>
        </w:p>
      </w:tc>
    </w:tr>
    <w:tr w:rsidR="00E33913" w:rsidRPr="0082433E" w:rsidTr="00204263">
      <w:trPr>
        <w:trHeight w:val="227"/>
      </w:trPr>
      <w:tc>
        <w:tcPr>
          <w:tcW w:w="5688" w:type="dxa"/>
        </w:tcPr>
        <w:p w:rsidR="00E33913" w:rsidRPr="005410ED" w:rsidRDefault="00E33913" w:rsidP="0039336F">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21 – </w:t>
          </w:r>
          <w:r w:rsidRPr="00077209">
            <w:rPr>
              <w:rFonts w:ascii="Times New Roman" w:hAnsi="Times New Roman" w:cs="Times New Roman"/>
              <w:sz w:val="16"/>
              <w:szCs w:val="16"/>
            </w:rPr>
            <w:t>kontinuální</w:t>
          </w:r>
        </w:p>
      </w:tc>
      <w:tc>
        <w:tcPr>
          <w:tcW w:w="3524" w:type="dxa"/>
        </w:tcPr>
        <w:p w:rsidR="00E33913" w:rsidRPr="005410ED" w:rsidRDefault="00E33913" w:rsidP="003B4C3E">
          <w:pPr>
            <w:rPr>
              <w:rFonts w:ascii="Times New Roman" w:hAnsi="Times New Roman" w:cs="Times New Roman"/>
              <w:sz w:val="16"/>
              <w:szCs w:val="16"/>
            </w:rPr>
          </w:pPr>
        </w:p>
      </w:tc>
    </w:tr>
    <w:tr w:rsidR="00E33913" w:rsidRPr="00CB0F4F" w:rsidTr="00204263">
      <w:trPr>
        <w:trHeight w:val="227"/>
      </w:trPr>
      <w:tc>
        <w:tcPr>
          <w:tcW w:w="5688" w:type="dxa"/>
          <w:tcBorders>
            <w:bottom w:val="single" w:sz="4" w:space="0" w:color="auto"/>
          </w:tcBorders>
        </w:tcPr>
        <w:p w:rsidR="00E33913" w:rsidRPr="005410ED" w:rsidRDefault="00E33913" w:rsidP="00247EF6">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0; Platnost </w:t>
          </w:r>
          <w:proofErr w:type="gramStart"/>
          <w:r>
            <w:rPr>
              <w:rFonts w:ascii="Times New Roman" w:hAnsi="Times New Roman" w:cs="Times New Roman"/>
              <w:sz w:val="16"/>
              <w:szCs w:val="16"/>
            </w:rPr>
            <w:t>od</w:t>
          </w:r>
          <w:proofErr w:type="gramEnd"/>
          <w:r w:rsidRPr="00247EF6">
            <w:rPr>
              <w:rFonts w:ascii="Times New Roman" w:hAnsi="Times New Roman" w:cs="Times New Roman"/>
              <w:sz w:val="16"/>
              <w:szCs w:val="16"/>
            </w:rPr>
            <w:t xml:space="preserve">: </w:t>
          </w:r>
          <w:r w:rsidRPr="00077209">
            <w:rPr>
              <w:rFonts w:ascii="Times New Roman" w:hAnsi="Times New Roman" w:cs="Times New Roman"/>
              <w:sz w:val="16"/>
              <w:szCs w:val="16"/>
            </w:rPr>
            <w:t>9. prosince</w:t>
          </w:r>
          <w:r w:rsidRPr="00506334">
            <w:rPr>
              <w:rFonts w:ascii="Times New Roman" w:hAnsi="Times New Roman"/>
              <w:sz w:val="16"/>
            </w:rPr>
            <w:t xml:space="preserve"> 2013</w:t>
          </w:r>
        </w:p>
      </w:tc>
      <w:tc>
        <w:tcPr>
          <w:tcW w:w="3524" w:type="dxa"/>
          <w:tcBorders>
            <w:bottom w:val="single" w:sz="4" w:space="0" w:color="auto"/>
          </w:tcBorders>
        </w:tcPr>
        <w:p w:rsidR="00E33913" w:rsidRPr="005410ED" w:rsidRDefault="00E33913" w:rsidP="003B4C3E">
          <w:pPr>
            <w:rPr>
              <w:rFonts w:ascii="Times New Roman" w:hAnsi="Times New Roman" w:cs="Times New Roman"/>
              <w:sz w:val="16"/>
              <w:szCs w:val="16"/>
            </w:rPr>
          </w:pPr>
        </w:p>
      </w:tc>
    </w:tr>
  </w:tbl>
  <w:p w:rsidR="00E33913" w:rsidRDefault="00E339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3B" w:rsidRDefault="0013203B">
      <w:r>
        <w:separator/>
      </w:r>
    </w:p>
  </w:footnote>
  <w:footnote w:type="continuationSeparator" w:id="0">
    <w:p w:rsidR="0013203B" w:rsidRDefault="0013203B">
      <w:r>
        <w:continuationSeparator/>
      </w:r>
    </w:p>
  </w:footnote>
  <w:footnote w:type="continuationNotice" w:id="1">
    <w:p w:rsidR="0013203B" w:rsidRDefault="0013203B">
      <w:pPr>
        <w:spacing w:before="0"/>
      </w:pPr>
    </w:p>
  </w:footnote>
  <w:footnote w:id="2">
    <w:p w:rsidR="00E33913" w:rsidRPr="00864FCF" w:rsidRDefault="00E33913" w:rsidP="003D7CE7">
      <w:pPr>
        <w:pStyle w:val="Textpoznpodarou"/>
      </w:pPr>
      <w:r w:rsidRPr="00B04109">
        <w:rPr>
          <w:rStyle w:val="Znakapoznpodarou"/>
          <w:rFonts w:ascii="Times New Roman" w:hAnsi="Times New Roman" w:cs="Times New Roman"/>
        </w:rPr>
        <w:footnoteRef/>
      </w:r>
      <w:r w:rsidRPr="00B04109">
        <w:rPr>
          <w:rFonts w:ascii="Times New Roman" w:hAnsi="Times New Roman" w:cs="Times New Roman"/>
        </w:rPr>
        <w:t xml:space="preserve"> Pro</w:t>
      </w:r>
      <w:r w:rsidRPr="00864FCF">
        <w:rPr>
          <w:rFonts w:ascii="Times New Roman" w:hAnsi="Times New Roman" w:cs="Times New Roman"/>
        </w:rPr>
        <w:t xml:space="preserve"> zjednodušení a přehlednost se pod pojmem „</w:t>
      </w:r>
      <w:r>
        <w:rPr>
          <w:rFonts w:ascii="Times New Roman" w:hAnsi="Times New Roman" w:cs="Times New Roman"/>
        </w:rPr>
        <w:t>poskytování</w:t>
      </w:r>
      <w:r w:rsidRPr="00864FCF">
        <w:rPr>
          <w:rFonts w:ascii="Times New Roman" w:hAnsi="Times New Roman" w:cs="Times New Roman"/>
        </w:rPr>
        <w:t xml:space="preserve"> dotace“ v případě, kdy je příjemcem organizační složka státu, rozumí „převod peněžních prostředků“.</w:t>
      </w:r>
    </w:p>
  </w:footnote>
  <w:footnote w:id="3">
    <w:p w:rsidR="00E33913" w:rsidRDefault="00E33913"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E33913" w:rsidRDefault="00E33913" w:rsidP="00B74B14">
      <w:pPr>
        <w:pStyle w:val="Textpoznpodarou"/>
      </w:pPr>
      <w:r>
        <w:rPr>
          <w:rStyle w:val="Znakapoznpodarou"/>
        </w:rPr>
        <w:footnoteRef/>
      </w:r>
      <w:r>
        <w:t xml:space="preserve"> </w:t>
      </w:r>
      <w:r w:rsidRPr="00B22D2A">
        <w:rPr>
          <w:rFonts w:ascii="Times New Roman" w:hAnsi="Times New Roman" w:cs="Times New Roman"/>
        </w:rPr>
        <w:t>Stejný princip platí pro odevzdávání dalších dokumentů</w:t>
      </w:r>
      <w:r>
        <w:rPr>
          <w:rFonts w:ascii="Times New Roman" w:hAnsi="Times New Roman" w:cs="Times New Roman"/>
        </w:rPr>
        <w:t>,</w:t>
      </w:r>
      <w:r w:rsidRPr="00B22D2A">
        <w:rPr>
          <w:rFonts w:ascii="Times New Roman" w:hAnsi="Times New Roman" w:cs="Times New Roman"/>
        </w:rPr>
        <w:t xml:space="preserve">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E33913" w:rsidRDefault="00E33913" w:rsidP="00A05B45">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E33913" w:rsidRDefault="00E33913">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w:t>
      </w:r>
      <w:r w:rsidRPr="00FD4701">
        <w:rPr>
          <w:rFonts w:ascii="Times New Roman" w:hAnsi="Times New Roman" w:cs="Times New Roman"/>
        </w:rPr>
        <w:t xml:space="preserve"> je aktuální rok realizace projektu.</w:t>
      </w:r>
    </w:p>
  </w:footnote>
  <w:footnote w:id="7">
    <w:p w:rsidR="00E33913" w:rsidRDefault="00E33913">
      <w:pPr>
        <w:pStyle w:val="Textpoznpodarou"/>
      </w:pPr>
      <w:r>
        <w:rPr>
          <w:rStyle w:val="Znakapoznpodarou"/>
        </w:rPr>
        <w:footnoteRef/>
      </w:r>
      <w:r>
        <w:t xml:space="preserve"> </w:t>
      </w:r>
      <w:r w:rsidRPr="00FD4701">
        <w:rPr>
          <w:rFonts w:ascii="Times New Roman" w:hAnsi="Times New Roman" w:cs="Times New Roman"/>
        </w:rPr>
        <w:t xml:space="preserve">Rokem </w:t>
      </w:r>
      <w:r w:rsidRPr="00FD4701">
        <w:rPr>
          <w:rFonts w:ascii="Times New Roman" w:hAnsi="Times New Roman" w:cs="Times New Roman"/>
          <w:i/>
        </w:rPr>
        <w:t>n-1</w:t>
      </w:r>
      <w:r w:rsidRPr="00FD4701">
        <w:rPr>
          <w:rFonts w:ascii="Times New Roman" w:hAnsi="Times New Roman" w:cs="Times New Roman"/>
        </w:rPr>
        <w:t xml:space="preserve"> se rozumí rok přípravy návrhu státního rozpočtu na rok </w:t>
      </w:r>
      <w:r w:rsidRPr="00FD4701">
        <w:rPr>
          <w:rFonts w:ascii="Times New Roman" w:hAnsi="Times New Roman" w:cs="Times New Roman"/>
          <w:i/>
        </w:rPr>
        <w:t>n</w:t>
      </w:r>
      <w:r w:rsidRPr="00FD4701">
        <w:rPr>
          <w:rFonts w:ascii="Times New Roman" w:hAnsi="Times New Roman" w:cs="Times New Roman"/>
        </w:rPr>
        <w:t>.</w:t>
      </w:r>
    </w:p>
  </w:footnote>
  <w:footnote w:id="8">
    <w:p w:rsidR="00E33913" w:rsidRPr="00CF3A89" w:rsidRDefault="00E33913" w:rsidP="00334BDF">
      <w:pPr>
        <w:pStyle w:val="Textpoznpodarou"/>
        <w:rPr>
          <w:rFonts w:ascii="Times New Roman" w:hAnsi="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40/1964 Sb., občanský zákoník,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3" w:rsidRDefault="00E33913"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13" w:rsidRDefault="00E33913">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89"/>
    <w:multiLevelType w:val="singleLevel"/>
    <w:tmpl w:val="B73875C0"/>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2">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3">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4">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4">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4312604"/>
    <w:multiLevelType w:val="hybridMultilevel"/>
    <w:tmpl w:val="639823D8"/>
    <w:lvl w:ilvl="0" w:tplc="264A72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4">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6">
    <w:nsid w:val="29556546"/>
    <w:multiLevelType w:val="hybridMultilevel"/>
    <w:tmpl w:val="9CE20A14"/>
    <w:lvl w:ilvl="0" w:tplc="ED70A2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8">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9">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0">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3">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2C3F2D0D"/>
    <w:multiLevelType w:val="hybridMultilevel"/>
    <w:tmpl w:val="AAB428FE"/>
    <w:lvl w:ilvl="0" w:tplc="2B860B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2E0F3DF9"/>
    <w:multiLevelType w:val="hybridMultilevel"/>
    <w:tmpl w:val="5B1A81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9">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0">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1">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2">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4">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7">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8">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1">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3">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4">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6">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9">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0FC4224"/>
    <w:multiLevelType w:val="hybridMultilevel"/>
    <w:tmpl w:val="5858A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3">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5">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9">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0">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2">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4CC1472A"/>
    <w:multiLevelType w:val="hybridMultilevel"/>
    <w:tmpl w:val="D4C65A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3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4">
    <w:nsid w:val="561E151B"/>
    <w:multiLevelType w:val="hybridMultilevel"/>
    <w:tmpl w:val="A3D83352"/>
    <w:lvl w:ilvl="0" w:tplc="264A72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nsid w:val="593C20B1"/>
    <w:multiLevelType w:val="hybridMultilevel"/>
    <w:tmpl w:val="14A4180E"/>
    <w:lvl w:ilvl="0" w:tplc="CDA0086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0">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1">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57">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59">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1">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2">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3">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4">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6">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8">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69">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nsid w:val="68C233A4"/>
    <w:multiLevelType w:val="hybridMultilevel"/>
    <w:tmpl w:val="4E2E9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5">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6">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8">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E3D73F0"/>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83">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4">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5">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6">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7">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88">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9">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1">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2">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3">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4">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5">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6">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7">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0">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02">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04">
    <w:nsid w:val="78F23E0C"/>
    <w:multiLevelType w:val="multilevel"/>
    <w:tmpl w:val="A59E2814"/>
    <w:numStyleLink w:val="StylSodrkami"/>
  </w:abstractNum>
  <w:abstractNum w:abstractNumId="205">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6">
    <w:nsid w:val="7A1844F7"/>
    <w:multiLevelType w:val="hybridMultilevel"/>
    <w:tmpl w:val="176025E4"/>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8">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0">
    <w:nsid w:val="7BD03185"/>
    <w:multiLevelType w:val="hybridMultilevel"/>
    <w:tmpl w:val="0556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2">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13">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1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15">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6">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7">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7"/>
  </w:num>
  <w:num w:numId="2">
    <w:abstractNumId w:val="37"/>
  </w:num>
  <w:num w:numId="3">
    <w:abstractNumId w:val="105"/>
  </w:num>
  <w:num w:numId="4">
    <w:abstractNumId w:val="175"/>
  </w:num>
  <w:num w:numId="5">
    <w:abstractNumId w:val="150"/>
  </w:num>
  <w:num w:numId="6">
    <w:abstractNumId w:val="158"/>
  </w:num>
  <w:num w:numId="7">
    <w:abstractNumId w:val="213"/>
  </w:num>
  <w:num w:numId="8">
    <w:abstractNumId w:val="122"/>
  </w:num>
  <w:num w:numId="9">
    <w:abstractNumId w:val="161"/>
  </w:num>
  <w:num w:numId="10">
    <w:abstractNumId w:val="17"/>
  </w:num>
  <w:num w:numId="11">
    <w:abstractNumId w:val="209"/>
  </w:num>
  <w:num w:numId="12">
    <w:abstractNumId w:val="214"/>
  </w:num>
  <w:num w:numId="13">
    <w:abstractNumId w:val="98"/>
  </w:num>
  <w:num w:numId="14">
    <w:abstractNumId w:val="211"/>
  </w:num>
  <w:num w:numId="15">
    <w:abstractNumId w:val="196"/>
  </w:num>
  <w:num w:numId="16">
    <w:abstractNumId w:val="2"/>
  </w:num>
  <w:num w:numId="17">
    <w:abstractNumId w:val="31"/>
  </w:num>
  <w:num w:numId="18">
    <w:abstractNumId w:val="35"/>
  </w:num>
  <w:num w:numId="19">
    <w:abstractNumId w:val="24"/>
  </w:num>
  <w:num w:numId="20">
    <w:abstractNumId w:val="29"/>
  </w:num>
  <w:num w:numId="21">
    <w:abstractNumId w:val="1"/>
  </w:num>
  <w:num w:numId="22">
    <w:abstractNumId w:val="40"/>
  </w:num>
  <w:num w:numId="23">
    <w:abstractNumId w:val="200"/>
  </w:num>
  <w:num w:numId="24">
    <w:abstractNumId w:val="212"/>
  </w:num>
  <w:num w:numId="25">
    <w:abstractNumId w:val="55"/>
  </w:num>
  <w:num w:numId="26">
    <w:abstractNumId w:val="68"/>
  </w:num>
  <w:num w:numId="27">
    <w:abstractNumId w:val="23"/>
  </w:num>
  <w:num w:numId="28">
    <w:abstractNumId w:val="26"/>
  </w:num>
  <w:num w:numId="29">
    <w:abstractNumId w:val="69"/>
  </w:num>
  <w:num w:numId="30">
    <w:abstractNumId w:val="130"/>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0"/>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4"/>
  </w:num>
  <w:num w:numId="35">
    <w:abstractNumId w:val="194"/>
  </w:num>
  <w:num w:numId="36">
    <w:abstractNumId w:val="38"/>
  </w:num>
  <w:num w:numId="37">
    <w:abstractNumId w:val="78"/>
  </w:num>
  <w:num w:numId="38">
    <w:abstractNumId w:val="3"/>
  </w:num>
  <w:num w:numId="39">
    <w:abstractNumId w:val="134"/>
  </w:num>
  <w:num w:numId="40">
    <w:abstractNumId w:val="79"/>
  </w:num>
  <w:num w:numId="41">
    <w:abstractNumId w:val="143"/>
  </w:num>
  <w:num w:numId="42">
    <w:abstractNumId w:val="54"/>
  </w:num>
  <w:num w:numId="43">
    <w:abstractNumId w:val="117"/>
  </w:num>
  <w:num w:numId="44">
    <w:abstractNumId w:val="80"/>
  </w:num>
  <w:num w:numId="45">
    <w:abstractNumId w:val="30"/>
  </w:num>
  <w:num w:numId="46">
    <w:abstractNumId w:val="127"/>
  </w:num>
  <w:num w:numId="47">
    <w:abstractNumId w:val="36"/>
  </w:num>
  <w:num w:numId="48">
    <w:abstractNumId w:val="205"/>
  </w:num>
  <w:num w:numId="49">
    <w:abstractNumId w:val="63"/>
  </w:num>
  <w:num w:numId="50">
    <w:abstractNumId w:val="146"/>
  </w:num>
  <w:num w:numId="51">
    <w:abstractNumId w:val="146"/>
  </w:num>
  <w:num w:numId="52">
    <w:abstractNumId w:val="5"/>
  </w:num>
  <w:num w:numId="53">
    <w:abstractNumId w:val="126"/>
  </w:num>
  <w:num w:numId="54">
    <w:abstractNumId w:val="146"/>
  </w:num>
  <w:num w:numId="55">
    <w:abstractNumId w:val="5"/>
  </w:num>
  <w:num w:numId="56">
    <w:abstractNumId w:val="5"/>
  </w:num>
  <w:num w:numId="57">
    <w:abstractNumId w:val="5"/>
  </w:num>
  <w:num w:numId="58">
    <w:abstractNumId w:val="132"/>
  </w:num>
  <w:num w:numId="59">
    <w:abstractNumId w:val="109"/>
  </w:num>
  <w:num w:numId="60">
    <w:abstractNumId w:val="118"/>
  </w:num>
  <w:num w:numId="61">
    <w:abstractNumId w:val="109"/>
  </w:num>
  <w:num w:numId="62">
    <w:abstractNumId w:val="109"/>
  </w:num>
  <w:num w:numId="63">
    <w:abstractNumId w:val="119"/>
  </w:num>
  <w:num w:numId="64">
    <w:abstractNumId w:val="96"/>
  </w:num>
  <w:num w:numId="65">
    <w:abstractNumId w:val="192"/>
  </w:num>
  <w:num w:numId="66">
    <w:abstractNumId w:val="109"/>
  </w:num>
  <w:num w:numId="67">
    <w:abstractNumId w:val="128"/>
  </w:num>
  <w:num w:numId="68">
    <w:abstractNumId w:val="183"/>
  </w:num>
  <w:num w:numId="69">
    <w:abstractNumId w:val="152"/>
  </w:num>
  <w:num w:numId="70">
    <w:abstractNumId w:val="109"/>
  </w:num>
  <w:num w:numId="71">
    <w:abstractNumId w:val="109"/>
  </w:num>
  <w:num w:numId="72">
    <w:abstractNumId w:val="109"/>
  </w:num>
  <w:num w:numId="73">
    <w:abstractNumId w:val="109"/>
  </w:num>
  <w:num w:numId="74">
    <w:abstractNumId w:val="109"/>
  </w:num>
  <w:num w:numId="75">
    <w:abstractNumId w:val="109"/>
  </w:num>
  <w:num w:numId="76">
    <w:abstractNumId w:val="109"/>
  </w:num>
  <w:num w:numId="77">
    <w:abstractNumId w:val="109"/>
  </w:num>
  <w:num w:numId="78">
    <w:abstractNumId w:val="109"/>
  </w:num>
  <w:num w:numId="79">
    <w:abstractNumId w:val="110"/>
  </w:num>
  <w:num w:numId="80">
    <w:abstractNumId w:val="109"/>
  </w:num>
  <w:num w:numId="81">
    <w:abstractNumId w:val="109"/>
  </w:num>
  <w:num w:numId="82">
    <w:abstractNumId w:val="109"/>
  </w:num>
  <w:num w:numId="83">
    <w:abstractNumId w:val="109"/>
  </w:num>
  <w:num w:numId="84">
    <w:abstractNumId w:val="10"/>
  </w:num>
  <w:num w:numId="85">
    <w:abstractNumId w:val="109"/>
  </w:num>
  <w:num w:numId="86">
    <w:abstractNumId w:val="109"/>
  </w:num>
  <w:num w:numId="87">
    <w:abstractNumId w:val="109"/>
  </w:num>
  <w:num w:numId="88">
    <w:abstractNumId w:val="109"/>
  </w:num>
  <w:num w:numId="89">
    <w:abstractNumId w:val="109"/>
  </w:num>
  <w:num w:numId="90">
    <w:abstractNumId w:val="109"/>
  </w:num>
  <w:num w:numId="91">
    <w:abstractNumId w:val="163"/>
  </w:num>
  <w:num w:numId="92">
    <w:abstractNumId w:val="109"/>
  </w:num>
  <w:num w:numId="93">
    <w:abstractNumId w:val="109"/>
  </w:num>
  <w:num w:numId="94">
    <w:abstractNumId w:val="109"/>
  </w:num>
  <w:num w:numId="95">
    <w:abstractNumId w:val="109"/>
  </w:num>
  <w:num w:numId="96">
    <w:abstractNumId w:val="109"/>
  </w:num>
  <w:num w:numId="97">
    <w:abstractNumId w:val="109"/>
  </w:num>
  <w:num w:numId="98">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num>
  <w:num w:numId="100">
    <w:abstractNumId w:val="109"/>
  </w:num>
  <w:num w:numId="101">
    <w:abstractNumId w:val="109"/>
  </w:num>
  <w:num w:numId="102">
    <w:abstractNumId w:val="109"/>
  </w:num>
  <w:num w:numId="103">
    <w:abstractNumId w:val="197"/>
  </w:num>
  <w:num w:numId="104">
    <w:abstractNumId w:val="109"/>
  </w:num>
  <w:num w:numId="105">
    <w:abstractNumId w:val="109"/>
  </w:num>
  <w:num w:numId="106">
    <w:abstractNumId w:val="109"/>
  </w:num>
  <w:num w:numId="107">
    <w:abstractNumId w:val="116"/>
  </w:num>
  <w:num w:numId="108">
    <w:abstractNumId w:val="7"/>
  </w:num>
  <w:num w:numId="109">
    <w:abstractNumId w:val="109"/>
  </w:num>
  <w:num w:numId="110">
    <w:abstractNumId w:val="109"/>
  </w:num>
  <w:num w:numId="111">
    <w:abstractNumId w:val="64"/>
  </w:num>
  <w:num w:numId="112">
    <w:abstractNumId w:val="59"/>
  </w:num>
  <w:num w:numId="113">
    <w:abstractNumId w:val="109"/>
  </w:num>
  <w:num w:numId="114">
    <w:abstractNumId w:val="109"/>
  </w:num>
  <w:num w:numId="115">
    <w:abstractNumId w:val="83"/>
  </w:num>
  <w:num w:numId="116">
    <w:abstractNumId w:val="88"/>
  </w:num>
  <w:num w:numId="117">
    <w:abstractNumId w:val="109"/>
  </w:num>
  <w:num w:numId="118">
    <w:abstractNumId w:val="109"/>
  </w:num>
  <w:num w:numId="119">
    <w:abstractNumId w:val="109"/>
  </w:num>
  <w:num w:numId="120">
    <w:abstractNumId w:val="109"/>
  </w:num>
  <w:num w:numId="121">
    <w:abstractNumId w:val="141"/>
  </w:num>
  <w:num w:numId="122">
    <w:abstractNumId w:val="109"/>
  </w:num>
  <w:num w:numId="123">
    <w:abstractNumId w:val="47"/>
  </w:num>
  <w:num w:numId="124">
    <w:abstractNumId w:val="109"/>
  </w:num>
  <w:num w:numId="125">
    <w:abstractNumId w:val="109"/>
  </w:num>
  <w:num w:numId="126">
    <w:abstractNumId w:val="109"/>
  </w:num>
  <w:num w:numId="127">
    <w:abstractNumId w:val="109"/>
  </w:num>
  <w:num w:numId="128">
    <w:abstractNumId w:val="109"/>
  </w:num>
  <w:num w:numId="129">
    <w:abstractNumId w:val="109"/>
  </w:num>
  <w:num w:numId="130">
    <w:abstractNumId w:val="109"/>
  </w:num>
  <w:num w:numId="131">
    <w:abstractNumId w:val="70"/>
  </w:num>
  <w:num w:numId="132">
    <w:abstractNumId w:val="57"/>
  </w:num>
  <w:num w:numId="133">
    <w:abstractNumId w:val="109"/>
  </w:num>
  <w:num w:numId="1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num>
  <w:num w:numId="136">
    <w:abstractNumId w:val="72"/>
  </w:num>
  <w:num w:numId="137">
    <w:abstractNumId w:val="165"/>
  </w:num>
  <w:num w:numId="138">
    <w:abstractNumId w:val="121"/>
  </w:num>
  <w:num w:numId="139">
    <w:abstractNumId w:val="109"/>
  </w:num>
  <w:num w:numId="140">
    <w:abstractNumId w:val="109"/>
  </w:num>
  <w:num w:numId="141">
    <w:abstractNumId w:val="109"/>
  </w:num>
  <w:num w:numId="142">
    <w:abstractNumId w:val="109"/>
  </w:num>
  <w:num w:numId="143">
    <w:abstractNumId w:val="109"/>
  </w:num>
  <w:num w:numId="144">
    <w:abstractNumId w:val="109"/>
  </w:num>
  <w:num w:numId="145">
    <w:abstractNumId w:val="109"/>
  </w:num>
  <w:num w:numId="146">
    <w:abstractNumId w:val="109"/>
  </w:num>
  <w:num w:numId="147">
    <w:abstractNumId w:val="109"/>
  </w:num>
  <w:num w:numId="148">
    <w:abstractNumId w:val="109"/>
  </w:num>
  <w:num w:numId="149">
    <w:abstractNumId w:val="109"/>
  </w:num>
  <w:num w:numId="150">
    <w:abstractNumId w:val="109"/>
  </w:num>
  <w:num w:numId="151">
    <w:abstractNumId w:val="12"/>
  </w:num>
  <w:num w:numId="15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7"/>
  </w:num>
  <w:num w:numId="155">
    <w:abstractNumId w:val="187"/>
  </w:num>
  <w:num w:numId="156">
    <w:abstractNumId w:val="109"/>
  </w:num>
  <w:num w:numId="157">
    <w:abstractNumId w:val="109"/>
  </w:num>
  <w:num w:numId="158">
    <w:abstractNumId w:val="109"/>
  </w:num>
  <w:num w:numId="159">
    <w:abstractNumId w:val="109"/>
  </w:num>
  <w:num w:numId="160">
    <w:abstractNumId w:val="6"/>
  </w:num>
  <w:num w:numId="161">
    <w:abstractNumId w:val="49"/>
  </w:num>
  <w:num w:numId="162">
    <w:abstractNumId w:val="109"/>
  </w:num>
  <w:num w:numId="163">
    <w:abstractNumId w:val="44"/>
  </w:num>
  <w:num w:numId="164">
    <w:abstractNumId w:val="137"/>
  </w:num>
  <w:num w:numId="165">
    <w:abstractNumId w:val="111"/>
  </w:num>
  <w:num w:numId="166">
    <w:abstractNumId w:val="109"/>
  </w:num>
  <w:num w:numId="167">
    <w:abstractNumId w:val="109"/>
  </w:num>
  <w:num w:numId="168">
    <w:abstractNumId w:val="180"/>
  </w:num>
  <w:num w:numId="169">
    <w:abstractNumId w:val="43"/>
  </w:num>
  <w:num w:numId="170">
    <w:abstractNumId w:val="33"/>
  </w:num>
  <w:num w:numId="171">
    <w:abstractNumId w:val="182"/>
  </w:num>
  <w:num w:numId="172">
    <w:abstractNumId w:val="147"/>
  </w:num>
  <w:num w:numId="173">
    <w:abstractNumId w:val="204"/>
  </w:num>
  <w:num w:numId="174">
    <w:abstractNumId w:val="145"/>
  </w:num>
  <w:num w:numId="175">
    <w:abstractNumId w:val="173"/>
  </w:num>
  <w:num w:numId="176">
    <w:abstractNumId w:val="199"/>
  </w:num>
  <w:num w:numId="177">
    <w:abstractNumId w:val="93"/>
  </w:num>
  <w:num w:numId="178">
    <w:abstractNumId w:val="90"/>
  </w:num>
  <w:num w:numId="179">
    <w:abstractNumId w:val="167"/>
  </w:num>
  <w:num w:numId="180">
    <w:abstractNumId w:val="185"/>
  </w:num>
  <w:num w:numId="181">
    <w:abstractNumId w:val="136"/>
  </w:num>
  <w:num w:numId="182">
    <w:abstractNumId w:val="207"/>
  </w:num>
  <w:num w:numId="183">
    <w:abstractNumId w:val="50"/>
  </w:num>
  <w:num w:numId="184">
    <w:abstractNumId w:val="106"/>
  </w:num>
  <w:num w:numId="185">
    <w:abstractNumId w:val="51"/>
  </w:num>
  <w:num w:numId="186">
    <w:abstractNumId w:val="208"/>
  </w:num>
  <w:num w:numId="187">
    <w:abstractNumId w:val="9"/>
  </w:num>
  <w:num w:numId="188">
    <w:abstractNumId w:val="157"/>
  </w:num>
  <w:num w:numId="189">
    <w:abstractNumId w:val="109"/>
  </w:num>
  <w:num w:numId="190">
    <w:abstractNumId w:val="109"/>
  </w:num>
  <w:num w:numId="191">
    <w:abstractNumId w:val="109"/>
  </w:num>
  <w:num w:numId="192">
    <w:abstractNumId w:val="109"/>
  </w:num>
  <w:num w:numId="193">
    <w:abstractNumId w:val="109"/>
  </w:num>
  <w:num w:numId="194">
    <w:abstractNumId w:val="109"/>
  </w:num>
  <w:num w:numId="195">
    <w:abstractNumId w:val="11"/>
  </w:num>
  <w:num w:numId="196">
    <w:abstractNumId w:val="115"/>
  </w:num>
  <w:num w:numId="197">
    <w:abstractNumId w:val="151"/>
  </w:num>
  <w:num w:numId="198">
    <w:abstractNumId w:val="67"/>
  </w:num>
  <w:num w:numId="199">
    <w:abstractNumId w:val="4"/>
  </w:num>
  <w:num w:numId="200">
    <w:abstractNumId w:val="178"/>
  </w:num>
  <w:num w:numId="201">
    <w:abstractNumId w:val="45"/>
  </w:num>
  <w:num w:numId="202">
    <w:abstractNumId w:val="76"/>
  </w:num>
  <w:num w:numId="203">
    <w:abstractNumId w:val="162"/>
  </w:num>
  <w:num w:numId="204">
    <w:abstractNumId w:val="109"/>
  </w:num>
  <w:num w:numId="205">
    <w:abstractNumId w:val="109"/>
  </w:num>
  <w:num w:numId="206">
    <w:abstractNumId w:val="142"/>
  </w:num>
  <w:num w:numId="207">
    <w:abstractNumId w:val="34"/>
  </w:num>
  <w:num w:numId="208">
    <w:abstractNumId w:val="193"/>
  </w:num>
  <w:num w:numId="209">
    <w:abstractNumId w:val="160"/>
  </w:num>
  <w:num w:numId="210">
    <w:abstractNumId w:val="155"/>
  </w:num>
  <w:num w:numId="211">
    <w:abstractNumId w:val="169"/>
  </w:num>
  <w:num w:numId="212">
    <w:abstractNumId w:val="32"/>
  </w:num>
  <w:num w:numId="213">
    <w:abstractNumId w:val="85"/>
  </w:num>
  <w:num w:numId="214">
    <w:abstractNumId w:val="153"/>
  </w:num>
  <w:num w:numId="215">
    <w:abstractNumId w:val="109"/>
  </w:num>
  <w:num w:numId="216">
    <w:abstractNumId w:val="109"/>
  </w:num>
  <w:num w:numId="217">
    <w:abstractNumId w:val="109"/>
  </w:num>
  <w:num w:numId="218">
    <w:abstractNumId w:val="109"/>
  </w:num>
  <w:num w:numId="219">
    <w:abstractNumId w:val="109"/>
  </w:num>
  <w:num w:numId="220">
    <w:abstractNumId w:val="109"/>
  </w:num>
  <w:num w:numId="221">
    <w:abstractNumId w:val="86"/>
  </w:num>
  <w:num w:numId="222">
    <w:abstractNumId w:val="109"/>
  </w:num>
  <w:num w:numId="223">
    <w:abstractNumId w:val="8"/>
  </w:num>
  <w:num w:numId="224">
    <w:abstractNumId w:val="53"/>
  </w:num>
  <w:num w:numId="225">
    <w:abstractNumId w:val="201"/>
  </w:num>
  <w:num w:numId="226">
    <w:abstractNumId w:val="56"/>
  </w:num>
  <w:num w:numId="227">
    <w:abstractNumId w:val="101"/>
  </w:num>
  <w:num w:numId="228">
    <w:abstractNumId w:val="133"/>
  </w:num>
  <w:num w:numId="229">
    <w:abstractNumId w:val="179"/>
  </w:num>
  <w:num w:numId="230">
    <w:abstractNumId w:val="22"/>
  </w:num>
  <w:num w:numId="231">
    <w:abstractNumId w:val="168"/>
  </w:num>
  <w:num w:numId="232">
    <w:abstractNumId w:val="25"/>
  </w:num>
  <w:num w:numId="233">
    <w:abstractNumId w:val="156"/>
  </w:num>
  <w:num w:numId="234">
    <w:abstractNumId w:val="149"/>
  </w:num>
  <w:num w:numId="235">
    <w:abstractNumId w:val="190"/>
  </w:num>
  <w:num w:numId="236">
    <w:abstractNumId w:val="139"/>
  </w:num>
  <w:num w:numId="23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4"/>
  </w:num>
  <w:num w:numId="239">
    <w:abstractNumId w:val="82"/>
  </w:num>
  <w:num w:numId="240">
    <w:abstractNumId w:val="181"/>
  </w:num>
  <w:num w:numId="241">
    <w:abstractNumId w:val="186"/>
  </w:num>
  <w:num w:numId="242">
    <w:abstractNumId w:val="203"/>
  </w:num>
  <w:num w:numId="243">
    <w:abstractNumId w:val="20"/>
  </w:num>
  <w:num w:numId="244">
    <w:abstractNumId w:val="189"/>
  </w:num>
  <w:num w:numId="245">
    <w:abstractNumId w:val="202"/>
  </w:num>
  <w:num w:numId="246">
    <w:abstractNumId w:val="75"/>
  </w:num>
  <w:num w:numId="247">
    <w:abstractNumId w:val="13"/>
  </w:num>
  <w:num w:numId="248">
    <w:abstractNumId w:val="77"/>
  </w:num>
  <w:num w:numId="249">
    <w:abstractNumId w:val="46"/>
  </w:num>
  <w:num w:numId="250">
    <w:abstractNumId w:val="61"/>
  </w:num>
  <w:num w:numId="251">
    <w:abstractNumId w:val="14"/>
  </w:num>
  <w:num w:numId="252">
    <w:abstractNumId w:val="131"/>
  </w:num>
  <w:num w:numId="253">
    <w:abstractNumId w:val="58"/>
  </w:num>
  <w:num w:numId="254">
    <w:abstractNumId w:val="184"/>
  </w:num>
  <w:num w:numId="255">
    <w:abstractNumId w:val="28"/>
  </w:num>
  <w:num w:numId="256">
    <w:abstractNumId w:val="166"/>
  </w:num>
  <w:num w:numId="257">
    <w:abstractNumId w:val="71"/>
  </w:num>
  <w:num w:numId="258">
    <w:abstractNumId w:val="42"/>
  </w:num>
  <w:num w:numId="259">
    <w:abstractNumId w:val="48"/>
  </w:num>
  <w:num w:numId="260">
    <w:abstractNumId w:val="125"/>
  </w:num>
  <w:num w:numId="261">
    <w:abstractNumId w:val="113"/>
  </w:num>
  <w:num w:numId="262">
    <w:abstractNumId w:val="135"/>
  </w:num>
  <w:num w:numId="263">
    <w:abstractNumId w:val="81"/>
  </w:num>
  <w:num w:numId="264">
    <w:abstractNumId w:val="99"/>
  </w:num>
  <w:num w:numId="265">
    <w:abstractNumId w:val="140"/>
  </w:num>
  <w:num w:numId="266">
    <w:abstractNumId w:val="27"/>
  </w:num>
  <w:num w:numId="267">
    <w:abstractNumId w:val="112"/>
  </w:num>
  <w:num w:numId="268">
    <w:abstractNumId w:val="95"/>
  </w:num>
  <w:num w:numId="269">
    <w:abstractNumId w:val="195"/>
  </w:num>
  <w:num w:numId="270">
    <w:abstractNumId w:val="216"/>
  </w:num>
  <w:num w:numId="271">
    <w:abstractNumId w:val="94"/>
  </w:num>
  <w:num w:numId="272">
    <w:abstractNumId w:val="171"/>
  </w:num>
  <w:num w:numId="273">
    <w:abstractNumId w:val="92"/>
  </w:num>
  <w:num w:numId="274">
    <w:abstractNumId w:val="65"/>
  </w:num>
  <w:num w:numId="275">
    <w:abstractNumId w:val="219"/>
  </w:num>
  <w:num w:numId="276">
    <w:abstractNumId w:val="191"/>
  </w:num>
  <w:num w:numId="277">
    <w:abstractNumId w:val="104"/>
  </w:num>
  <w:num w:numId="278">
    <w:abstractNumId w:val="138"/>
  </w:num>
  <w:num w:numId="279">
    <w:abstractNumId w:val="52"/>
  </w:num>
  <w:num w:numId="280">
    <w:abstractNumId w:val="177"/>
  </w:num>
  <w:num w:numId="281">
    <w:abstractNumId w:val="103"/>
  </w:num>
  <w:num w:numId="282">
    <w:abstractNumId w:val="188"/>
  </w:num>
  <w:num w:numId="283">
    <w:abstractNumId w:val="123"/>
  </w:num>
  <w:num w:numId="284">
    <w:abstractNumId w:val="174"/>
  </w:num>
  <w:num w:numId="285">
    <w:abstractNumId w:val="172"/>
  </w:num>
  <w:num w:numId="286">
    <w:abstractNumId w:val="176"/>
  </w:num>
  <w:num w:numId="287">
    <w:abstractNumId w:val="89"/>
  </w:num>
  <w:num w:numId="288">
    <w:abstractNumId w:val="198"/>
  </w:num>
  <w:num w:numId="289">
    <w:abstractNumId w:val="19"/>
  </w:num>
  <w:num w:numId="290">
    <w:abstractNumId w:val="218"/>
  </w:num>
  <w:num w:numId="291">
    <w:abstractNumId w:val="18"/>
  </w:num>
  <w:num w:numId="292">
    <w:abstractNumId w:val="159"/>
  </w:num>
  <w:num w:numId="293">
    <w:abstractNumId w:val="97"/>
  </w:num>
  <w:num w:numId="294">
    <w:abstractNumId w:val="41"/>
  </w:num>
  <w:num w:numId="295">
    <w:abstractNumId w:val="91"/>
  </w:num>
  <w:num w:numId="296">
    <w:abstractNumId w:val="124"/>
  </w:num>
  <w:num w:numId="297">
    <w:abstractNumId w:val="102"/>
  </w:num>
  <w:num w:numId="298">
    <w:abstractNumId w:val="154"/>
  </w:num>
  <w:num w:numId="299">
    <w:abstractNumId w:val="217"/>
  </w:num>
  <w:num w:numId="3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9"/>
  </w:num>
  <w:num w:numId="302">
    <w:abstractNumId w:val="16"/>
  </w:num>
  <w:num w:numId="303">
    <w:abstractNumId w:val="108"/>
  </w:num>
  <w:num w:numId="304">
    <w:abstractNumId w:val="21"/>
  </w:num>
  <w:num w:numId="305">
    <w:abstractNumId w:val="66"/>
  </w:num>
  <w:num w:numId="306">
    <w:abstractNumId w:val="60"/>
  </w:num>
  <w:num w:numId="307">
    <w:abstractNumId w:val="74"/>
  </w:num>
  <w:num w:numId="308">
    <w:abstractNumId w:val="100"/>
  </w:num>
  <w:num w:numId="309">
    <w:abstractNumId w:val="170"/>
  </w:num>
  <w:num w:numId="310">
    <w:abstractNumId w:val="210"/>
  </w:num>
  <w:num w:numId="311">
    <w:abstractNumId w:val="148"/>
  </w:num>
  <w:num w:numId="312">
    <w:abstractNumId w:val="144"/>
  </w:num>
  <w:num w:numId="313">
    <w:abstractNumId w:val="73"/>
  </w:num>
  <w:num w:numId="314">
    <w:abstractNumId w:val="0"/>
  </w:num>
  <w:num w:numId="315">
    <w:abstractNumId w:val="206"/>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2EB2"/>
    <w:rsid w:val="00024E83"/>
    <w:rsid w:val="00024F09"/>
    <w:rsid w:val="00025792"/>
    <w:rsid w:val="00030AD7"/>
    <w:rsid w:val="00030B13"/>
    <w:rsid w:val="0003204F"/>
    <w:rsid w:val="0003251D"/>
    <w:rsid w:val="00033D95"/>
    <w:rsid w:val="000343D1"/>
    <w:rsid w:val="00035C43"/>
    <w:rsid w:val="00035D50"/>
    <w:rsid w:val="00036098"/>
    <w:rsid w:val="000367CC"/>
    <w:rsid w:val="00036BA6"/>
    <w:rsid w:val="00037B73"/>
    <w:rsid w:val="00040684"/>
    <w:rsid w:val="00040FCF"/>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23DE"/>
    <w:rsid w:val="00062B14"/>
    <w:rsid w:val="00062CE4"/>
    <w:rsid w:val="00063335"/>
    <w:rsid w:val="00063BDE"/>
    <w:rsid w:val="00063EDE"/>
    <w:rsid w:val="0006480F"/>
    <w:rsid w:val="00064EA5"/>
    <w:rsid w:val="00070A4F"/>
    <w:rsid w:val="00071E0A"/>
    <w:rsid w:val="00072B10"/>
    <w:rsid w:val="00074CFA"/>
    <w:rsid w:val="00075937"/>
    <w:rsid w:val="00077209"/>
    <w:rsid w:val="0007777F"/>
    <w:rsid w:val="000801AD"/>
    <w:rsid w:val="000807B6"/>
    <w:rsid w:val="000810AD"/>
    <w:rsid w:val="00082C83"/>
    <w:rsid w:val="0008436E"/>
    <w:rsid w:val="00085C62"/>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C19"/>
    <w:rsid w:val="00161D2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035"/>
    <w:rsid w:val="00177F33"/>
    <w:rsid w:val="00177F43"/>
    <w:rsid w:val="001806DA"/>
    <w:rsid w:val="00180D1E"/>
    <w:rsid w:val="00181038"/>
    <w:rsid w:val="0018142F"/>
    <w:rsid w:val="00181A06"/>
    <w:rsid w:val="0018230A"/>
    <w:rsid w:val="00182FE8"/>
    <w:rsid w:val="001831D2"/>
    <w:rsid w:val="001835A9"/>
    <w:rsid w:val="001855DF"/>
    <w:rsid w:val="00186917"/>
    <w:rsid w:val="00187498"/>
    <w:rsid w:val="00187787"/>
    <w:rsid w:val="00187BA2"/>
    <w:rsid w:val="00190515"/>
    <w:rsid w:val="00190C56"/>
    <w:rsid w:val="00190D35"/>
    <w:rsid w:val="0019215A"/>
    <w:rsid w:val="001926BF"/>
    <w:rsid w:val="0019526A"/>
    <w:rsid w:val="0019571C"/>
    <w:rsid w:val="00196ADA"/>
    <w:rsid w:val="001970EB"/>
    <w:rsid w:val="001977F0"/>
    <w:rsid w:val="001A0C7B"/>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5608"/>
    <w:rsid w:val="001B6B88"/>
    <w:rsid w:val="001B6C2C"/>
    <w:rsid w:val="001B727F"/>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329A"/>
    <w:rsid w:val="002132A3"/>
    <w:rsid w:val="0021339B"/>
    <w:rsid w:val="00213DDB"/>
    <w:rsid w:val="002140DD"/>
    <w:rsid w:val="0021499E"/>
    <w:rsid w:val="00215837"/>
    <w:rsid w:val="0021691C"/>
    <w:rsid w:val="00216A76"/>
    <w:rsid w:val="00216E80"/>
    <w:rsid w:val="00220A86"/>
    <w:rsid w:val="00221219"/>
    <w:rsid w:val="0022147A"/>
    <w:rsid w:val="00222297"/>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1C2C"/>
    <w:rsid w:val="002533C5"/>
    <w:rsid w:val="0025375E"/>
    <w:rsid w:val="0025379F"/>
    <w:rsid w:val="002557AC"/>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2EB8"/>
    <w:rsid w:val="002730DB"/>
    <w:rsid w:val="0027348D"/>
    <w:rsid w:val="00273D60"/>
    <w:rsid w:val="00274C19"/>
    <w:rsid w:val="0027540F"/>
    <w:rsid w:val="00275831"/>
    <w:rsid w:val="00275A89"/>
    <w:rsid w:val="002762A2"/>
    <w:rsid w:val="00276C5F"/>
    <w:rsid w:val="0027742D"/>
    <w:rsid w:val="00277663"/>
    <w:rsid w:val="00277BA6"/>
    <w:rsid w:val="00280702"/>
    <w:rsid w:val="00280BF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A31"/>
    <w:rsid w:val="002A5416"/>
    <w:rsid w:val="002A57B9"/>
    <w:rsid w:val="002A62A8"/>
    <w:rsid w:val="002A6F0E"/>
    <w:rsid w:val="002B0CC2"/>
    <w:rsid w:val="002B125F"/>
    <w:rsid w:val="002B2FDF"/>
    <w:rsid w:val="002B4427"/>
    <w:rsid w:val="002B5EC2"/>
    <w:rsid w:val="002C0223"/>
    <w:rsid w:val="002C0913"/>
    <w:rsid w:val="002C14F0"/>
    <w:rsid w:val="002C193E"/>
    <w:rsid w:val="002C23BA"/>
    <w:rsid w:val="002C2E6C"/>
    <w:rsid w:val="002C2EC8"/>
    <w:rsid w:val="002C31F3"/>
    <w:rsid w:val="002C4A4B"/>
    <w:rsid w:val="002C5490"/>
    <w:rsid w:val="002C62B2"/>
    <w:rsid w:val="002C70AC"/>
    <w:rsid w:val="002C79AF"/>
    <w:rsid w:val="002C7AF0"/>
    <w:rsid w:val="002D0163"/>
    <w:rsid w:val="002D11FC"/>
    <w:rsid w:val="002D2C92"/>
    <w:rsid w:val="002D313F"/>
    <w:rsid w:val="002D52EA"/>
    <w:rsid w:val="002D5D6B"/>
    <w:rsid w:val="002D6546"/>
    <w:rsid w:val="002D69A6"/>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0D3"/>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17E6"/>
    <w:rsid w:val="003719EB"/>
    <w:rsid w:val="00371F19"/>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39AA"/>
    <w:rsid w:val="003C462A"/>
    <w:rsid w:val="003C77AA"/>
    <w:rsid w:val="003D01F3"/>
    <w:rsid w:val="003D0690"/>
    <w:rsid w:val="003D0D0F"/>
    <w:rsid w:val="003D2BD0"/>
    <w:rsid w:val="003D37B6"/>
    <w:rsid w:val="003D42FB"/>
    <w:rsid w:val="003D4931"/>
    <w:rsid w:val="003D4FD1"/>
    <w:rsid w:val="003D5E74"/>
    <w:rsid w:val="003D71DC"/>
    <w:rsid w:val="003D7CE7"/>
    <w:rsid w:val="003E1074"/>
    <w:rsid w:val="003E1159"/>
    <w:rsid w:val="003E22B1"/>
    <w:rsid w:val="003E46FF"/>
    <w:rsid w:val="003E6AD3"/>
    <w:rsid w:val="003F054B"/>
    <w:rsid w:val="003F33DF"/>
    <w:rsid w:val="003F3710"/>
    <w:rsid w:val="003F37FB"/>
    <w:rsid w:val="003F41A0"/>
    <w:rsid w:val="003F574A"/>
    <w:rsid w:val="003F6325"/>
    <w:rsid w:val="003F6DD3"/>
    <w:rsid w:val="003F74F5"/>
    <w:rsid w:val="0040082A"/>
    <w:rsid w:val="0040108A"/>
    <w:rsid w:val="0040249D"/>
    <w:rsid w:val="00402CB9"/>
    <w:rsid w:val="00402D5D"/>
    <w:rsid w:val="00403928"/>
    <w:rsid w:val="00403FB4"/>
    <w:rsid w:val="004049CB"/>
    <w:rsid w:val="004064E9"/>
    <w:rsid w:val="00406CC6"/>
    <w:rsid w:val="00407030"/>
    <w:rsid w:val="004074A9"/>
    <w:rsid w:val="00407DD5"/>
    <w:rsid w:val="004100DC"/>
    <w:rsid w:val="004107A9"/>
    <w:rsid w:val="00411540"/>
    <w:rsid w:val="00413D79"/>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614C"/>
    <w:rsid w:val="0045677D"/>
    <w:rsid w:val="004574FC"/>
    <w:rsid w:val="004576F9"/>
    <w:rsid w:val="00457C7E"/>
    <w:rsid w:val="00460562"/>
    <w:rsid w:val="00461042"/>
    <w:rsid w:val="00461A26"/>
    <w:rsid w:val="004639E2"/>
    <w:rsid w:val="00463BDC"/>
    <w:rsid w:val="00464000"/>
    <w:rsid w:val="00464364"/>
    <w:rsid w:val="00465C0F"/>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FF2"/>
    <w:rsid w:val="004906FE"/>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018E"/>
    <w:rsid w:val="004D1088"/>
    <w:rsid w:val="004D1335"/>
    <w:rsid w:val="004D1659"/>
    <w:rsid w:val="004D1FAA"/>
    <w:rsid w:val="004D35BB"/>
    <w:rsid w:val="004D4342"/>
    <w:rsid w:val="004D4440"/>
    <w:rsid w:val="004D494E"/>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387C"/>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75E"/>
    <w:rsid w:val="005740C5"/>
    <w:rsid w:val="005742B6"/>
    <w:rsid w:val="005747AE"/>
    <w:rsid w:val="0057495B"/>
    <w:rsid w:val="00574DE2"/>
    <w:rsid w:val="005751BF"/>
    <w:rsid w:val="00575815"/>
    <w:rsid w:val="00576A25"/>
    <w:rsid w:val="00576C09"/>
    <w:rsid w:val="0057764C"/>
    <w:rsid w:val="00580B39"/>
    <w:rsid w:val="0058104C"/>
    <w:rsid w:val="00581432"/>
    <w:rsid w:val="00582BE7"/>
    <w:rsid w:val="00583131"/>
    <w:rsid w:val="005841AF"/>
    <w:rsid w:val="005842E6"/>
    <w:rsid w:val="005843B0"/>
    <w:rsid w:val="005843D6"/>
    <w:rsid w:val="00584583"/>
    <w:rsid w:val="005849B7"/>
    <w:rsid w:val="00584F12"/>
    <w:rsid w:val="00585C5E"/>
    <w:rsid w:val="00586A63"/>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4A3"/>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08E"/>
    <w:rsid w:val="005F48D8"/>
    <w:rsid w:val="005F5451"/>
    <w:rsid w:val="005F5C02"/>
    <w:rsid w:val="005F665E"/>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7158"/>
    <w:rsid w:val="006A05EA"/>
    <w:rsid w:val="006A1E75"/>
    <w:rsid w:val="006A2091"/>
    <w:rsid w:val="006A28CB"/>
    <w:rsid w:val="006A469E"/>
    <w:rsid w:val="006A5560"/>
    <w:rsid w:val="006A6AC6"/>
    <w:rsid w:val="006B1A6A"/>
    <w:rsid w:val="006B1AE9"/>
    <w:rsid w:val="006B208D"/>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D118B"/>
    <w:rsid w:val="006D2056"/>
    <w:rsid w:val="006D3B2A"/>
    <w:rsid w:val="006D4544"/>
    <w:rsid w:val="006D4D32"/>
    <w:rsid w:val="006D54EE"/>
    <w:rsid w:val="006D6806"/>
    <w:rsid w:val="006D6D64"/>
    <w:rsid w:val="006E07A7"/>
    <w:rsid w:val="006E1B63"/>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5FEE"/>
    <w:rsid w:val="006F617B"/>
    <w:rsid w:val="006F6308"/>
    <w:rsid w:val="006F6E9E"/>
    <w:rsid w:val="006F72D1"/>
    <w:rsid w:val="00700F7F"/>
    <w:rsid w:val="00702E9D"/>
    <w:rsid w:val="00702EFC"/>
    <w:rsid w:val="0070349E"/>
    <w:rsid w:val="007042FE"/>
    <w:rsid w:val="0070437D"/>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781C"/>
    <w:rsid w:val="007779E2"/>
    <w:rsid w:val="007808DA"/>
    <w:rsid w:val="00780924"/>
    <w:rsid w:val="00780F32"/>
    <w:rsid w:val="00782193"/>
    <w:rsid w:val="00782ADF"/>
    <w:rsid w:val="00782FD0"/>
    <w:rsid w:val="00782FE3"/>
    <w:rsid w:val="0078305B"/>
    <w:rsid w:val="00783BBD"/>
    <w:rsid w:val="00784732"/>
    <w:rsid w:val="007849AE"/>
    <w:rsid w:val="00784A3F"/>
    <w:rsid w:val="00785BE2"/>
    <w:rsid w:val="00790412"/>
    <w:rsid w:val="00790C83"/>
    <w:rsid w:val="00793A9C"/>
    <w:rsid w:val="00793D3E"/>
    <w:rsid w:val="00794B7A"/>
    <w:rsid w:val="00794F39"/>
    <w:rsid w:val="007952CB"/>
    <w:rsid w:val="0079568D"/>
    <w:rsid w:val="007958A9"/>
    <w:rsid w:val="00795FA3"/>
    <w:rsid w:val="00796221"/>
    <w:rsid w:val="007964E2"/>
    <w:rsid w:val="00797AD5"/>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6A04"/>
    <w:rsid w:val="007D0717"/>
    <w:rsid w:val="007D14D6"/>
    <w:rsid w:val="007D237E"/>
    <w:rsid w:val="007D57F3"/>
    <w:rsid w:val="007D5DC0"/>
    <w:rsid w:val="007D5E24"/>
    <w:rsid w:val="007D7B05"/>
    <w:rsid w:val="007E0C8A"/>
    <w:rsid w:val="007E2D4F"/>
    <w:rsid w:val="007E3172"/>
    <w:rsid w:val="007E339F"/>
    <w:rsid w:val="007E366B"/>
    <w:rsid w:val="007E3756"/>
    <w:rsid w:val="007E4E34"/>
    <w:rsid w:val="007E67AA"/>
    <w:rsid w:val="007E686C"/>
    <w:rsid w:val="007E768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1AD"/>
    <w:rsid w:val="008107F1"/>
    <w:rsid w:val="008110F4"/>
    <w:rsid w:val="00811F87"/>
    <w:rsid w:val="008124F7"/>
    <w:rsid w:val="00814809"/>
    <w:rsid w:val="0081499E"/>
    <w:rsid w:val="00814BAA"/>
    <w:rsid w:val="00815F39"/>
    <w:rsid w:val="00815FDA"/>
    <w:rsid w:val="0081646E"/>
    <w:rsid w:val="00816739"/>
    <w:rsid w:val="008172CA"/>
    <w:rsid w:val="008228AB"/>
    <w:rsid w:val="00823310"/>
    <w:rsid w:val="0082433E"/>
    <w:rsid w:val="008249A0"/>
    <w:rsid w:val="00827204"/>
    <w:rsid w:val="0083006B"/>
    <w:rsid w:val="008308E9"/>
    <w:rsid w:val="00831765"/>
    <w:rsid w:val="008318FA"/>
    <w:rsid w:val="008327A2"/>
    <w:rsid w:val="00833011"/>
    <w:rsid w:val="0083564B"/>
    <w:rsid w:val="00840B03"/>
    <w:rsid w:val="0084181D"/>
    <w:rsid w:val="00841C43"/>
    <w:rsid w:val="00842368"/>
    <w:rsid w:val="00843AAA"/>
    <w:rsid w:val="00843C1C"/>
    <w:rsid w:val="00844237"/>
    <w:rsid w:val="00844689"/>
    <w:rsid w:val="00847ACD"/>
    <w:rsid w:val="00850BD1"/>
    <w:rsid w:val="008511B0"/>
    <w:rsid w:val="00851321"/>
    <w:rsid w:val="008549E8"/>
    <w:rsid w:val="008558FA"/>
    <w:rsid w:val="00857239"/>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5A03"/>
    <w:rsid w:val="008E5CA9"/>
    <w:rsid w:val="008E61F1"/>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EFD"/>
    <w:rsid w:val="00923048"/>
    <w:rsid w:val="00924054"/>
    <w:rsid w:val="00924B61"/>
    <w:rsid w:val="00925B63"/>
    <w:rsid w:val="0092668F"/>
    <w:rsid w:val="00926D65"/>
    <w:rsid w:val="0092714C"/>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4BC3"/>
    <w:rsid w:val="00976973"/>
    <w:rsid w:val="00980084"/>
    <w:rsid w:val="00980D2C"/>
    <w:rsid w:val="00982D9E"/>
    <w:rsid w:val="00982F46"/>
    <w:rsid w:val="00983C38"/>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5A17"/>
    <w:rsid w:val="009F62AF"/>
    <w:rsid w:val="009F6689"/>
    <w:rsid w:val="009F69A3"/>
    <w:rsid w:val="00A02CA9"/>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F7"/>
    <w:rsid w:val="00A376A5"/>
    <w:rsid w:val="00A40360"/>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2715"/>
    <w:rsid w:val="00A53EB3"/>
    <w:rsid w:val="00A54814"/>
    <w:rsid w:val="00A5481B"/>
    <w:rsid w:val="00A552B9"/>
    <w:rsid w:val="00A56784"/>
    <w:rsid w:val="00A56B25"/>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190B"/>
    <w:rsid w:val="00AA1D78"/>
    <w:rsid w:val="00AA237D"/>
    <w:rsid w:val="00AA2A57"/>
    <w:rsid w:val="00AA3C4B"/>
    <w:rsid w:val="00AA45C8"/>
    <w:rsid w:val="00AA772A"/>
    <w:rsid w:val="00AA7F73"/>
    <w:rsid w:val="00AB053B"/>
    <w:rsid w:val="00AB2541"/>
    <w:rsid w:val="00AB5446"/>
    <w:rsid w:val="00AB5AF8"/>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888"/>
    <w:rsid w:val="00AD5895"/>
    <w:rsid w:val="00AD6383"/>
    <w:rsid w:val="00AD7614"/>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21D58"/>
    <w:rsid w:val="00B21D8B"/>
    <w:rsid w:val="00B222AF"/>
    <w:rsid w:val="00B22B5B"/>
    <w:rsid w:val="00B22D2A"/>
    <w:rsid w:val="00B23475"/>
    <w:rsid w:val="00B23545"/>
    <w:rsid w:val="00B24D00"/>
    <w:rsid w:val="00B24D75"/>
    <w:rsid w:val="00B25DAB"/>
    <w:rsid w:val="00B27F72"/>
    <w:rsid w:val="00B32F66"/>
    <w:rsid w:val="00B343D8"/>
    <w:rsid w:val="00B34EC7"/>
    <w:rsid w:val="00B35E51"/>
    <w:rsid w:val="00B36AB5"/>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75D1"/>
    <w:rsid w:val="00B60B13"/>
    <w:rsid w:val="00B60B9F"/>
    <w:rsid w:val="00B60EC3"/>
    <w:rsid w:val="00B61146"/>
    <w:rsid w:val="00B62101"/>
    <w:rsid w:val="00B621CD"/>
    <w:rsid w:val="00B641AC"/>
    <w:rsid w:val="00B642FD"/>
    <w:rsid w:val="00B64CD5"/>
    <w:rsid w:val="00B65171"/>
    <w:rsid w:val="00B65A90"/>
    <w:rsid w:val="00B65E4E"/>
    <w:rsid w:val="00B675CB"/>
    <w:rsid w:val="00B67BC7"/>
    <w:rsid w:val="00B7099E"/>
    <w:rsid w:val="00B7198C"/>
    <w:rsid w:val="00B71F46"/>
    <w:rsid w:val="00B72E05"/>
    <w:rsid w:val="00B73188"/>
    <w:rsid w:val="00B732AD"/>
    <w:rsid w:val="00B74B14"/>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203"/>
    <w:rsid w:val="00BA6B92"/>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F55"/>
    <w:rsid w:val="00BC726E"/>
    <w:rsid w:val="00BD04BC"/>
    <w:rsid w:val="00BD13BE"/>
    <w:rsid w:val="00BD1A1F"/>
    <w:rsid w:val="00BD1E98"/>
    <w:rsid w:val="00BD4F0E"/>
    <w:rsid w:val="00BD7611"/>
    <w:rsid w:val="00BE03E6"/>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F4F"/>
    <w:rsid w:val="00CB1608"/>
    <w:rsid w:val="00CB1B3C"/>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588C"/>
    <w:rsid w:val="00CE606D"/>
    <w:rsid w:val="00CE6BDC"/>
    <w:rsid w:val="00CE75B6"/>
    <w:rsid w:val="00CE7C00"/>
    <w:rsid w:val="00CF120C"/>
    <w:rsid w:val="00CF16A5"/>
    <w:rsid w:val="00CF1CE8"/>
    <w:rsid w:val="00CF22F8"/>
    <w:rsid w:val="00CF36DB"/>
    <w:rsid w:val="00CF3A89"/>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4D91"/>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5A87"/>
    <w:rsid w:val="00D76C4A"/>
    <w:rsid w:val="00D77414"/>
    <w:rsid w:val="00D77D9F"/>
    <w:rsid w:val="00D8082C"/>
    <w:rsid w:val="00D8171A"/>
    <w:rsid w:val="00D81753"/>
    <w:rsid w:val="00D822CD"/>
    <w:rsid w:val="00D827B5"/>
    <w:rsid w:val="00D838D0"/>
    <w:rsid w:val="00D83B4B"/>
    <w:rsid w:val="00D85CB2"/>
    <w:rsid w:val="00D86ED5"/>
    <w:rsid w:val="00D86F70"/>
    <w:rsid w:val="00D872A3"/>
    <w:rsid w:val="00D8744F"/>
    <w:rsid w:val="00D90C3F"/>
    <w:rsid w:val="00D923B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20DF"/>
    <w:rsid w:val="00DB2D25"/>
    <w:rsid w:val="00DB37CB"/>
    <w:rsid w:val="00DB3ADC"/>
    <w:rsid w:val="00DB757D"/>
    <w:rsid w:val="00DB7846"/>
    <w:rsid w:val="00DC061B"/>
    <w:rsid w:val="00DC0A2B"/>
    <w:rsid w:val="00DC1225"/>
    <w:rsid w:val="00DC1ABD"/>
    <w:rsid w:val="00DC1C81"/>
    <w:rsid w:val="00DC1F8A"/>
    <w:rsid w:val="00DC27A2"/>
    <w:rsid w:val="00DC33D7"/>
    <w:rsid w:val="00DC3E96"/>
    <w:rsid w:val="00DC46C5"/>
    <w:rsid w:val="00DC6B0B"/>
    <w:rsid w:val="00DC7258"/>
    <w:rsid w:val="00DC7C32"/>
    <w:rsid w:val="00DD082F"/>
    <w:rsid w:val="00DD08DC"/>
    <w:rsid w:val="00DD09CD"/>
    <w:rsid w:val="00DD169A"/>
    <w:rsid w:val="00DD20E3"/>
    <w:rsid w:val="00DD2300"/>
    <w:rsid w:val="00DD26C4"/>
    <w:rsid w:val="00DD2953"/>
    <w:rsid w:val="00DD3FBD"/>
    <w:rsid w:val="00DD4717"/>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BFE"/>
    <w:rsid w:val="00DE71F8"/>
    <w:rsid w:val="00DE79FD"/>
    <w:rsid w:val="00DF006A"/>
    <w:rsid w:val="00DF2354"/>
    <w:rsid w:val="00DF2563"/>
    <w:rsid w:val="00DF2623"/>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2C53"/>
    <w:rsid w:val="00E33808"/>
    <w:rsid w:val="00E33913"/>
    <w:rsid w:val="00E33A51"/>
    <w:rsid w:val="00E347E5"/>
    <w:rsid w:val="00E34B23"/>
    <w:rsid w:val="00E34C64"/>
    <w:rsid w:val="00E34E33"/>
    <w:rsid w:val="00E3550D"/>
    <w:rsid w:val="00E361EB"/>
    <w:rsid w:val="00E3701D"/>
    <w:rsid w:val="00E40427"/>
    <w:rsid w:val="00E41353"/>
    <w:rsid w:val="00E4164C"/>
    <w:rsid w:val="00E41790"/>
    <w:rsid w:val="00E41DBC"/>
    <w:rsid w:val="00E41FF3"/>
    <w:rsid w:val="00E43E08"/>
    <w:rsid w:val="00E45B4E"/>
    <w:rsid w:val="00E4631B"/>
    <w:rsid w:val="00E46D36"/>
    <w:rsid w:val="00E50258"/>
    <w:rsid w:val="00E50405"/>
    <w:rsid w:val="00E5090A"/>
    <w:rsid w:val="00E51A34"/>
    <w:rsid w:val="00E51C5E"/>
    <w:rsid w:val="00E528E7"/>
    <w:rsid w:val="00E542A8"/>
    <w:rsid w:val="00E54BB6"/>
    <w:rsid w:val="00E54FA9"/>
    <w:rsid w:val="00E55B29"/>
    <w:rsid w:val="00E566D7"/>
    <w:rsid w:val="00E5701B"/>
    <w:rsid w:val="00E6000F"/>
    <w:rsid w:val="00E614BE"/>
    <w:rsid w:val="00E64279"/>
    <w:rsid w:val="00E647D5"/>
    <w:rsid w:val="00E64E66"/>
    <w:rsid w:val="00E652C9"/>
    <w:rsid w:val="00E65487"/>
    <w:rsid w:val="00E65C8A"/>
    <w:rsid w:val="00E66D3A"/>
    <w:rsid w:val="00E66FEB"/>
    <w:rsid w:val="00E677D8"/>
    <w:rsid w:val="00E67953"/>
    <w:rsid w:val="00E703BA"/>
    <w:rsid w:val="00E7072D"/>
    <w:rsid w:val="00E74115"/>
    <w:rsid w:val="00E74FBF"/>
    <w:rsid w:val="00E75828"/>
    <w:rsid w:val="00E75F2F"/>
    <w:rsid w:val="00E76C64"/>
    <w:rsid w:val="00E773D2"/>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A1DEA"/>
    <w:rsid w:val="00EA202C"/>
    <w:rsid w:val="00EA2B31"/>
    <w:rsid w:val="00EA424B"/>
    <w:rsid w:val="00EA49F3"/>
    <w:rsid w:val="00EA5139"/>
    <w:rsid w:val="00EA58BC"/>
    <w:rsid w:val="00EA58D3"/>
    <w:rsid w:val="00EA5B8E"/>
    <w:rsid w:val="00EA5E71"/>
    <w:rsid w:val="00EB0190"/>
    <w:rsid w:val="00EB1C5C"/>
    <w:rsid w:val="00EB3203"/>
    <w:rsid w:val="00EB4D08"/>
    <w:rsid w:val="00EB50B8"/>
    <w:rsid w:val="00EB600B"/>
    <w:rsid w:val="00EB6725"/>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1F80"/>
    <w:rsid w:val="00F0265C"/>
    <w:rsid w:val="00F02D0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D47"/>
    <w:rsid w:val="00F23D46"/>
    <w:rsid w:val="00F2462F"/>
    <w:rsid w:val="00F25B88"/>
    <w:rsid w:val="00F26CF9"/>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5C9"/>
    <w:rsid w:val="00F81986"/>
    <w:rsid w:val="00F8228B"/>
    <w:rsid w:val="00F8357D"/>
    <w:rsid w:val="00F8395F"/>
    <w:rsid w:val="00F83C58"/>
    <w:rsid w:val="00F84909"/>
    <w:rsid w:val="00F84DC3"/>
    <w:rsid w:val="00F86261"/>
    <w:rsid w:val="00F8652B"/>
    <w:rsid w:val="00F86B36"/>
    <w:rsid w:val="00F86D1F"/>
    <w:rsid w:val="00F87993"/>
    <w:rsid w:val="00F901DC"/>
    <w:rsid w:val="00F9037D"/>
    <w:rsid w:val="00F90BC2"/>
    <w:rsid w:val="00F91760"/>
    <w:rsid w:val="00F9383D"/>
    <w:rsid w:val="00F94255"/>
    <w:rsid w:val="00F948F4"/>
    <w:rsid w:val="00F9495D"/>
    <w:rsid w:val="00F97095"/>
    <w:rsid w:val="00FA1C1D"/>
    <w:rsid w:val="00FA1D8D"/>
    <w:rsid w:val="00FA460F"/>
    <w:rsid w:val="00FA769A"/>
    <w:rsid w:val="00FB01E6"/>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4701"/>
    <w:rsid w:val="00FD647E"/>
    <w:rsid w:val="00FD671D"/>
    <w:rsid w:val="00FD6943"/>
    <w:rsid w:val="00FE09D5"/>
    <w:rsid w:val="00FE1965"/>
    <w:rsid w:val="00FE44DE"/>
    <w:rsid w:val="00FE459A"/>
    <w:rsid w:val="00FE4D62"/>
    <w:rsid w:val="00FE5E30"/>
    <w:rsid w:val="00FE74A2"/>
    <w:rsid w:val="00FF0A5D"/>
    <w:rsid w:val="00FF3B60"/>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zadost.cz/" TargetMode="External"/><Relationship Id="rId26" Type="http://schemas.openxmlformats.org/officeDocument/2006/relationships/hyperlink" Target="http://www.strukturalni-fondy.cz/iop" TargetMode="External"/><Relationship Id="rId3" Type="http://schemas.openxmlformats.org/officeDocument/2006/relationships/customXml" Target="../customXml/item3.xml"/><Relationship Id="rId21" Type="http://schemas.openxmlformats.org/officeDocument/2006/relationships/hyperlink" Target="http://www.crr.cz"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uzadost.cz" TargetMode="External"/><Relationship Id="rId25" Type="http://schemas.openxmlformats.org/officeDocument/2006/relationships/hyperlink" Target="http://www.euzadost.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alni-fondy.cz/iop" TargetMode="External"/><Relationship Id="rId20" Type="http://schemas.openxmlformats.org/officeDocument/2006/relationships/hyperlink" Target="http://www.strukturalni-fondy.cz/Vyzv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ustal@crr.cz"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rukturalni-fondy.cz/iop/3-4" TargetMode="External"/><Relationship Id="rId23" Type="http://schemas.openxmlformats.org/officeDocument/2006/relationships/hyperlink" Target="mailto:dohnalovak@crr.cz" TargetMode="External"/><Relationship Id="rId28" Type="http://schemas.openxmlformats.org/officeDocument/2006/relationships/hyperlink" Target="http://www.strukturalni-fondy.cz/iop/3-4" TargetMode="External"/><Relationship Id="rId10" Type="http://schemas.openxmlformats.org/officeDocument/2006/relationships/settings" Target="settings.xml"/><Relationship Id="rId19" Type="http://schemas.openxmlformats.org/officeDocument/2006/relationships/hyperlink" Target="http://www.strukturalni-fondy.cz/iop/3-4"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hyperlink" Target="mailto:David.Zeisel@mmr.cz" TargetMode="External"/><Relationship Id="rId27" Type="http://schemas.openxmlformats.org/officeDocument/2006/relationships/hyperlink" Target="http://www.crr.cz/cs/programy-eu/iop/dokumenty/"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E72DE-7097-4BD3-8455-79ED8ADA4EB2}">
  <ds:schemaRefs>
    <ds:schemaRef ds:uri="http://schemas.openxmlformats.org/officeDocument/2006/bibliography"/>
  </ds:schemaRefs>
</ds:datastoreItem>
</file>

<file path=customXml/itemProps2.xml><?xml version="1.0" encoding="utf-8"?>
<ds:datastoreItem xmlns:ds="http://schemas.openxmlformats.org/officeDocument/2006/customXml" ds:itemID="{EA8C9B57-8BE7-476C-9AD8-077F297C897C}">
  <ds:schemaRefs>
    <ds:schemaRef ds:uri="http://schemas.openxmlformats.org/officeDocument/2006/bibliography"/>
  </ds:schemaRefs>
</ds:datastoreItem>
</file>

<file path=customXml/itemProps3.xml><?xml version="1.0" encoding="utf-8"?>
<ds:datastoreItem xmlns:ds="http://schemas.openxmlformats.org/officeDocument/2006/customXml" ds:itemID="{399CBD6B-B4DE-4374-9100-67C6AE668F3C}">
  <ds:schemaRefs>
    <ds:schemaRef ds:uri="http://schemas.openxmlformats.org/officeDocument/2006/bibliography"/>
  </ds:schemaRefs>
</ds:datastoreItem>
</file>

<file path=customXml/itemProps4.xml><?xml version="1.0" encoding="utf-8"?>
<ds:datastoreItem xmlns:ds="http://schemas.openxmlformats.org/officeDocument/2006/customXml" ds:itemID="{BAF5FDE1-49C8-4F2E-8E0A-47D7F5C67DFA}">
  <ds:schemaRefs>
    <ds:schemaRef ds:uri="http://schemas.openxmlformats.org/officeDocument/2006/bibliography"/>
  </ds:schemaRefs>
</ds:datastoreItem>
</file>

<file path=customXml/itemProps5.xml><?xml version="1.0" encoding="utf-8"?>
<ds:datastoreItem xmlns:ds="http://schemas.openxmlformats.org/officeDocument/2006/customXml" ds:itemID="{BED49724-166F-4C8B-90DE-6CC51B557308}">
  <ds:schemaRefs>
    <ds:schemaRef ds:uri="http://schemas.openxmlformats.org/officeDocument/2006/bibliography"/>
  </ds:schemaRefs>
</ds:datastoreItem>
</file>

<file path=customXml/itemProps6.xml><?xml version="1.0" encoding="utf-8"?>
<ds:datastoreItem xmlns:ds="http://schemas.openxmlformats.org/officeDocument/2006/customXml" ds:itemID="{9F4CC2A9-E2A1-4782-BCD1-533F7561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63</Pages>
  <Words>18560</Words>
  <Characters>117067</Characters>
  <Application>Microsoft Office Word</Application>
  <DocSecurity>0</DocSecurity>
  <Lines>975</Lines>
  <Paragraphs>270</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135357</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4</cp:revision>
  <cp:lastPrinted>2013-11-29T11:42:00Z</cp:lastPrinted>
  <dcterms:created xsi:type="dcterms:W3CDTF">2013-12-09T11:30:00Z</dcterms:created>
  <dcterms:modified xsi:type="dcterms:W3CDTF">2013-12-09T12:57:00Z</dcterms:modified>
</cp:coreProperties>
</file>