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8" w:rsidRPr="00D7228E" w:rsidRDefault="006C5576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D722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Pokyny pro příjemce ke kontrole </w:t>
      </w:r>
    </w:p>
    <w:p w:rsidR="00DD6258" w:rsidRPr="0020456C" w:rsidRDefault="00DD6258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Interreg CENTRAL EUROPE, Interreg DANUBE a Interreg EUROPE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86713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0D194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3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3286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0D194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</w:t>
      </w:r>
      <w:r w:rsidR="00D3286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. </w:t>
      </w:r>
      <w:r w:rsidR="000D194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března</w:t>
      </w:r>
      <w:r w:rsidR="00D3286B"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</w:t>
      </w:r>
      <w:r w:rsidR="000D194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7</w:t>
      </w: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D7228E" w:rsidRDefault="00DD6258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TOC \h \z \t "Styl1;1" </w:instrTex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hyperlink w:anchor="_Toc445447258" w:history="1"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1.</w:t>
        </w:r>
        <w:r w:rsidRPr="0020456C">
          <w:rPr>
            <w:rFonts w:eastAsiaTheme="minorEastAsia" w:cs="Times New Roman"/>
            <w:noProof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Úvod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_Toc445447258 \h </w:instrTex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59" w:history="1"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2.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Předmět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_Toc445447259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5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3.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Výběr dodavatele, zadávací a výběrová řízení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7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4.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Způsobilost výdajů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5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5.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Publicita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_Toc445447285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13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6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6.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Postup předkládání zprávy o průběhu projektu a výdajů ke kontrole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_Toc445447286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16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7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7.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Účetnictví a povinnost archivace účetních dokladů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_Toc445447287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8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8.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Odvolání se proti výsledku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_Toc445447288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9.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příloh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6061FA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10.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revizí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 –  program Nadnárodní spolupráce Interreg CENTRAL EUROPE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DANUBE – program Nadnárodní spolupráce Interreg DANUBE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Interreg EUROPE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(Lead Partner)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:rsidR="00E55137" w:rsidRPr="0020456C" w:rsidRDefault="00E55137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WP – work package (pracovní balíček)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1" w:name="_Toc445447258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Úvod</w:t>
      </w:r>
      <w:bookmarkEnd w:id="1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provádění kontroly Centrem je pro projektové (PP) i  vedoucí  (LP) partnery bezplatné. Kontaktními místy </w:t>
      </w:r>
      <w:r w:rsidR="00837E80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532416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 pro regionální rozvoj České republiky pro NUTS II Severovýchod se sídlem v Hradci Králové (pro partnery z Čech)</w:t>
      </w:r>
    </w:p>
    <w:p w:rsidR="004C0D52" w:rsidRPr="0020456C" w:rsidRDefault="004C0D52" w:rsidP="00532416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r w:rsid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(pro partnery z Moravy a Slezska) </w:t>
      </w:r>
    </w:p>
    <w:p w:rsidR="00D7368C" w:rsidRPr="00D7228E" w:rsidRDefault="00D7368C" w:rsidP="0020456C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jednotlivé poboč</w:t>
      </w:r>
      <w:r w:rsidR="003C3981">
        <w:rPr>
          <w:rFonts w:ascii="Times New Roman" w:eastAsia="Times New Roman" w:hAnsi="Times New Roman" w:cs="Times New Roman"/>
          <w:sz w:val="24"/>
          <w:szCs w:val="24"/>
          <w:lang w:eastAsia="cs-CZ"/>
        </w:rPr>
        <w:t>ky a kontrolory jsou uvedeny v </w:t>
      </w:r>
      <w:r w:rsidR="0018560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každé reportovací období, tedy</w:t>
      </w:r>
      <w:r w:rsid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 měsíčních cyklech.</w:t>
      </w:r>
      <w:r w:rsidR="0000170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Progress report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Financial report periods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výdajů)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Interreg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Interreg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 Manual</w:t>
        </w:r>
        <w:r w:rsidR="00493276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 Manual</w:t>
        </w:r>
      </w:hyperlink>
    </w:p>
    <w:p w:rsidR="00DD6258" w:rsidRPr="0020456C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Interreg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r w:rsidR="006D4345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1A089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Implementation </w:t>
        </w:r>
        <w:r w:rsidR="00D9539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</w:hyperlink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Control Guidelines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15 dní od konce každého reportovacího období,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Progress reports a žádost o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platbu za celý projekt do 3 měsíců od konce každého reportovacího období.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reportovacího období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reportovacího období</w:t>
      </w:r>
      <w:r w:rsidR="00212C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026D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26D" w:rsidRPr="0020456C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programu CENTRAL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LP povinnost předložit celkovou zprávu za projekt (Joint Progress Report) do 2 měsíců od konce jednotlivého reportovacího období. </w:t>
      </w:r>
      <w:r w:rsidR="002E7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však nejsou dotčeny lhůty uvedené výše pro CZ partnery. LP může předložit „neúplnou Joint Progress Report“, která může být v rámci lhůt uvedených výše doplněna o podklady od CZ partnerů.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Čeští partneři předkládají výdaje ke kontrole/certifikaci zpravidla za každé monitorovací období</w:t>
      </w:r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v 6-ti měsíčních cyklech,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(uvedená v Subsidy Contract/Partnership Agreement), a to za předpokladu, že </w:t>
      </w:r>
      <w:r w:rsidR="00CC6C4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DANUBE;</w:t>
      </w:r>
    </w:p>
    <w:p w:rsidR="00DD6258" w:rsidRPr="0020456C" w:rsidRDefault="00750B6F" w:rsidP="002045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&gt; </w:t>
      </w:r>
      <w:r w:rsidR="00267CA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7CA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00 € pro IE.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C38B5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kontrolor,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umožní partnerovi předložit </w:t>
      </w:r>
      <w:r w:rsidR="00A651B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finanční limity mají partneři povinnost předložit výdaje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není dotčena povinnost</w:t>
      </w:r>
      <w:r w:rsidR="00C35DD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průběhu projektu</w:t>
      </w:r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(Partner Progress Report)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každém reportovacím období. 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" w:name="_Toc42540495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2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:rsidR="00DD6258" w:rsidRPr="00D7228E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:rsidR="00DD6258" w:rsidRPr="0020456C" w:rsidRDefault="00DD6258" w:rsidP="0020456C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regionální rozvoj, Evropském sociálním fondu, Fondu soudržnosti a Evropském námořním a rybářském fondu a o zrušení nařízení Rady (ES) č. 1083/2006 (dále také „obecné nařízení“);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:rsidR="00DD6258" w:rsidRPr="0020456C" w:rsidRDefault="00DD6258" w:rsidP="0020456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87F70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Manual  pro 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Implementation Manual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Application Manual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 Implementation Handbook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D6258" w:rsidRPr="00D7228E" w:rsidRDefault="00DD6258" w:rsidP="005B3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 (</w:t>
      </w:r>
      <w:hyperlink r:id="rId13" w:history="1">
        <w:r w:rsidR="00CF7FCD" w:rsidRPr="00F50B8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http://www.dotaceeu.cz/getmedia/7be05f88-01dc-46bc-96fd-fee5b45aac41/MP_zpusobile-vydaje-v4_cista.pdf?ext=.pdf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3" w:name="_Toc425404951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3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:rsidR="00DD6258" w:rsidRPr="00E001AA" w:rsidRDefault="00DD6258" w:rsidP="0053241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 právo (včetně institucionálního) a/nebo relevantní “pravidla”: vztahuje se jen na záležitosti, které nezahrnují pravidla stanovená ve výše uvedených programových pravidlech a pravidlech EU. Jedná se především o ustanovení uvedených v těchto Pokynech, včetně jejich příloh a metodické pokyny vydané Národním orgánem pro koordinaci (dále jen „NOK“).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6DA1" w:rsidRPr="0020456C" w:rsidRDefault="004F6DA1" w:rsidP="004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4" w:name="_Toc445447259"/>
      <w:r w:rsidRPr="0020456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Předmět kontroly</w:t>
      </w:r>
      <w:bookmarkEnd w:id="4"/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D6258" w:rsidRPr="0020456C" w:rsidRDefault="00DD6258" w:rsidP="0020456C">
      <w:pPr>
        <w:keepNext/>
        <w:keepLines/>
        <w:numPr>
          <w:ilvl w:val="1"/>
          <w:numId w:val="32"/>
        </w:numPr>
        <w:spacing w:before="40" w:after="0" w:line="259" w:lineRule="auto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Předmětem kontroly je zejména: 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 realizaci projektu - příjemce musí být uveden v Subsidy Contract/Partnership agreement)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 Contract, Application Form, Partnership Agreement, Pokynů aj</w:t>
      </w:r>
      <w:r w:rsidR="00CE45E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 Sb., o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vyhlášené po 30.9. 2016 a zákon č. 137/2006 Sb., o veřejných zakázkách vyhlášené do 30.9. 2016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Metodický pokyn pro oblast zadávání zakázek pro programové období 2014-2020 určený příjemcům podpory, kteří při realizaci projektů spolufinancovaných z Evropských strukturálních a investičních fondů v programovém období 2014-2020 zadávají zakázky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142A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 1)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uvedená v těchto Pokynech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časová a věcná způsobilost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uvedené v žádosti o projekt (Application form), v souladu s platným rozpočtem projektu a se smlouvou/partnerskou dohodou (Subsidy Contract, Partnership Agreement);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tzn.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definitivní, zachyceny v účetnictví partnera odděleně pro projekt, uhrazeny; 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:rsidR="00DD6258" w:rsidRPr="0020456C" w:rsidRDefault="00AB623E" w:rsidP="0020456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dodržení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Jakýkoliv výdaj, který byl již z</w:t>
      </w:r>
      <w:r w:rsidR="0012747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D7228E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 označit originály účetních dokladů týkající se projektu:</w:t>
      </w:r>
    </w:p>
    <w:p w:rsidR="00DD6258" w:rsidRPr="0020456C" w:rsidRDefault="00DD6258" w:rsidP="00D7228E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razítkem s</w:t>
      </w:r>
      <w:r w:rsidR="004C0D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:rsidR="00DD6258" w:rsidRPr="00D7228E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uvedené body platí současně – označení dokladů musí splňovat všechny tři náležitosti. Vazbou na projekt musí být označeny všechny originály dokladů (přičemž splnění tohoto požadavku bude kromě jiného předmětem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:rsidR="00DD6258" w:rsidRPr="0020456C" w:rsidRDefault="00DD6258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případě, že ta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musí být zneplatněny </w:t>
      </w:r>
      <w:r w:rsidRPr="0072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povinnou informací.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/List of expenditure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artnership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r w:rsidR="003E51B2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16C6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5" w:name="_Toc445447260"/>
      <w:r w:rsidRPr="00D716C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Výběr dodavatele, zadávací a výběrová řízení</w:t>
      </w:r>
      <w:bookmarkEnd w:id="5"/>
    </w:p>
    <w:p w:rsidR="00DD6258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A3B" w:rsidRPr="00532416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BF1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árodní legislativou a pravidly </w:t>
      </w:r>
      <w:r w:rsidR="00BF1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rogramu, přičemž toto platí i u veřejných zakázek zadávaných ve fázi přípravy projektu a projektové žádosti.</w:t>
      </w:r>
    </w:p>
    <w:p w:rsidR="002E3A3B" w:rsidRPr="00532416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Hlavním smyslem zadávacích řízení je umožnit rovný přístup všem potenciálním dodavatelům a zajistit hospodárné nakládání s veřejnými prostředky. Z toho důvodu je nutné klást důraz nejen na dodržování procedur, ale i na naplnění základních zásad a principů (zásady transparentnosti, přiměřenosti, rovného zacházení a zákazu diskriminace, princip hospodárnosti, efektivnosti a účelnosti).</w:t>
      </w:r>
    </w:p>
    <w:p w:rsidR="002E3A3B" w:rsidRPr="0020456C" w:rsidRDefault="002E3A3B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r w:rsidRPr="0020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3.1. Aplikované předpisy a obecné zásady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:rsidR="00056D7F" w:rsidRPr="00532416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se zákonem č. 137/2006 Sb., o veřejných zakázkách v platném znění (v případě zakázek vyhlášených do 30.09.2016 včetně), resp. se zákonem č. 134/2016 Sb., o zadávání veřejných zakázek, v platném znění (v případě zakázek vyhlášených od 01.10.2016</w:t>
      </w:r>
      <w:r w:rsidR="004F6D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</w:t>
      </w: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) a s nimi souvisejícími zákony, vyhláškami a metodickými postupy;</w:t>
      </w:r>
    </w:p>
    <w:p w:rsidR="00056D7F" w:rsidRPr="00532416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v případě, veřejných zakázek, jejichž zadávání tento zákon neupravuje (zejména veřejné zakázky malého rozsahu) je partner povinen postupovat v souladu s Metodickým pokynem pro oblast zadávání zakázek pro programové období 2014-2020</w:t>
      </w:r>
      <w:r w:rsidR="00455E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- </w:t>
      </w:r>
      <w:r w:rsid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příloha č. 1</w:t>
      </w: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.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pojmy vymezeny v § 2 zákona č. 320/2001 Sb. (zákon o finanční kontrole) v platném znění, a zároveň zásady uváděné v § 6 zákona č. 137/2006 Sb., resp. zákona č. 134/2016 Sb. (zákon o veřejných zakázkách) v platném znění.  Z toho důvodu je nutné klást důraz nejen na dodržování procedur, ale i na zmíněné principy a zásady.</w:t>
      </w:r>
    </w:p>
    <w:p w:rsidR="00DD6258" w:rsidRPr="0020456C" w:rsidRDefault="00056D7F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Zásady transparentnosti, rovného zacházení a zákazu diskriminace a 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 nebo jinými pravidly, a jejich dodržení je předmětem posouzení zadávacích řízení kontrolorem.</w:t>
      </w:r>
    </w:p>
    <w:p w:rsidR="00200046" w:rsidRPr="00D716C6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programů CENTRAL a DANUBE jsou stanoveny přísnější limity v rámci výběrového/zadávacího řízení. U všech zakázek s hodnotou ≥5000 EUR bez DPH a nepřesahující hodnotu 400 tis. Kč bez DPH, je třeba, aby příjemci provedli a zdokumentovali adekvátní výzkum trhu pro dané plnění (např. obdržením minimál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ně 3 nabídek, použitím e-tržiště, atd.). Nicméně, u jakékoliv zakázky bude v průběhu kontroly posuzována adekvátnost</w:t>
      </w:r>
      <w:r w:rsidR="003520BF"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</w:p>
    <w:p w:rsidR="00200046" w:rsidRPr="00863480" w:rsidRDefault="00200046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BB7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0A176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9D3D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C52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(kontrolu výdajů).</w:t>
      </w:r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programu IE je třeba navíc předložit i přílohu č. 8</w:t>
      </w:r>
      <w:r w:rsidR="00236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 of Contracts. </w:t>
      </w:r>
    </w:p>
    <w:p w:rsidR="00DD6258" w:rsidRPr="0020456C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6" w:name="_Toc295893522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Hodnotící kritéria</w:t>
      </w:r>
      <w:bookmarkEnd w:id="6"/>
    </w:p>
    <w:p w:rsidR="002363D0" w:rsidRPr="00532416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hodnotící kritérium pro výběr nabídky může být ekonomická výhodnost nabídky, nebo nejnižší nabídková cena. </w:t>
      </w:r>
    </w:p>
    <w:p w:rsidR="002363D0" w:rsidRPr="00532416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:rsidR="002363D0" w:rsidRPr="00532416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 </w:t>
      </w:r>
    </w:p>
    <w:p w:rsidR="00DD6258" w:rsidRPr="00D7228E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7" w:name="_Toc295893523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Posouzení zadávacích/výběrových řízení</w:t>
      </w:r>
      <w:r w:rsidRPr="00D7228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5"/>
      </w:r>
      <w:bookmarkEnd w:id="7"/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zakázek, u kterých bude zadávací řízení vyhlášeno po podpisu Smlouvy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prostředků z ERDF (Subsidy Contract) mezi LP a řídícím orgánem, případně partnerské smlouvy (Partnership Agreement) mezi LP a PP</w:t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jejichž hodnota je 400 000 Kč bez DPH a vyšší, resp. 500 000 Kč bez DPH a vyšší v případě, že Partner </w:t>
      </w:r>
    </w:p>
    <w:p w:rsidR="00500EBC" w:rsidRPr="00532416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není veřejným nebo sektorovým zadavatelem dle § 2 odst. 2 a 6 zákona č. 137/2006 Sb., o veřejných zakázkách a dotace poskytovaná na danou zakázku není vyšší než 50 %</w:t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6"/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:rsidR="00500EBC" w:rsidRPr="00532416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resp. není zadavatelem dle § 4 zákona č. 134/2016 Sb., o veřejných zakázkách</w:t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7"/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Partner před vyhlášením zadávacího řízení povinen předložit svému kontrolorovi ke kontrole následující dokumenty (dokumenty stačí předložit v elektronické podobě): </w:t>
      </w:r>
    </w:p>
    <w:p w:rsidR="00500EBC" w:rsidRPr="00532416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:rsidR="00500EBC" w:rsidRPr="00532416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532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řízení je možné vyhlásit až po obdržení souhlasného stanoviska Kontrolora a Partner je povinen při vyhlášení zadávacího řízení použít ty verze dokumentů, které byly posouzeny Kontrolorem.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 dokumenty uvedenými dále v textu předložena kontrolorovi před podpisem smlouvy s dodavatelem. 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532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vítěznou nabídku podanou uchazečem na základě oznámení o zahájení zadávacího řízení, resp. výzvy zadavatele nebo jiné informace či ceníky, z nichž vyplývá plnění nabízené uchazečem;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Partner kontrolorovi dále předloží:</w:t>
      </w:r>
    </w:p>
    <w:p w:rsidR="00500EBC" w:rsidRPr="00532416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nabídky, které byly v průběhu zadávacího řízení vyřazeny, pokud k vyřazení nějaké nabídky došlo;</w:t>
      </w:r>
    </w:p>
    <w:p w:rsidR="00500EBC" w:rsidRPr="00532416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:rsidR="00500EBC" w:rsidRPr="00532416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:rsidR="00500EBC" w:rsidRPr="00532416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text oznámení o výsledku zadávacího řízení zaslaný všem uchazečům, kteří podali nabídku v řádném termínu pro podání nabídek, vč. dokladů prokazujících jejich odeslání.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se netýká případů, kdy došlo k přímému nákupu bez zadávacího řízení (v případě, že to pravidla umožňují). V tomto případě budou kontrolovány pouze účetní doklady se zakázkou související.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se výše uvedené postupy netýkají zakázek, které jsou v projektu vykazovány pouze částečně, např. zadávací řízení na spotřební materiál, a to za splnění podmínky, že součet výdajů uplatňovaných v projektu nepřesáhne 400 000 Kč (v případě, že je dodavatelem plátce DPH, se jedná o částku bez DPH). 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2016, případně s pravidly pro zadávání veřejných zakázek mimo režim zákona stanovenými v 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:rsidR="00EB31D4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1D4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1D4" w:rsidRPr="0020456C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5324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8" w:name="_Toc220322043"/>
      <w:bookmarkStart w:id="9" w:name="_Toc220322510"/>
      <w:bookmarkStart w:id="10" w:name="_Toc220382201"/>
      <w:bookmarkStart w:id="11" w:name="_Toc220322044"/>
      <w:bookmarkStart w:id="12" w:name="_Toc220322511"/>
      <w:bookmarkStart w:id="13" w:name="_Toc220382202"/>
      <w:bookmarkStart w:id="14" w:name="_Toc445447261"/>
      <w:bookmarkEnd w:id="8"/>
      <w:bookmarkEnd w:id="9"/>
      <w:bookmarkEnd w:id="10"/>
      <w:bookmarkEnd w:id="11"/>
      <w:bookmarkEnd w:id="12"/>
      <w:bookmarkEnd w:id="13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Způsobilost výdajů</w:t>
      </w:r>
      <w:bookmarkEnd w:id="14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5" w:name="_Toc44544726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1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6" w:name="_Toc44544726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EU) č. 1303/2013</w:t>
      </w:r>
      <w:bookmarkEnd w:id="1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7" w:name="_Toc44544726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1301/2013</w:t>
      </w:r>
      <w:bookmarkEnd w:id="1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8" w:name="_Toc44544726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1299/2013</w:t>
      </w:r>
      <w:bookmarkEnd w:id="1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9" w:name="_Toc44544726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481/2014</w:t>
      </w:r>
      <w:bookmarkEnd w:id="1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0" w:name="_Toc44544726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20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1" w:name="_Toc44544726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</w:t>
      </w:r>
      <w:r w:rsidRPr="0020456C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na </w:t>
      </w:r>
      <w:hyperlink r:id="rId14" w:history="1">
        <w:r w:rsidR="00013912" w:rsidRPr="0020456C">
          <w:rPr>
            <w:rStyle w:val="Hypertextovodkaz"/>
            <w:rFonts w:ascii="Times New Roman" w:hAnsi="Times New Roman" w:cs="Times New Roman"/>
            <w:sz w:val="24"/>
          </w:rPr>
          <w:t>http://www.dotaceeu.cz/getmedia/7be05f88-01dc-46bc-96fd-fee5b45aac41/MP_zpusobile-vydaje-v4_cista.pdf?ext=.pdf</w:t>
        </w:r>
      </w:hyperlink>
      <w:r w:rsidR="00013912" w:rsidRPr="00D7228E"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pro české partnery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1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2" w:name="_Toc44544726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programové dokumentaci jednotlivých programů (viz. kap. Úvod).</w:t>
      </w:r>
      <w:bookmarkEnd w:id="22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3" w:name="_Toc44544727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23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4" w:name="_Toc44544727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24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5" w:name="_Toc44544727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25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6" w:name="_Toc44544727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26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7" w:name="_Toc44544727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27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7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28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7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2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0" w:name="_Toc44544727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30"/>
    </w:p>
    <w:p w:rsidR="00DD6258" w:rsidRPr="00D7228E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1" w:name="_Toc44544727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0"/>
      </w:r>
      <w:bookmarkEnd w:id="31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2" w:name="_Toc44544727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Vykazování jednotlivých typů výdajů je popsáno v programové dokumentaci uvedených programů (Implementation manual</w:t>
      </w:r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Application manual</w:t>
      </w:r>
      <w:r w:rsidR="001126E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program Central, Control Guidelines</w:t>
      </w:r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Implementation Manual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Manual pro program IE).</w:t>
      </w:r>
      <w:bookmarkEnd w:id="3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3" w:name="_Toc44544728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33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8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34"/>
    </w:p>
    <w:p w:rsidR="008F402D" w:rsidRPr="0020456C" w:rsidRDefault="008F402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601" w:rsidRPr="006061FA" w:rsidRDefault="008F402D" w:rsidP="001206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nesmí přesáhnout obvyklou výši platnou v organizaci zaměstnance pro danou pozici. V případě, že se jedná o nově vytvořenou pozici, vychází se z výše osobních nákladů na obdobnou pracovní pozici</w:t>
      </w:r>
      <w:r w:rsidR="00BF2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</w:t>
      </w:r>
      <w:r w:rsidRPr="009E6549">
        <w:rPr>
          <w:rFonts w:ascii="Times New Roman" w:eastAsia="Times New Roman" w:hAnsi="Times New Roman" w:cs="Times New Roman"/>
          <w:sz w:val="24"/>
          <w:szCs w:val="24"/>
          <w:lang w:eastAsia="cs-CZ"/>
        </w:rPr>
        <w:t>pozice</w:t>
      </w:r>
      <w:r w:rsidR="00120601" w:rsidRPr="009E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6061FA">
        <w:rPr>
          <w:rFonts w:ascii="Times New Roman" w:hAnsi="Times New Roman" w:cs="Times New Roman"/>
          <w:iCs/>
        </w:rPr>
        <w:t>uvedené na</w:t>
      </w:r>
      <w:r w:rsidR="00120601" w:rsidRPr="006061FA">
        <w:rPr>
          <w:rFonts w:ascii="Times New Roman" w:hAnsi="Times New Roman" w:cs="Times New Roman"/>
          <w:iCs/>
          <w:color w:val="0000FF"/>
        </w:rPr>
        <w:t xml:space="preserve">: </w:t>
      </w:r>
      <w:hyperlink r:id="rId15" w:history="1">
        <w:r w:rsidR="00120601" w:rsidRPr="006061FA">
          <w:rPr>
            <w:rStyle w:val="Hypertextovodkaz"/>
            <w:rFonts w:ascii="Times New Roman" w:hAnsi="Times New Roman" w:cs="Times New Roman"/>
            <w:iCs/>
          </w:rPr>
          <w:t>http://www.crr.cz/cs/eus/mzdove-sazby-typovych-pozic/</w:t>
        </w:r>
      </w:hyperlink>
      <w:r w:rsidR="00120601" w:rsidRPr="006061FA">
        <w:rPr>
          <w:rFonts w:ascii="Times New Roman" w:hAnsi="Times New Roman" w:cs="Times New Roman"/>
          <w:iCs/>
        </w:rPr>
        <w:t>.</w:t>
      </w:r>
      <w:r w:rsidR="00120601" w:rsidRPr="006061FA">
        <w:rPr>
          <w:i/>
          <w:iCs/>
        </w:rPr>
        <w:t xml:space="preserve">  </w:t>
      </w:r>
      <w:r w:rsidRPr="009E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9E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pro místní rozvoj</w:t>
      </w:r>
      <w:r w:rsidR="00120601" w:rsidRPr="006061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rozhodnout o případném zvýšení maximálních hodinových sazeb v závislosti na meziročním růstu průměrné nominální mzdy v ČR.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5" w:name="_Toc44544728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delegování pracovníků pro projekt na část jejich úvazku, anebo v podobě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</w:t>
      </w:r>
      <w:r w:rsidR="00BE62F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(vykazování na základě skutečných výdajů nebo paušální sazbou)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35"/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8C3" w:rsidRPr="0020456C" w:rsidRDefault="006D5EEC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</w:t>
      </w:r>
      <w:r w:rsidR="00DA68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 z těchto způsobů:</w:t>
      </w:r>
    </w:p>
    <w:p w:rsidR="0095274A" w:rsidRPr="0020456C" w:rsidRDefault="0095274A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745A75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s pružným počtem odpracovaných hodin za měsíc;</w:t>
      </w:r>
    </w:p>
    <w:p w:rsidR="00791022" w:rsidRPr="00D7228E" w:rsidRDefault="0095274A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7228E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:rsidR="006D5EEC" w:rsidRPr="0020456C" w:rsidRDefault="00DA68C3" w:rsidP="002045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1022" w:rsidRPr="0020456C" w:rsidRDefault="00791022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D60" w:rsidRPr="0020456C" w:rsidRDefault="007A7D60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:rsidR="00717D18" w:rsidRPr="0020456C" w:rsidRDefault="00717D1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práce/timesheet. Z dokladu o zaměstnání 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aměstnance pracujícího na plný úvazek (pracovní smlouva/dohoda apod.) musí vyplývat, že zaměstnanec provádí činnosti vztahující se výhradně k projektu.</w:t>
      </w:r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dokladu o zaměstnání musí být také uveden popis činností, které bude daný zaměstnanec na projektu vykonávat a v jakých pracovních balíčcích – work packages WP</w:t>
      </w:r>
      <w:r w:rsidR="00025BD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3"/>
      </w:r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17FC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D12" w:rsidRPr="0020456C" w:rsidRDefault="005C6D1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D12" w:rsidRPr="0020456C" w:rsidRDefault="002B3C5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20456C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</w:t>
      </w:r>
      <w:r w:rsidRPr="00D7228E">
        <w:rPr>
          <w:rFonts w:ascii="Times New Roman" w:hAnsi="Times New Roman"/>
          <w:b/>
          <w:sz w:val="24"/>
          <w:szCs w:val="24"/>
          <w:lang w:eastAsia="cs-CZ"/>
        </w:rPr>
        <w:t xml:space="preserve"> (případ b)</w:t>
      </w:r>
    </w:p>
    <w:p w:rsidR="002B3C5E" w:rsidRPr="0020456C" w:rsidRDefault="00E9746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V tomto případě nevzniká povinnost zřídit separátní systém evidence pracovní doby (výkazy práce/timesheet). </w:t>
      </w:r>
      <w:r w:rsidR="00AC22C5" w:rsidRPr="0020456C">
        <w:rPr>
          <w:rFonts w:ascii="Times New Roman" w:hAnsi="Times New Roman"/>
          <w:sz w:val="24"/>
          <w:szCs w:val="24"/>
          <w:lang w:eastAsia="cs-CZ"/>
        </w:rPr>
        <w:t>Zaměstnavatel</w:t>
      </w:r>
      <w:r w:rsidR="00AC22C5">
        <w:rPr>
          <w:rFonts w:ascii="Times New Roman" w:hAnsi="Times New Roman"/>
          <w:sz w:val="24"/>
          <w:szCs w:val="24"/>
          <w:lang w:eastAsia="cs-CZ"/>
        </w:rPr>
        <w:t xml:space="preserve"> se zaměstnancem</w:t>
      </w:r>
      <w:r w:rsidR="00B51990" w:rsidRPr="0020456C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>
        <w:rPr>
          <w:rFonts w:ascii="Times New Roman" w:hAnsi="Times New Roman"/>
          <w:sz w:val="24"/>
          <w:szCs w:val="24"/>
          <w:lang w:eastAsia="cs-CZ"/>
        </w:rPr>
        <w:t>ní</w:t>
      </w:r>
      <w:r w:rsidR="0000154D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20456C">
        <w:rPr>
          <w:rFonts w:ascii="Times New Roman" w:hAnsi="Times New Roman"/>
          <w:sz w:val="24"/>
          <w:szCs w:val="24"/>
          <w:lang w:eastAsia="cs-CZ"/>
        </w:rPr>
        <w:t>, v němž bude jednoznačně stanoven procentní podíl pracovní doby odpracované na projektu.</w:t>
      </w:r>
      <w:r w:rsidR="006405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>V dokladu o zaměstnání musí být také uveden popis činností, které bude daný zaměstnanec na projektu vykonávat a v jakých pracovních balíčcích – work packages WP</w:t>
      </w:r>
      <w:r w:rsidR="006405D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4"/>
      </w:r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>
        <w:rPr>
          <w:rFonts w:ascii="Times New Roman" w:eastAsia="Times New Roman" w:hAnsi="Times New Roman" w:cs="Times New Roman"/>
          <w:sz w:val="24"/>
          <w:szCs w:val="24"/>
          <w:lang w:eastAsia="cs-CZ"/>
        </w:rPr>
        <w:t>tlivé projekty</w:t>
      </w:r>
      <w:r w:rsidR="006405D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5"/>
      </w:r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F539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</w:p>
    <w:p w:rsidR="00D06524" w:rsidRPr="0020456C" w:rsidRDefault="00B5538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výkazy práce/timesheety (podepsanými 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práce/timesheety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hodiny odpracované na jiném projektu</w:t>
      </w:r>
      <w:r w:rsidR="00D0652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F6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třeba, aby v timesheetu byly rozděleny odpracované hodiny i podle jednotlivých Work Packages</w:t>
      </w:r>
      <w:r w:rsidR="00E74FAB">
        <w:rPr>
          <w:rFonts w:ascii="Times New Roman" w:eastAsia="Times New Roman" w:hAnsi="Times New Roman" w:cs="Times New Roman"/>
          <w:sz w:val="24"/>
          <w:szCs w:val="24"/>
          <w:lang w:eastAsia="cs-CZ"/>
        </w:rPr>
        <w:t>/WP</w:t>
      </w:r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 timesheetu je součástí </w:t>
      </w:r>
      <w:r w:rsidR="00E31EF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44A8E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</w:t>
      </w:r>
      <w:r w:rsidR="00AC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Náležitostí dokladování</w:t>
      </w:r>
      <w:r w:rsidR="00E31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06524" w:rsidRPr="0020456C" w:rsidRDefault="00D06524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691" w:rsidRPr="0020456C" w:rsidRDefault="00C21691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20456C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6"/>
      </w:r>
      <w:r w:rsidRPr="0020456C">
        <w:rPr>
          <w:rFonts w:ascii="Times New Roman" w:hAnsi="Times New Roman"/>
          <w:sz w:val="24"/>
          <w:szCs w:val="24"/>
          <w:lang w:eastAsia="cs-CZ"/>
        </w:rPr>
        <w:t>, nebo</w:t>
      </w:r>
    </w:p>
    <w:p w:rsidR="00DD6258" w:rsidRPr="0020456C" w:rsidRDefault="003930B3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20456C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1303/2013.</w:t>
      </w:r>
      <w:r w:rsidR="00C67AA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264" w:rsidRPr="0020456C" w:rsidRDefault="00872264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D7228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F11A2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9D2" w:rsidRDefault="00DE09D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09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:rsidR="00DE09D2" w:rsidRPr="00DE09D2" w:rsidRDefault="00DE09D2" w:rsidP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Hodinová sazba uvedená v pracovní smlouvě (dokladu o zaměstnání) se vynásobí skutečně odpracovanou dobou na projektu. 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doloženy,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smlouvy,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práce/timesheety (podepsanými osobou, která práci vykonala, i příjemcem).</w:t>
      </w:r>
    </w:p>
    <w:p w:rsidR="00ED7C33" w:rsidRDefault="00ED7C33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344" w:rsidRDefault="004302A6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u všech výše uvedených metod</w:t>
      </w:r>
      <w:r w:rsidR="00CD6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 až d) 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vykazování mzdových výdajů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 i tzv. Periodic staff report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přílohou č. 4b Implementačního manuálu. Periodic staff report 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>usí obsahovat shrnutí práce jednotlivého zaměstnance na projektu, včetně dosažených výstupů za dané reportovací období. Tento dokument musí být podepsán zaměstnancem a jeho nadřízeným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pracovníkem</w:t>
      </w:r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302A6" w:rsidRPr="0020456C" w:rsidRDefault="00BD72E1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F57027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D7C33" w:rsidRPr="0020456C" w:rsidRDefault="006D153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7C33" w:rsidRPr="0020456C" w:rsidRDefault="00ED7C33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CD3979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příloze </w:t>
      </w:r>
      <w:r w:rsidR="008E0B32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Náležitosti dokladování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65EA" w:rsidRPr="0020456C" w:rsidRDefault="00F565EA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:rsid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Interreg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6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Interreg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7" w:history="1"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 Manual,</w:t>
        </w:r>
      </w:hyperlink>
      <w:r w:rsidR="00024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8" w:history="1">
        <w:r w:rsidR="00024D55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 Manual</w:t>
        </w:r>
      </w:hyperlink>
    </w:p>
    <w:p w:rsidR="00A071FE" w:rsidRPr="0020456C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Interreg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9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Implementation </w:t>
        </w:r>
        <w:r w:rsidR="00E31EF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Manual,</w:t>
        </w:r>
      </w:hyperlink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Control Guidelines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6" w:name="_Toc445447285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Publicita</w:t>
      </w:r>
      <w:bookmarkEnd w:id="36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Interreg EUROPE – </w:t>
      </w:r>
      <w:hyperlink r:id="rId20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Interreg Europe Graphic </w:t>
        </w:r>
        <w:r w:rsidR="00943C2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Guide</w:t>
      </w:r>
    </w:p>
    <w:p w:rsidR="00DD6258" w:rsidRPr="0020456C" w:rsidRDefault="00DD6258" w:rsidP="0020456C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Interreg Central Europe – </w:t>
      </w:r>
      <w:hyperlink r:id="rId21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Project Brand Manual</w:t>
        </w:r>
      </w:hyperlink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Interreg Danube – </w:t>
      </w:r>
      <w:hyperlink r:id="rId22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Project Visual Identity Guidelines</w:t>
        </w:r>
      </w:hyperlink>
    </w:p>
    <w:p w:rsidR="0083743C" w:rsidRPr="00D7228E" w:rsidRDefault="0083743C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povinnosti v oblasti publicity ošetřeny v Subsidy Contract a Partnership Agreement.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0C9E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Každý projektový partner zodpovídá za zajištění propagace své části projektu</w:t>
      </w:r>
      <w:r w:rsidR="000C33D2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3" w:history="1">
        <w:r w:rsidRPr="00D7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 Evropské unie v souladu s grafickými normami stanovenými v příloze II Prováděcího nařízení Komise (EU) č. 821/2014, kterým se stanoví pravidla pro uplatňování nařízení (EU) č. 1303/2013 a odkaz</w:t>
      </w:r>
      <w:r w:rsidRPr="00D7228E">
        <w:rPr>
          <w:rFonts w:eastAsia="Times New Roman" w:cs="Times New Roman"/>
          <w:vertAlign w:val="superscript"/>
        </w:rPr>
        <w:footnoteReference w:id="18"/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 Regional Development Fund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F05DAA" w:rsidRPr="00D7228E" w:rsidRDefault="00F05DAA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garantuje splnění všech výše uvedených náležitostí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9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(technické vlastnosti zobrazení znaku Unie je dáno čl. 4 Prováděcího Nařízení Komise (EU) č.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821/2014 ).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Prováděcího Nařízení Komise (EU) č. 821/2014 nebo na stránkách Programů.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0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2045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veřejnosti a potenciálních účastníků na daný projekt, resp. jeho dílčí výstupy. Posuzuje se, zda tyto prostředky publicity obsahují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EU vč. odkazu na Evropskou unii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odkazu na ERDF</w:t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1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programu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Prováděcího Nařízení (EU) č. 821/2014 a Příloze II tohoto Nařízení, tj.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dodrženy grafické standardy a pravidla pro barevné provedení loga, </w:t>
      </w:r>
      <w:r w:rsidR="00765901"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používání fontů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písma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nejsou dodržena pravidla pro umístění loga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dodržena pravidla týkající se velikosti loga a v případě dočasných billboardů a trvalých pamětních desek podílu plochy, které mají informace o projektu vč. loga zaujímat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D7228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2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5 %,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(nesplňuje všechny náležitosti uvedené v čl. 2.2, Přílohy XII Nařízení (EU) č. 1303/2013 – způsobilé výdaje se krátí ve výši 3 %,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(nesplňuje náležitosti uvedené v čl. 4 Prováděcího Nařízení (EU) č. 821/2014 a Příloze II tohoto Nařízení – způsobilé výdaje se krátí o 1 %.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úplně chybí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25 %,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Prováděcího Nařízení (EU) č. 821/2014 a Příloze II tohoto Nařízení – způsobilé výdaje se krátí ve výši 15 %.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100 %,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532416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Prováděcího Nařízení (EU) č. 821/2014 a Příloze II tohoto Nařízení – způsobilé výdaje se krátí ve výši 25 %. </w:t>
      </w: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7" w:name="_Toc445447286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Postup předkládání zprávy o průběhu projektu a výdajů ke kontrole</w:t>
      </w:r>
      <w:bookmarkEnd w:id="37"/>
      <w:r w:rsidR="00C93CD4">
        <w:rPr>
          <w:rStyle w:val="Znakapoznpodarou"/>
          <w:rFonts w:ascii="Times New Roman" w:eastAsia="Times New Roman" w:hAnsi="Times New Roman" w:cs="Times New Roman"/>
          <w:b/>
          <w:sz w:val="32"/>
          <w:szCs w:val="32"/>
          <w:lang w:eastAsia="cs-CZ"/>
        </w:rPr>
        <w:footnoteReference w:id="23"/>
      </w:r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  K vaší první kontrole předložte: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Kopii Subsidy Contract včetně příloh, kopii Partnership Agreement a kopii Application Form</w:t>
      </w:r>
      <w:r w:rsidR="0013283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a) u neplátců DPH: Čestné prohlášení, že nejste plátci DPH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u plátců DPH: Registraci plátce DPH (stačí kopie); v případě nárokování DPH, jako způsobilého výdaje, prohlášení, že nemá nárok na odpočet DPH v rámci svého daňového přiznání. </w:t>
      </w:r>
    </w:p>
    <w:p w:rsidR="00DD6258" w:rsidRPr="0042467C" w:rsidRDefault="00DD6258" w:rsidP="0042467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Detailní rozpočet jednotlivého projektového partnera dle rozpočtových kapitol a u programu CENTRAL i dle WP, pokud nebyl předložen jako součást Partnership Agreementu nebo není součástí Application Form. (vzorový formát viz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r w:rsidR="00FF7D9A"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A3A2A" w:rsidRPr="0020456C" w:rsidRDefault="009A3A2A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Pr="00D7228E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    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6.B. Při první a každé další kontrole projektového partnera budeme požadovat: 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Application form, Subsidy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ontract nebo Partnership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greement, je třeba je předložit  aktuální verzi těchto dokumentů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D7228E" w:rsidRDefault="009A3A2A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568" w:rsidRPr="00E126DE" w:rsidRDefault="00CF256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r w:rsidR="0058259D">
        <w:rPr>
          <w:rFonts w:ascii="Times New Roman" w:eastAsia="Times New Roman" w:hAnsi="Times New Roman" w:cs="Times New Roman"/>
          <w:sz w:val="24"/>
          <w:szCs w:val="24"/>
          <w:lang w:eastAsia="cs-CZ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anglicky vyplněnou přílohu č. 8 – List of expenditure/List of 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r w:rsidRP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D68C9" w:rsidRP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52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1BB7" w:rsidRDefault="00863480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IE z</w:t>
      </w:r>
      <w:r w:rsidR="00DD6258" w:rsidRPr="00E126D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průběhu projektu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4"/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opatřenou datem a podpisy – vzor viz příloha </w:t>
      </w:r>
      <w:r w:rsidR="00EB46DC" w:rsidRP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7 </w:t>
      </w:r>
      <w:r w:rsidR="00DD6258" w:rsidRP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>–. Popis aktivit uveden</w:t>
      </w:r>
      <w:r w:rsidR="00EB46DC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průběžné zprávě musí korespondovat s účelem a aktivitou uvedené v </w:t>
      </w:r>
      <w:r w:rsidR="008E6CF1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 výdajů</w:t>
      </w:r>
      <w:r w:rsidR="006D68C9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r w:rsidR="00CF2568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of expenditure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Zprávu o průběhu projektu předkládá partner vždy za každé reportovací období, a to i v případě, že v daném období neuplatňuje žádné výdaje. </w:t>
      </w:r>
      <w:r w:rsidR="003E5E1E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o průběhu projektů se předkládá kontrolorům jako </w:t>
      </w:r>
      <w:r w:rsidR="006D68C9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 nebo </w:t>
      </w:r>
      <w:r w:rsidR="003E5E1E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r w:rsidR="006D68C9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ED1328" w:rsidRDefault="00D11BB7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 předložit zprávu o průběhu projektu/Partner report, jejíž součástí je</w:t>
      </w:r>
      <w:r w:rsidR="00600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soupiska/List of Expenditure prostřednictvím monitorovacího systému programu – eMS</w:t>
      </w:r>
      <w:r w:rsidR="000A1769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5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aktivit  uveden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ých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Partner repor</w:t>
      </w:r>
      <w:r w:rsidR="006003F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korespondovat s účelem a aktivitou uvedené v Soupisce výdajů/List </w:t>
      </w:r>
      <w:r w:rsidRPr="00876B6F">
        <w:rPr>
          <w:rFonts w:ascii="Times New Roman" w:eastAsia="Times New Roman" w:hAnsi="Times New Roman" w:cs="Times New Roman"/>
          <w:sz w:val="24"/>
          <w:szCs w:val="24"/>
          <w:lang w:eastAsia="cs-CZ"/>
        </w:rPr>
        <w:t>of expenditure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report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předkládá partner vždy za každé reportovací období, a to i v případě, že v daném období neuplatňuje žádné výdaje</w:t>
      </w:r>
      <w:r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6"/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2045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:rsidR="00780935" w:rsidRDefault="009D671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program IE s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oupisku výdajů</w:t>
      </w:r>
      <w:r w:rsidR="006D68C9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opatřenou datem a podpisy - vzor viz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příloha</w:t>
      </w:r>
      <w:r w:rsidR="00B40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8</w:t>
      </w:r>
      <w:r w:rsidR="006003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34E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B408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 Interreg Europe</w:t>
      </w:r>
      <w:r w:rsidR="007434E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="00ED132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předkládá jako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 nebo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="00ED132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seznam všech výdajů předkládaných ke kontrole, které byly v daném monitorovacím období uskutečněny. V případě, že partner předkládá </w:t>
      </w:r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="00852AC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dvě reportovací období, bude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="00ED132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obsahovat výdaje za obě období.</w:t>
      </w:r>
    </w:p>
    <w:p w:rsidR="00DD6258" w:rsidRPr="0020456C" w:rsidRDefault="00780935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program Central je soupiska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 součástí Partner report (příloha č. 9, část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</w:t>
      </w:r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 Partner report prostřednictvím monitorovacího systému programu - eMS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reportovací období,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6E04A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roztříděné ve složce podle rozpočtových kapitol a opatřených razítkem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7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identifikací projektu. Partner předkládá doklady dle pokynů uvedené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Příloze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 Náležitosti dokladování</w:t>
      </w:r>
      <w:r w:rsidR="00627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dokumentace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8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Lead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(stačí zaslat mailem tzv. „clarification request“).  Pro účely předkládání výdajů ke kontrole jsou uveřejněny Náležitosti dokladování na webových stránkách </w:t>
      </w:r>
      <w:hyperlink r:id="rId26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="008F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nebo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Příloze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„Náležitosti dokladování“, které jsou podkladem pro vyhotovení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kontaktovat/navštívit místně příslušného Kontrolora za účelem ověření dod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ržení postupů uvedených v Náležitostech dokladování a řádného vyplnění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shodě kopií účetních dokladů a podpůrné dokumentace s originály těchto dokumentů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došlo ke změně některých podstatných skutečností, např. změna z neplátce na plátce DPH a naopak - doklad o novém stavu. V případě překročení rozpočtu, rozpočtových kapitol - souhlas LP se změnou rozpočtu, apod.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předkládání výdajů ke kontrole se partner řídí Pokyny vč. příloh, které byly platné poslední pracovní den měsíce předcházejícímu tomu, ve kterém zpracují (podepíší)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oupisku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 Postup</w:t>
      </w:r>
    </w:p>
    <w:p w:rsidR="00DD6258" w:rsidRPr="0020456C" w:rsidRDefault="00DD6258" w:rsidP="002045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557E04" w:rsidRDefault="00557E04" w:rsidP="00557E04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či přivezte všechny potřebné podklady k provedení kontroly (viz výše, včetně dokumentů uvedených v Náležitostech dokladování –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Pokynů).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27" w:history="1">
        <w:r w:rsidR="00DD6258" w:rsidRPr="00557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 15 dní po skončení každého reportovacího období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, tak aby LP mohl předložit podklady za celý projekt společnému sekretariátu/řídícímu orgánu do 3 měsíců od konce reportovacího období.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reportovacího období, neručí Centrum, že bude kontrola ukončena do 3 měsíců od konce reportovacího období.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odkontrolovány do 3 měsíců od konce reportovacího období.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v tomto případě není nedostatek odstraněn, je výdaj odložen.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FFA" w:rsidRPr="0020456C" w:rsidRDefault="006B6B4B" w:rsidP="0020456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byl výdaj odložen, má partner možnost uplatnit takový výdaj v následujícím reportovacím období.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aktuální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provedení kontroly bude projektovému partnerovi příslušnou </w:t>
      </w:r>
      <w:r w:rsidR="006B0E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pobočkou Centra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zaslán  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Certifikátu dle příslušné programové dokumentace (např.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IE „Independent first level control certificate“, „Independent first level control report“ včetně kontrolního checklistu a 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expenditure/List of Contracts)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 U CENTRAL „Control Report“, „Check-list“ a „Certificate of expenditure“) a včetně schválené průběžné zprávy/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report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sestavené Rekapitulace rozpočtu</w:t>
      </w:r>
      <w:r w:rsidR="00286C9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100% výdajů na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předepsaných náležitostí dokladování uveřejněných na </w:t>
      </w:r>
      <w:hyperlink r:id="rId28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722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/List of expenditure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2045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:rsidR="00DD6258" w:rsidRPr="0020456C" w:rsidRDefault="006762F9" w:rsidP="0020456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05E4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5A05E4" w:rsidRDefault="00D015DC" w:rsidP="00532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6258" w:rsidRPr="0020456C" w:rsidRDefault="00DD6258" w:rsidP="00532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D6258" w:rsidRPr="0020456C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31D4" w:rsidRDefault="005A05E4" w:rsidP="00532416">
      <w:pPr>
        <w:rPr>
          <w:sz w:val="24"/>
          <w:szCs w:val="20"/>
          <w:lang w:eastAsia="cs-CZ"/>
        </w:rPr>
      </w:pPr>
      <w:bookmarkStart w:id="38" w:name="_Toc221601315"/>
      <w:bookmarkStart w:id="39" w:name="_Toc221601316"/>
      <w:bookmarkStart w:id="40" w:name="_Toc221601317"/>
      <w:bookmarkStart w:id="41" w:name="_Toc221601318"/>
      <w:bookmarkStart w:id="42" w:name="_Toc445447287"/>
      <w:bookmarkEnd w:id="38"/>
      <w:bookmarkEnd w:id="39"/>
      <w:bookmarkEnd w:id="40"/>
      <w:bookmarkEnd w:id="41"/>
      <w:r w:rsidRPr="005A05E4">
        <w:rPr>
          <w:rFonts w:ascii="Times New Roman" w:hAnsi="Times New Roman"/>
          <w:b/>
          <w:sz w:val="32"/>
          <w:szCs w:val="32"/>
          <w:lang w:val="pl-PL" w:eastAsia="cs-CZ"/>
        </w:rPr>
        <w:t>7.</w:t>
      </w:r>
      <w:r>
        <w:rPr>
          <w:rFonts w:ascii="Times New Roman" w:hAnsi="Times New Roman"/>
          <w:b/>
          <w:sz w:val="32"/>
          <w:szCs w:val="32"/>
          <w:lang w:val="pl-PL" w:eastAsia="cs-CZ"/>
        </w:rPr>
        <w:t xml:space="preserve"> </w:t>
      </w:r>
      <w:r w:rsidR="00DD6258" w:rsidRPr="00532416">
        <w:rPr>
          <w:rFonts w:ascii="Times New Roman" w:hAnsi="Times New Roman"/>
          <w:b/>
          <w:sz w:val="32"/>
          <w:szCs w:val="32"/>
          <w:lang w:val="pl-PL" w:eastAsia="cs-CZ"/>
        </w:rPr>
        <w:t>Účetnictví a povinnost archivace účetních dokladů</w:t>
      </w:r>
      <w:bookmarkEnd w:id="42"/>
    </w:p>
    <w:p w:rsidR="00EB31D4" w:rsidRPr="00863480" w:rsidRDefault="00EB31D4" w:rsidP="0086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B31D4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34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</w:t>
      </w:r>
      <w:r w:rsidRPr="00D11B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zákonem č. 563/1991 Sb., o účetnictví ve znění pozdějších předpisů v platném znění. </w:t>
      </w:r>
    </w:p>
    <w:p w:rsidR="00EB31D4" w:rsidRPr="00863480" w:rsidRDefault="00EB31D4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D7228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29"/>
      </w:r>
      <w:r w:rsidRPr="00D722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Každý partner je povinen z účetnictví poskytnout všem kontrolním orgánům požadované údaje související 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 projektem, a to nejpozději od data registrace projektu.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některý český partner není povinen vést účetnictví, povede pro projekt v souladu s národní legislativou tzv. daňovou evidenci rozšířenou tak, aby: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:rsidR="00DD6258" w:rsidRPr="0020456C" w:rsidRDefault="00DD6258" w:rsidP="0020456C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ubsidy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ontract,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r w:rsid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greement, certifikáty,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532416" w:rsidRDefault="00DD6258" w:rsidP="00532416">
      <w:pPr>
        <w:pStyle w:val="Styl1"/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rPr>
          <w:rFonts w:eastAsiaTheme="minorHAnsi" w:cstheme="minorBidi"/>
          <w:lang w:val="pl-PL"/>
        </w:rPr>
      </w:pPr>
      <w:bookmarkStart w:id="43" w:name="_Toc221601320"/>
      <w:bookmarkStart w:id="44" w:name="_Toc221601321"/>
      <w:bookmarkStart w:id="45" w:name="_Toc220322049"/>
      <w:bookmarkStart w:id="46" w:name="_Toc220322516"/>
      <w:bookmarkStart w:id="47" w:name="_Toc220382207"/>
      <w:bookmarkStart w:id="48" w:name="_Toc220322050"/>
      <w:bookmarkStart w:id="49" w:name="_Toc220322517"/>
      <w:bookmarkStart w:id="50" w:name="_Toc220382208"/>
      <w:bookmarkStart w:id="51" w:name="_Toc220322051"/>
      <w:bookmarkStart w:id="52" w:name="_Toc220322518"/>
      <w:bookmarkStart w:id="53" w:name="_Toc220382209"/>
      <w:bookmarkStart w:id="54" w:name="_Toc44544728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532416">
        <w:rPr>
          <w:rFonts w:eastAsiaTheme="minorHAnsi" w:cstheme="minorBidi"/>
          <w:lang w:val="pl-PL"/>
        </w:rPr>
        <w:t>Odvolání se proti výsledku kontroly</w:t>
      </w:r>
      <w:bookmarkEnd w:id="54"/>
    </w:p>
    <w:p w:rsidR="00DD6258" w:rsidRPr="00532416" w:rsidRDefault="00DD6258" w:rsidP="0020456C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Letenská 3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55" w:name="_Toc445447289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55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6" w:name="_Toc445447290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příloh</w:t>
      </w:r>
      <w:bookmarkEnd w:id="56"/>
    </w:p>
    <w:p w:rsidR="00DD6258" w:rsidRPr="0020456C" w:rsidRDefault="00DD6258" w:rsidP="002045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F46D52" w:rsidRDefault="00F46D52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A    – Náležitosti dokladování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 – Metodický pokyn pro oblast zadávání veřejných zakázek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3 – Kontakty na kontrolory </w:t>
      </w:r>
    </w:p>
    <w:p w:rsidR="00DD6258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4 – Přehled realizovaných a předpokládaných ZŘ</w:t>
      </w:r>
    </w:p>
    <w:p w:rsidR="00A93B6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</w:p>
    <w:p w:rsidR="00115A7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</w:p>
    <w:p w:rsidR="00A93B6E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7 – Zpráva o průběhu projektu</w:t>
      </w:r>
    </w:p>
    <w:p w:rsidR="00FA50B9" w:rsidRDefault="00FA50B9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8 – </w:t>
      </w:r>
      <w:r w:rsidR="00CF2568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Interreg Europe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List of Expenditure/List of Contracts</w:t>
      </w:r>
    </w:p>
    <w:p w:rsidR="008A2FBB" w:rsidRDefault="008A2FBB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9 – Central – Partner report</w:t>
      </w:r>
    </w:p>
    <w:p w:rsidR="0001266F" w:rsidRPr="0020456C" w:rsidRDefault="0001266F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10 – Veřejná podpora – de minimis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7" w:name="_Toc445447291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revizí</w:t>
      </w:r>
      <w:bookmarkEnd w:id="57"/>
    </w:p>
    <w:p w:rsidR="00DD6258" w:rsidRP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609"/>
        <w:gridCol w:w="2056"/>
      </w:tblGrid>
      <w:tr w:rsidR="00DD6258" w:rsidRPr="00DD6258" w:rsidTr="006061FA">
        <w:trPr>
          <w:trHeight w:val="403"/>
        </w:trPr>
        <w:tc>
          <w:tcPr>
            <w:tcW w:w="1310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609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2056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Kapitola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E3658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609" w:type="dxa"/>
          </w:tcPr>
          <w:p w:rsidR="00DD6258" w:rsidRPr="00DD6258" w:rsidRDefault="00E36581" w:rsidP="0053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Odstraněna příloha 2. Nově je dostupná na odkazu </w:t>
            </w:r>
            <w:hyperlink r:id="rId29" w:history="1">
              <w:r>
                <w:rPr>
                  <w:rStyle w:val="Hypertextovodkaz"/>
                </w:rPr>
                <w:t>http://www.crr.cz/cs/eus/mzdove-sazby-typovych-pozic/</w:t>
              </w:r>
            </w:hyperlink>
          </w:p>
        </w:tc>
        <w:tc>
          <w:tcPr>
            <w:tcW w:w="2056" w:type="dxa"/>
          </w:tcPr>
          <w:p w:rsidR="00DD6258" w:rsidRPr="00DD6258" w:rsidRDefault="00E3658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267CA6" w:rsidRPr="00DD6258" w:rsidTr="00644F4C">
        <w:tc>
          <w:tcPr>
            <w:tcW w:w="1310" w:type="dxa"/>
          </w:tcPr>
          <w:p w:rsidR="00267CA6" w:rsidRDefault="002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267CA6" w:rsidRDefault="000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Upraveny maximální hodinové sazby na základě růstu nominální hrubé mzdy v ČR. (Dříve Příloha 2)</w:t>
            </w:r>
          </w:p>
        </w:tc>
        <w:tc>
          <w:tcPr>
            <w:tcW w:w="2056" w:type="dxa"/>
          </w:tcPr>
          <w:p w:rsidR="00267CA6" w:rsidRDefault="0044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</w:tbl>
    <w:p w:rsidR="00802A64" w:rsidRDefault="00802A64" w:rsidP="0020456C"/>
    <w:sectPr w:rsidR="00802A64" w:rsidSect="00644F4C">
      <w:footerReference w:type="even" r:id="rId30"/>
      <w:footerReference w:type="default" r:id="rId31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3C" w:rsidRDefault="0035343C" w:rsidP="00DD6258">
      <w:pPr>
        <w:spacing w:after="0" w:line="240" w:lineRule="auto"/>
      </w:pPr>
      <w:r>
        <w:separator/>
      </w:r>
    </w:p>
  </w:endnote>
  <w:endnote w:type="continuationSeparator" w:id="0">
    <w:p w:rsidR="0035343C" w:rsidRDefault="0035343C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3C" w:rsidRDefault="0035343C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343C" w:rsidRDefault="003534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3C" w:rsidRDefault="0035343C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61FA">
      <w:rPr>
        <w:rStyle w:val="slostrnky"/>
        <w:noProof/>
      </w:rPr>
      <w:t>2</w:t>
    </w:r>
    <w:r>
      <w:rPr>
        <w:rStyle w:val="slostrnky"/>
      </w:rPr>
      <w:fldChar w:fldCharType="end"/>
    </w:r>
  </w:p>
  <w:p w:rsidR="0035343C" w:rsidRDefault="00353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3C" w:rsidRDefault="0035343C" w:rsidP="00DD6258">
      <w:pPr>
        <w:spacing w:after="0" w:line="240" w:lineRule="auto"/>
      </w:pPr>
      <w:r>
        <w:separator/>
      </w:r>
    </w:p>
  </w:footnote>
  <w:footnote w:type="continuationSeparator" w:id="0">
    <w:p w:rsidR="0035343C" w:rsidRDefault="0035343C" w:rsidP="00DD6258">
      <w:pPr>
        <w:spacing w:after="0" w:line="240" w:lineRule="auto"/>
      </w:pPr>
      <w:r>
        <w:continuationSeparator/>
      </w:r>
    </w:p>
  </w:footnote>
  <w:footnote w:id="1">
    <w:p w:rsidR="0035343C" w:rsidRDefault="0035343C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Interreg EUROPE</w:t>
      </w:r>
    </w:p>
  </w:footnote>
  <w:footnote w:id="5">
    <w:p w:rsidR="0035343C" w:rsidRDefault="0035343C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Posouzením zadávacího/výběrového řízení nepřechází odpovědnost za to, že zadávací/výběrové řízení bude zadána správně a v souladu se zásadami, zákony a dalšími předpisy uvedenými výše v kap. 3.1. na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:rsidR="0035343C" w:rsidRPr="00E2565B" w:rsidRDefault="0035343C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>V případě zakázek vyhlášených do 30.09.2016 včetně.</w:t>
      </w:r>
    </w:p>
  </w:footnote>
  <w:footnote w:id="7">
    <w:p w:rsidR="0035343C" w:rsidRPr="00E2565B" w:rsidRDefault="0035343C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>V případě zakázek vyhlášených od 01.10.2016.</w:t>
      </w:r>
    </w:p>
  </w:footnote>
  <w:footnote w:id="8">
    <w:p w:rsidR="0035343C" w:rsidRPr="00FA43EE" w:rsidRDefault="0035343C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:rsidR="0035343C" w:rsidRPr="00FA43EE" w:rsidRDefault="0035343C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>artner v rámci zadávací dokumentace mimo jiné stanoví (a) fakturační podmínky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>a (b) v případě, kdy Partner nezajistí adekvátní publicitu vlastními silami i povinnost vybraného dodavatele zajistit projektu dostatečnou publicitu dle náležitostí uvedených v</w:t>
      </w:r>
      <w:r>
        <w:t> kapitole 5,</w:t>
      </w:r>
      <w:r w:rsidRPr="00FA43EE">
        <w:t xml:space="preserve"> veřejnost vhodným způsobem o tom, že projekt je spolufinancován z prostředků EU.</w:t>
      </w:r>
    </w:p>
  </w:footnote>
  <w:footnote w:id="10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1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2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3">
    <w:p w:rsidR="0035343C" w:rsidRDefault="0035343C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4">
    <w:p w:rsidR="0035343C" w:rsidRDefault="0035343C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5">
    <w:p w:rsidR="0035343C" w:rsidRDefault="0035343C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16">
    <w:p w:rsidR="0035343C" w:rsidRDefault="003534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17">
    <w:p w:rsidR="0035343C" w:rsidRDefault="0035343C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18">
    <w:p w:rsidR="0035343C" w:rsidRPr="0020456C" w:rsidRDefault="0035343C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19">
    <w:p w:rsidR="0035343C" w:rsidRPr="0020456C" w:rsidRDefault="0035343C" w:rsidP="0020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56C">
        <w:rPr>
          <w:rFonts w:ascii="Times New Roman" w:hAnsi="Times New Roman" w:cs="Times New Roman"/>
          <w:sz w:val="20"/>
          <w:szCs w:val="20"/>
        </w:rPr>
        <w:footnoteRef/>
      </w:r>
      <w:r w:rsidRPr="0020456C">
        <w:rPr>
          <w:rFonts w:ascii="Times New Roman" w:hAnsi="Times New Roman" w:cs="Times New Roman"/>
          <w:sz w:val="20"/>
          <w:szCs w:val="20"/>
        </w:rPr>
        <w:t xml:space="preserve"> </w:t>
      </w:r>
      <w:r w:rsidRPr="0020456C">
        <w:rPr>
          <w:rFonts w:ascii="Times New Roman" w:hAnsi="Times New Roman" w:cs="Times New Roman"/>
          <w:b/>
          <w:sz w:val="20"/>
          <w:szCs w:val="20"/>
        </w:rPr>
        <w:t>U programu DANUBE</w:t>
      </w:r>
      <w:r w:rsidRPr="0020456C">
        <w:rPr>
          <w:rFonts w:ascii="Times New Roman" w:hAnsi="Times New Roman" w:cs="Times New Roman"/>
          <w:sz w:val="20"/>
          <w:szCs w:val="20"/>
        </w:rPr>
        <w:t xml:space="preserve"> není v programovém logu uveden odkaz na ERDF, protože program je financován z více fondů. V tomto případě je povinností příjemců uvést odkaz na ERDF nebo alespoň  odkaz „Project co-funded by the European Union”. </w:t>
      </w:r>
    </w:p>
  </w:footnote>
  <w:footnote w:id="20">
    <w:p w:rsidR="0035343C" w:rsidRDefault="0035343C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1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co-funded by the European Union”</w:t>
      </w:r>
      <w:r>
        <w:t>, tam, kde je to možné odkaz na ERDF.</w:t>
      </w:r>
    </w:p>
  </w:footnote>
  <w:footnote w:id="22">
    <w:p w:rsidR="0035343C" w:rsidRDefault="0035343C" w:rsidP="00DD6258">
      <w:pPr>
        <w:pStyle w:val="Default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4"/>
          <w:szCs w:val="14"/>
        </w:rPr>
        <w:t xml:space="preserve">Pokud nelze výdaje spojené s daným výstupem jednoznačně oddělit, uplatňuje se uvedená sankce v % na celkové způsobilé výdaje daného partnera. </w:t>
      </w:r>
    </w:p>
    <w:p w:rsidR="0035343C" w:rsidRDefault="0035343C" w:rsidP="00DD6258">
      <w:pPr>
        <w:pStyle w:val="Default"/>
      </w:pPr>
    </w:p>
  </w:footnote>
  <w:footnote w:id="23">
    <w:p w:rsidR="0035343C" w:rsidRDefault="0035343C">
      <w:pPr>
        <w:pStyle w:val="Textpoznpodarou"/>
      </w:pPr>
      <w:r w:rsidRPr="00532416">
        <w:rPr>
          <w:rFonts w:ascii="Arial" w:hAnsi="Arial" w:cs="Arial"/>
          <w:color w:val="000000"/>
          <w:sz w:val="14"/>
          <w:szCs w:val="14"/>
        </w:rPr>
        <w:footnoteRef/>
      </w:r>
      <w:r w:rsidRPr="00532416">
        <w:rPr>
          <w:rFonts w:ascii="Arial" w:hAnsi="Arial" w:cs="Arial"/>
          <w:color w:val="000000"/>
          <w:sz w:val="14"/>
          <w:szCs w:val="14"/>
        </w:rPr>
        <w:t xml:space="preserve"> V případě projektových partnerů programu Interreg DANUBE, vzhledem k absenci monitorovacího systému, bude postup předkládání zprávy o průběhu projektu a výdajů ke kontrole spec</w:t>
      </w:r>
      <w:r w:rsidRPr="00C93CD4">
        <w:rPr>
          <w:rFonts w:ascii="Arial" w:hAnsi="Arial" w:cs="Arial"/>
          <w:color w:val="000000"/>
          <w:sz w:val="14"/>
          <w:szCs w:val="14"/>
        </w:rPr>
        <w:t xml:space="preserve">ifikován později podle pokynů </w:t>
      </w:r>
      <w:r>
        <w:rPr>
          <w:rFonts w:ascii="Arial" w:hAnsi="Arial" w:cs="Arial"/>
          <w:color w:val="000000"/>
          <w:sz w:val="14"/>
          <w:szCs w:val="14"/>
        </w:rPr>
        <w:t>ŘO</w:t>
      </w:r>
      <w:r w:rsidRPr="00C93CD4">
        <w:rPr>
          <w:rFonts w:ascii="Arial" w:hAnsi="Arial" w:cs="Arial"/>
          <w:color w:val="000000"/>
          <w:sz w:val="14"/>
          <w:szCs w:val="14"/>
        </w:rPr>
        <w:t>/</w:t>
      </w:r>
      <w:r>
        <w:rPr>
          <w:rFonts w:ascii="Arial" w:hAnsi="Arial" w:cs="Arial"/>
          <w:color w:val="000000"/>
          <w:sz w:val="14"/>
          <w:szCs w:val="14"/>
        </w:rPr>
        <w:t>sekretariátu</w:t>
      </w:r>
      <w:r w:rsidRPr="00532416">
        <w:rPr>
          <w:rFonts w:ascii="Arial" w:hAnsi="Arial" w:cs="Arial"/>
          <w:color w:val="000000"/>
          <w:sz w:val="14"/>
          <w:szCs w:val="14"/>
        </w:rPr>
        <w:t>.</w:t>
      </w:r>
    </w:p>
  </w:footnote>
  <w:footnote w:id="24">
    <w:p w:rsidR="0035343C" w:rsidRDefault="0035343C" w:rsidP="00DD6258">
      <w:pPr>
        <w:pStyle w:val="Textpoznpodarou"/>
      </w:pPr>
      <w:r w:rsidRPr="0025478A">
        <w:rPr>
          <w:rStyle w:val="Znakapoznpodarou"/>
        </w:rPr>
        <w:footnoteRef/>
      </w:r>
      <w:r w:rsidRPr="0025478A">
        <w:t xml:space="preserve"> Zpráva může být po dohodě s pobočkou předložena též v angličtině a na jiném formuláři, který používá projektový partner pro podávání zpráv vedoucímu partnerovi. </w:t>
      </w:r>
      <w:r w:rsidRPr="0025478A">
        <w:rPr>
          <w:b/>
        </w:rPr>
        <w:t xml:space="preserve">V TOMTO PŘÍPADĚ VŠAK MUSÍ SPLŇOVAT VŠECHNY NÁLEŽITOSI STANOVENÉ </w:t>
      </w:r>
      <w:r>
        <w:rPr>
          <w:b/>
        </w:rPr>
        <w:t>CENTREM</w:t>
      </w:r>
      <w:r w:rsidRPr="0025478A">
        <w:rPr>
          <w:b/>
        </w:rPr>
        <w:t xml:space="preserve">, RESP. MUSÍ BÝT O CHYBĚJÍCÍ DOPLNĚNA. TENTO POSTUP VŽDY KONSULTUJTE S PRACOVNÍKY POBOČKY </w:t>
      </w:r>
      <w:r>
        <w:rPr>
          <w:b/>
        </w:rPr>
        <w:t>CENTRA</w:t>
      </w:r>
      <w:r w:rsidRPr="0025478A">
        <w:rPr>
          <w:b/>
        </w:rPr>
        <w:t>.</w:t>
      </w:r>
    </w:p>
  </w:footnote>
  <w:footnote w:id="25">
    <w:p w:rsidR="0035343C" w:rsidRDefault="0035343C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eMS najdete na tomto odkazu: </w:t>
      </w:r>
      <w:hyperlink r:id="rId1" w:history="1">
        <w:r w:rsidRPr="00D61F76">
          <w:rPr>
            <w:rStyle w:val="Hypertextovodkaz"/>
          </w:rPr>
          <w:t>https://ems.interreg-central.eu/app/main?execution=e1s1</w:t>
        </w:r>
      </w:hyperlink>
      <w:r>
        <w:t xml:space="preserve"> </w:t>
      </w:r>
    </w:p>
  </w:footnote>
  <w:footnote w:id="26">
    <w:p w:rsidR="0035343C" w:rsidRDefault="0035343C">
      <w:pPr>
        <w:pStyle w:val="Textpoznpodarou"/>
      </w:pPr>
      <w:r>
        <w:rPr>
          <w:rStyle w:val="Znakapoznpodarou"/>
        </w:rPr>
        <w:footnoteRef/>
      </w:r>
      <w:r>
        <w:t xml:space="preserve"> Offline verze Partner report je součástí Pokynů jako příloha č. 9 a má pouze informativní charakter. Partner report musí být vyplněna v systému eMS. </w:t>
      </w:r>
    </w:p>
  </w:footnote>
  <w:footnote w:id="27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Viz odrážka č. 2.2</w:t>
      </w:r>
    </w:p>
  </w:footnote>
  <w:footnote w:id="28">
    <w:p w:rsidR="0035343C" w:rsidRDefault="0035343C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29">
    <w:p w:rsidR="0035343C" w:rsidRDefault="0035343C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90BDF"/>
    <w:multiLevelType w:val="multilevel"/>
    <w:tmpl w:val="AB00AB56"/>
    <w:numStyleLink w:val="Aufzhlung"/>
  </w:abstractNum>
  <w:abstractNum w:abstractNumId="6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E77EB"/>
    <w:multiLevelType w:val="multilevel"/>
    <w:tmpl w:val="90404EA4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3A37FC"/>
    <w:multiLevelType w:val="hybridMultilevel"/>
    <w:tmpl w:val="38C8E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C6208"/>
    <w:multiLevelType w:val="multilevel"/>
    <w:tmpl w:val="3F5C012C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DE6CE3"/>
    <w:multiLevelType w:val="multilevel"/>
    <w:tmpl w:val="97307F76"/>
    <w:lvl w:ilvl="0">
      <w:start w:val="7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83148CA"/>
    <w:multiLevelType w:val="hybridMultilevel"/>
    <w:tmpl w:val="7A8E1EBC"/>
    <w:lvl w:ilvl="0" w:tplc="070E0AAA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57673F"/>
    <w:multiLevelType w:val="hybridMultilevel"/>
    <w:tmpl w:val="30A200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F3FE3"/>
    <w:multiLevelType w:val="hybridMultilevel"/>
    <w:tmpl w:val="356E2DA2"/>
    <w:lvl w:ilvl="0" w:tplc="C77C64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D1F6BA9"/>
    <w:multiLevelType w:val="hybridMultilevel"/>
    <w:tmpl w:val="A8289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44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A97611"/>
    <w:multiLevelType w:val="hybridMultilevel"/>
    <w:tmpl w:val="715E88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B150EF"/>
    <w:multiLevelType w:val="hybridMultilevel"/>
    <w:tmpl w:val="CC3C92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0E3097"/>
    <w:multiLevelType w:val="multilevel"/>
    <w:tmpl w:val="FA486338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553FC4"/>
    <w:multiLevelType w:val="multilevel"/>
    <w:tmpl w:val="6C62778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54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9"/>
  </w:num>
  <w:num w:numId="4">
    <w:abstractNumId w:val="29"/>
  </w:num>
  <w:num w:numId="5">
    <w:abstractNumId w:val="33"/>
  </w:num>
  <w:num w:numId="6">
    <w:abstractNumId w:val="47"/>
  </w:num>
  <w:num w:numId="7">
    <w:abstractNumId w:val="15"/>
  </w:num>
  <w:num w:numId="8">
    <w:abstractNumId w:val="13"/>
  </w:num>
  <w:num w:numId="9">
    <w:abstractNumId w:val="26"/>
  </w:num>
  <w:num w:numId="10">
    <w:abstractNumId w:val="37"/>
  </w:num>
  <w:num w:numId="11">
    <w:abstractNumId w:val="10"/>
  </w:num>
  <w:num w:numId="12">
    <w:abstractNumId w:val="27"/>
  </w:num>
  <w:num w:numId="13">
    <w:abstractNumId w:val="4"/>
  </w:num>
  <w:num w:numId="14">
    <w:abstractNumId w:val="51"/>
  </w:num>
  <w:num w:numId="15">
    <w:abstractNumId w:val="43"/>
  </w:num>
  <w:num w:numId="16">
    <w:abstractNumId w:val="24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  <w:num w:numId="21">
    <w:abstractNumId w:val="44"/>
  </w:num>
  <w:num w:numId="22">
    <w:abstractNumId w:val="41"/>
  </w:num>
  <w:num w:numId="23">
    <w:abstractNumId w:val="23"/>
  </w:num>
  <w:num w:numId="24">
    <w:abstractNumId w:val="20"/>
  </w:num>
  <w:num w:numId="25">
    <w:abstractNumId w:val="36"/>
  </w:num>
  <w:num w:numId="26">
    <w:abstractNumId w:val="39"/>
  </w:num>
  <w:num w:numId="27">
    <w:abstractNumId w:val="2"/>
  </w:num>
  <w:num w:numId="28">
    <w:abstractNumId w:val="9"/>
  </w:num>
  <w:num w:numId="29">
    <w:abstractNumId w:val="8"/>
  </w:num>
  <w:num w:numId="30">
    <w:abstractNumId w:val="40"/>
  </w:num>
  <w:num w:numId="31">
    <w:abstractNumId w:val="0"/>
  </w:num>
  <w:num w:numId="32">
    <w:abstractNumId w:val="53"/>
  </w:num>
  <w:num w:numId="33">
    <w:abstractNumId w:val="54"/>
  </w:num>
  <w:num w:numId="34">
    <w:abstractNumId w:val="28"/>
  </w:num>
  <w:num w:numId="35">
    <w:abstractNumId w:val="1"/>
  </w:num>
  <w:num w:numId="36">
    <w:abstractNumId w:val="32"/>
  </w:num>
  <w:num w:numId="37">
    <w:abstractNumId w:val="35"/>
  </w:num>
  <w:num w:numId="38">
    <w:abstractNumId w:val="52"/>
  </w:num>
  <w:num w:numId="39">
    <w:abstractNumId w:val="48"/>
  </w:num>
  <w:num w:numId="40">
    <w:abstractNumId w:val="30"/>
  </w:num>
  <w:num w:numId="41">
    <w:abstractNumId w:val="42"/>
  </w:num>
  <w:num w:numId="42">
    <w:abstractNumId w:val="25"/>
  </w:num>
  <w:num w:numId="43">
    <w:abstractNumId w:val="45"/>
  </w:num>
  <w:num w:numId="44">
    <w:abstractNumId w:val="46"/>
  </w:num>
  <w:num w:numId="45">
    <w:abstractNumId w:val="38"/>
  </w:num>
  <w:num w:numId="46">
    <w:abstractNumId w:val="31"/>
  </w:num>
  <w:num w:numId="47">
    <w:abstractNumId w:val="50"/>
  </w:num>
  <w:num w:numId="48">
    <w:abstractNumId w:val="12"/>
  </w:num>
  <w:num w:numId="49">
    <w:abstractNumId w:val="11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6"/>
  </w:num>
  <w:num w:numId="52">
    <w:abstractNumId w:val="49"/>
  </w:num>
  <w:num w:numId="53">
    <w:abstractNumId w:val="22"/>
  </w:num>
  <w:num w:numId="54">
    <w:abstractNumId w:val="21"/>
  </w:num>
  <w:num w:numId="55">
    <w:abstractNumId w:val="6"/>
  </w:num>
  <w:num w:numId="56">
    <w:abstractNumId w:val="15"/>
    <w:lvlOverride w:ilvl="0">
      <w:startOverride w:val="8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8"/>
    <w:rsid w:val="0000154D"/>
    <w:rsid w:val="0000170E"/>
    <w:rsid w:val="00002AF7"/>
    <w:rsid w:val="00004E6B"/>
    <w:rsid w:val="0000752E"/>
    <w:rsid w:val="00011164"/>
    <w:rsid w:val="0001266F"/>
    <w:rsid w:val="00013912"/>
    <w:rsid w:val="00016FD9"/>
    <w:rsid w:val="00024D55"/>
    <w:rsid w:val="00025BD3"/>
    <w:rsid w:val="000355EA"/>
    <w:rsid w:val="000411F5"/>
    <w:rsid w:val="00047B2E"/>
    <w:rsid w:val="00056D7F"/>
    <w:rsid w:val="00060351"/>
    <w:rsid w:val="0008427B"/>
    <w:rsid w:val="000875BA"/>
    <w:rsid w:val="000907C3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D1943"/>
    <w:rsid w:val="000E04DE"/>
    <w:rsid w:val="000E1231"/>
    <w:rsid w:val="00102894"/>
    <w:rsid w:val="00110B08"/>
    <w:rsid w:val="001126E3"/>
    <w:rsid w:val="00115A7E"/>
    <w:rsid w:val="00116B0B"/>
    <w:rsid w:val="00120601"/>
    <w:rsid w:val="0012747A"/>
    <w:rsid w:val="00132837"/>
    <w:rsid w:val="00133BFE"/>
    <w:rsid w:val="001508F4"/>
    <w:rsid w:val="0015138F"/>
    <w:rsid w:val="001609AD"/>
    <w:rsid w:val="00163843"/>
    <w:rsid w:val="00163E0F"/>
    <w:rsid w:val="0016667E"/>
    <w:rsid w:val="00171683"/>
    <w:rsid w:val="00171DBD"/>
    <w:rsid w:val="00173265"/>
    <w:rsid w:val="00177D0E"/>
    <w:rsid w:val="0018560D"/>
    <w:rsid w:val="001936EF"/>
    <w:rsid w:val="001964D2"/>
    <w:rsid w:val="001A0892"/>
    <w:rsid w:val="001A1E8C"/>
    <w:rsid w:val="001B4C40"/>
    <w:rsid w:val="001C2B06"/>
    <w:rsid w:val="001D1D36"/>
    <w:rsid w:val="001F31E2"/>
    <w:rsid w:val="001F4A9E"/>
    <w:rsid w:val="00200046"/>
    <w:rsid w:val="0020456C"/>
    <w:rsid w:val="00207C87"/>
    <w:rsid w:val="00212CEF"/>
    <w:rsid w:val="0021461A"/>
    <w:rsid w:val="00222F2F"/>
    <w:rsid w:val="0022316B"/>
    <w:rsid w:val="0022696C"/>
    <w:rsid w:val="00234128"/>
    <w:rsid w:val="00234289"/>
    <w:rsid w:val="00234901"/>
    <w:rsid w:val="002363D0"/>
    <w:rsid w:val="00243544"/>
    <w:rsid w:val="00260076"/>
    <w:rsid w:val="00264E2B"/>
    <w:rsid w:val="00265BB9"/>
    <w:rsid w:val="00267CA6"/>
    <w:rsid w:val="00274096"/>
    <w:rsid w:val="0027734F"/>
    <w:rsid w:val="0027765C"/>
    <w:rsid w:val="00285199"/>
    <w:rsid w:val="00286C98"/>
    <w:rsid w:val="00287378"/>
    <w:rsid w:val="0029227B"/>
    <w:rsid w:val="0029695C"/>
    <w:rsid w:val="002A26CA"/>
    <w:rsid w:val="002A7674"/>
    <w:rsid w:val="002B3C5E"/>
    <w:rsid w:val="002B6531"/>
    <w:rsid w:val="002B7293"/>
    <w:rsid w:val="002C453B"/>
    <w:rsid w:val="002E3A3B"/>
    <w:rsid w:val="002E7A1F"/>
    <w:rsid w:val="002F6D60"/>
    <w:rsid w:val="00303EAC"/>
    <w:rsid w:val="0031532C"/>
    <w:rsid w:val="00315D29"/>
    <w:rsid w:val="003217A0"/>
    <w:rsid w:val="00332FC5"/>
    <w:rsid w:val="0033481E"/>
    <w:rsid w:val="003520BF"/>
    <w:rsid w:val="0035343C"/>
    <w:rsid w:val="003544EC"/>
    <w:rsid w:val="0035662C"/>
    <w:rsid w:val="00371138"/>
    <w:rsid w:val="003748E9"/>
    <w:rsid w:val="003820AB"/>
    <w:rsid w:val="00384D4E"/>
    <w:rsid w:val="0038544F"/>
    <w:rsid w:val="003913FB"/>
    <w:rsid w:val="003930B3"/>
    <w:rsid w:val="003A2E6F"/>
    <w:rsid w:val="003B36E2"/>
    <w:rsid w:val="003C3981"/>
    <w:rsid w:val="003C5EEC"/>
    <w:rsid w:val="003D3CE0"/>
    <w:rsid w:val="003D4DEF"/>
    <w:rsid w:val="003D7434"/>
    <w:rsid w:val="003E1042"/>
    <w:rsid w:val="003E51B2"/>
    <w:rsid w:val="003E5BF7"/>
    <w:rsid w:val="003E5E1E"/>
    <w:rsid w:val="003F0A4B"/>
    <w:rsid w:val="00400EA0"/>
    <w:rsid w:val="00416386"/>
    <w:rsid w:val="0042467C"/>
    <w:rsid w:val="004302A6"/>
    <w:rsid w:val="00430D33"/>
    <w:rsid w:val="00442484"/>
    <w:rsid w:val="0044723C"/>
    <w:rsid w:val="00450ED7"/>
    <w:rsid w:val="00452C55"/>
    <w:rsid w:val="00455E1A"/>
    <w:rsid w:val="00456383"/>
    <w:rsid w:val="0045763E"/>
    <w:rsid w:val="004670E0"/>
    <w:rsid w:val="00474377"/>
    <w:rsid w:val="00493276"/>
    <w:rsid w:val="004B088B"/>
    <w:rsid w:val="004B1B3D"/>
    <w:rsid w:val="004B1F59"/>
    <w:rsid w:val="004C0D52"/>
    <w:rsid w:val="004C64C6"/>
    <w:rsid w:val="004D2371"/>
    <w:rsid w:val="004D7531"/>
    <w:rsid w:val="004E146F"/>
    <w:rsid w:val="004F6DA1"/>
    <w:rsid w:val="00500EBC"/>
    <w:rsid w:val="00502637"/>
    <w:rsid w:val="005028B7"/>
    <w:rsid w:val="00505376"/>
    <w:rsid w:val="0050568D"/>
    <w:rsid w:val="00505AC0"/>
    <w:rsid w:val="00507BEB"/>
    <w:rsid w:val="00512575"/>
    <w:rsid w:val="00512A15"/>
    <w:rsid w:val="00531974"/>
    <w:rsid w:val="00532416"/>
    <w:rsid w:val="00534FC4"/>
    <w:rsid w:val="00537284"/>
    <w:rsid w:val="00541AA7"/>
    <w:rsid w:val="00550A06"/>
    <w:rsid w:val="005533A3"/>
    <w:rsid w:val="005538BC"/>
    <w:rsid w:val="00557E04"/>
    <w:rsid w:val="00565AAB"/>
    <w:rsid w:val="00567B2B"/>
    <w:rsid w:val="0058259D"/>
    <w:rsid w:val="00582964"/>
    <w:rsid w:val="005A05E4"/>
    <w:rsid w:val="005B279E"/>
    <w:rsid w:val="005B3CA5"/>
    <w:rsid w:val="005B3F0C"/>
    <w:rsid w:val="005C0C9B"/>
    <w:rsid w:val="005C1C77"/>
    <w:rsid w:val="005C6D12"/>
    <w:rsid w:val="005D22B5"/>
    <w:rsid w:val="005D2A04"/>
    <w:rsid w:val="005D2CFA"/>
    <w:rsid w:val="005E2365"/>
    <w:rsid w:val="006003F5"/>
    <w:rsid w:val="00602D3B"/>
    <w:rsid w:val="006055A4"/>
    <w:rsid w:val="006061FA"/>
    <w:rsid w:val="0060792C"/>
    <w:rsid w:val="00613518"/>
    <w:rsid w:val="006261BE"/>
    <w:rsid w:val="00627004"/>
    <w:rsid w:val="006405D4"/>
    <w:rsid w:val="0064129E"/>
    <w:rsid w:val="0064415B"/>
    <w:rsid w:val="00644F4C"/>
    <w:rsid w:val="00653607"/>
    <w:rsid w:val="0065639B"/>
    <w:rsid w:val="00657F91"/>
    <w:rsid w:val="006605B8"/>
    <w:rsid w:val="0066116B"/>
    <w:rsid w:val="00662BFC"/>
    <w:rsid w:val="00664244"/>
    <w:rsid w:val="00674302"/>
    <w:rsid w:val="00675464"/>
    <w:rsid w:val="006762F9"/>
    <w:rsid w:val="0068490D"/>
    <w:rsid w:val="006870B1"/>
    <w:rsid w:val="006962FF"/>
    <w:rsid w:val="006B0E32"/>
    <w:rsid w:val="006B606B"/>
    <w:rsid w:val="006B6B4B"/>
    <w:rsid w:val="006C31DA"/>
    <w:rsid w:val="006C4129"/>
    <w:rsid w:val="006C5576"/>
    <w:rsid w:val="006D1535"/>
    <w:rsid w:val="006D2265"/>
    <w:rsid w:val="006D4345"/>
    <w:rsid w:val="006D5EEC"/>
    <w:rsid w:val="006D68C9"/>
    <w:rsid w:val="006E04A6"/>
    <w:rsid w:val="006E0B7F"/>
    <w:rsid w:val="006F60C3"/>
    <w:rsid w:val="0070073E"/>
    <w:rsid w:val="007014F9"/>
    <w:rsid w:val="00704F6F"/>
    <w:rsid w:val="0071602F"/>
    <w:rsid w:val="00717D18"/>
    <w:rsid w:val="00725383"/>
    <w:rsid w:val="00725A14"/>
    <w:rsid w:val="00727B4B"/>
    <w:rsid w:val="00733506"/>
    <w:rsid w:val="00737365"/>
    <w:rsid w:val="0074039F"/>
    <w:rsid w:val="0074125A"/>
    <w:rsid w:val="00743272"/>
    <w:rsid w:val="007434E5"/>
    <w:rsid w:val="00745A75"/>
    <w:rsid w:val="00746956"/>
    <w:rsid w:val="00746BA9"/>
    <w:rsid w:val="00750B6F"/>
    <w:rsid w:val="007611FE"/>
    <w:rsid w:val="0076145E"/>
    <w:rsid w:val="00765901"/>
    <w:rsid w:val="00780935"/>
    <w:rsid w:val="00781B5C"/>
    <w:rsid w:val="00791022"/>
    <w:rsid w:val="00793AC8"/>
    <w:rsid w:val="007A7D60"/>
    <w:rsid w:val="007B1F0F"/>
    <w:rsid w:val="007B350F"/>
    <w:rsid w:val="007B36B0"/>
    <w:rsid w:val="007D113B"/>
    <w:rsid w:val="007D17DA"/>
    <w:rsid w:val="007D5D93"/>
    <w:rsid w:val="007F68AD"/>
    <w:rsid w:val="00802A64"/>
    <w:rsid w:val="008040ED"/>
    <w:rsid w:val="008045F0"/>
    <w:rsid w:val="00811EF4"/>
    <w:rsid w:val="008142AC"/>
    <w:rsid w:val="008235BF"/>
    <w:rsid w:val="0082457B"/>
    <w:rsid w:val="00826A51"/>
    <w:rsid w:val="00826BDB"/>
    <w:rsid w:val="008273F4"/>
    <w:rsid w:val="0083743C"/>
    <w:rsid w:val="00837E80"/>
    <w:rsid w:val="0084260D"/>
    <w:rsid w:val="00844C68"/>
    <w:rsid w:val="00852AC7"/>
    <w:rsid w:val="00857F13"/>
    <w:rsid w:val="00863480"/>
    <w:rsid w:val="00864119"/>
    <w:rsid w:val="008661DE"/>
    <w:rsid w:val="0086713F"/>
    <w:rsid w:val="00872264"/>
    <w:rsid w:val="00875BD3"/>
    <w:rsid w:val="00887F85"/>
    <w:rsid w:val="00891762"/>
    <w:rsid w:val="00891FD5"/>
    <w:rsid w:val="008931F5"/>
    <w:rsid w:val="00893BA7"/>
    <w:rsid w:val="008A2FBB"/>
    <w:rsid w:val="008B021B"/>
    <w:rsid w:val="008E0B32"/>
    <w:rsid w:val="008E64BD"/>
    <w:rsid w:val="008E6CF1"/>
    <w:rsid w:val="008F2C97"/>
    <w:rsid w:val="008F402D"/>
    <w:rsid w:val="008F515F"/>
    <w:rsid w:val="009200D2"/>
    <w:rsid w:val="00920C9E"/>
    <w:rsid w:val="0092707F"/>
    <w:rsid w:val="00933BCC"/>
    <w:rsid w:val="009409AD"/>
    <w:rsid w:val="00943C2E"/>
    <w:rsid w:val="00944A8E"/>
    <w:rsid w:val="00952248"/>
    <w:rsid w:val="0095274A"/>
    <w:rsid w:val="00957FDB"/>
    <w:rsid w:val="00961E4A"/>
    <w:rsid w:val="009647E6"/>
    <w:rsid w:val="0096601E"/>
    <w:rsid w:val="00975344"/>
    <w:rsid w:val="00984FCF"/>
    <w:rsid w:val="00986E2B"/>
    <w:rsid w:val="009875BB"/>
    <w:rsid w:val="009A3A2A"/>
    <w:rsid w:val="009A4D8D"/>
    <w:rsid w:val="009C17FC"/>
    <w:rsid w:val="009C4EDB"/>
    <w:rsid w:val="009C6CD6"/>
    <w:rsid w:val="009D016A"/>
    <w:rsid w:val="009D3DF0"/>
    <w:rsid w:val="009D6716"/>
    <w:rsid w:val="009E154F"/>
    <w:rsid w:val="009E291E"/>
    <w:rsid w:val="009E61F1"/>
    <w:rsid w:val="009E6549"/>
    <w:rsid w:val="00A04D67"/>
    <w:rsid w:val="00A071FE"/>
    <w:rsid w:val="00A2029E"/>
    <w:rsid w:val="00A22180"/>
    <w:rsid w:val="00A33434"/>
    <w:rsid w:val="00A34AFB"/>
    <w:rsid w:val="00A35F0D"/>
    <w:rsid w:val="00A46567"/>
    <w:rsid w:val="00A52EF8"/>
    <w:rsid w:val="00A651B5"/>
    <w:rsid w:val="00A87087"/>
    <w:rsid w:val="00A87E21"/>
    <w:rsid w:val="00A92064"/>
    <w:rsid w:val="00A935C5"/>
    <w:rsid w:val="00A93B6E"/>
    <w:rsid w:val="00AA015B"/>
    <w:rsid w:val="00AA6E19"/>
    <w:rsid w:val="00AB4B97"/>
    <w:rsid w:val="00AB623E"/>
    <w:rsid w:val="00AC22C5"/>
    <w:rsid w:val="00AD026D"/>
    <w:rsid w:val="00AD3249"/>
    <w:rsid w:val="00AF5E19"/>
    <w:rsid w:val="00AF7EB9"/>
    <w:rsid w:val="00B02AE5"/>
    <w:rsid w:val="00B11745"/>
    <w:rsid w:val="00B12749"/>
    <w:rsid w:val="00B16703"/>
    <w:rsid w:val="00B26DD5"/>
    <w:rsid w:val="00B31E5C"/>
    <w:rsid w:val="00B35F64"/>
    <w:rsid w:val="00B40853"/>
    <w:rsid w:val="00B51990"/>
    <w:rsid w:val="00B52F61"/>
    <w:rsid w:val="00B5538E"/>
    <w:rsid w:val="00B555C7"/>
    <w:rsid w:val="00B66643"/>
    <w:rsid w:val="00B765E0"/>
    <w:rsid w:val="00B85C14"/>
    <w:rsid w:val="00B87C00"/>
    <w:rsid w:val="00B953D1"/>
    <w:rsid w:val="00BA195E"/>
    <w:rsid w:val="00BC3DEE"/>
    <w:rsid w:val="00BD1AAB"/>
    <w:rsid w:val="00BD5BAA"/>
    <w:rsid w:val="00BD72E1"/>
    <w:rsid w:val="00BE62F8"/>
    <w:rsid w:val="00BE77B3"/>
    <w:rsid w:val="00BF1FAE"/>
    <w:rsid w:val="00BF2E62"/>
    <w:rsid w:val="00C078EB"/>
    <w:rsid w:val="00C15DBF"/>
    <w:rsid w:val="00C16A72"/>
    <w:rsid w:val="00C16B06"/>
    <w:rsid w:val="00C17BCE"/>
    <w:rsid w:val="00C21691"/>
    <w:rsid w:val="00C247FD"/>
    <w:rsid w:val="00C307C9"/>
    <w:rsid w:val="00C35DD3"/>
    <w:rsid w:val="00C419C9"/>
    <w:rsid w:val="00C52C6C"/>
    <w:rsid w:val="00C55A11"/>
    <w:rsid w:val="00C67AA6"/>
    <w:rsid w:val="00C80B2F"/>
    <w:rsid w:val="00C83F64"/>
    <w:rsid w:val="00C87917"/>
    <w:rsid w:val="00C93CD4"/>
    <w:rsid w:val="00CA4048"/>
    <w:rsid w:val="00CA60E5"/>
    <w:rsid w:val="00CC1821"/>
    <w:rsid w:val="00CC63E2"/>
    <w:rsid w:val="00CC6A24"/>
    <w:rsid w:val="00CC6C47"/>
    <w:rsid w:val="00CC70E5"/>
    <w:rsid w:val="00CD3979"/>
    <w:rsid w:val="00CD60E5"/>
    <w:rsid w:val="00CD6F61"/>
    <w:rsid w:val="00CE45E8"/>
    <w:rsid w:val="00CF2568"/>
    <w:rsid w:val="00CF559C"/>
    <w:rsid w:val="00CF7FCD"/>
    <w:rsid w:val="00D015DC"/>
    <w:rsid w:val="00D021B0"/>
    <w:rsid w:val="00D058C9"/>
    <w:rsid w:val="00D06524"/>
    <w:rsid w:val="00D11BB7"/>
    <w:rsid w:val="00D24CA4"/>
    <w:rsid w:val="00D26217"/>
    <w:rsid w:val="00D3286B"/>
    <w:rsid w:val="00D40344"/>
    <w:rsid w:val="00D475BB"/>
    <w:rsid w:val="00D54979"/>
    <w:rsid w:val="00D573F0"/>
    <w:rsid w:val="00D61251"/>
    <w:rsid w:val="00D716C6"/>
    <w:rsid w:val="00D7228E"/>
    <w:rsid w:val="00D7368C"/>
    <w:rsid w:val="00D9016C"/>
    <w:rsid w:val="00D92ECF"/>
    <w:rsid w:val="00D94D86"/>
    <w:rsid w:val="00D9539F"/>
    <w:rsid w:val="00D960A2"/>
    <w:rsid w:val="00D973F6"/>
    <w:rsid w:val="00DA1C2C"/>
    <w:rsid w:val="00DA68C3"/>
    <w:rsid w:val="00DC301E"/>
    <w:rsid w:val="00DC3449"/>
    <w:rsid w:val="00DD34F1"/>
    <w:rsid w:val="00DD60C1"/>
    <w:rsid w:val="00DD6258"/>
    <w:rsid w:val="00DE09D2"/>
    <w:rsid w:val="00DE716D"/>
    <w:rsid w:val="00DF5391"/>
    <w:rsid w:val="00DF5494"/>
    <w:rsid w:val="00DF6313"/>
    <w:rsid w:val="00E001AA"/>
    <w:rsid w:val="00E126DE"/>
    <w:rsid w:val="00E137FE"/>
    <w:rsid w:val="00E31EFC"/>
    <w:rsid w:val="00E363DE"/>
    <w:rsid w:val="00E36581"/>
    <w:rsid w:val="00E37ACD"/>
    <w:rsid w:val="00E4447A"/>
    <w:rsid w:val="00E46D40"/>
    <w:rsid w:val="00E527EF"/>
    <w:rsid w:val="00E55137"/>
    <w:rsid w:val="00E63107"/>
    <w:rsid w:val="00E660EE"/>
    <w:rsid w:val="00E73ADE"/>
    <w:rsid w:val="00E74355"/>
    <w:rsid w:val="00E74FAB"/>
    <w:rsid w:val="00E86081"/>
    <w:rsid w:val="00E87F70"/>
    <w:rsid w:val="00E936B1"/>
    <w:rsid w:val="00E9559C"/>
    <w:rsid w:val="00E97461"/>
    <w:rsid w:val="00EA4AF8"/>
    <w:rsid w:val="00EB15FA"/>
    <w:rsid w:val="00EB2022"/>
    <w:rsid w:val="00EB31D4"/>
    <w:rsid w:val="00EB46DC"/>
    <w:rsid w:val="00EC06A7"/>
    <w:rsid w:val="00EC2066"/>
    <w:rsid w:val="00EC337A"/>
    <w:rsid w:val="00EC38B5"/>
    <w:rsid w:val="00EC52C9"/>
    <w:rsid w:val="00ED0851"/>
    <w:rsid w:val="00ED1328"/>
    <w:rsid w:val="00ED70D7"/>
    <w:rsid w:val="00ED7C33"/>
    <w:rsid w:val="00EE47F3"/>
    <w:rsid w:val="00EF11A2"/>
    <w:rsid w:val="00F00FFA"/>
    <w:rsid w:val="00F05DAA"/>
    <w:rsid w:val="00F11FEB"/>
    <w:rsid w:val="00F15AB7"/>
    <w:rsid w:val="00F16785"/>
    <w:rsid w:val="00F2237E"/>
    <w:rsid w:val="00F2335D"/>
    <w:rsid w:val="00F2732F"/>
    <w:rsid w:val="00F30181"/>
    <w:rsid w:val="00F32426"/>
    <w:rsid w:val="00F468D5"/>
    <w:rsid w:val="00F46D52"/>
    <w:rsid w:val="00F565EA"/>
    <w:rsid w:val="00F57027"/>
    <w:rsid w:val="00F657C0"/>
    <w:rsid w:val="00F71DB9"/>
    <w:rsid w:val="00F760B1"/>
    <w:rsid w:val="00FA0910"/>
    <w:rsid w:val="00FA0FB0"/>
    <w:rsid w:val="00FA50B9"/>
    <w:rsid w:val="00FB27DF"/>
    <w:rsid w:val="00FC12F8"/>
    <w:rsid w:val="00FC1FD9"/>
    <w:rsid w:val="00FD5E96"/>
    <w:rsid w:val="00FD6FB1"/>
    <w:rsid w:val="00FE2BAD"/>
    <w:rsid w:val="00FE34EA"/>
    <w:rsid w:val="00FE5A20"/>
    <w:rsid w:val="00FF25F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getmedia/7be05f88-01dc-46bc-96fd-fee5b45aac41/MP_zpusobile-vydaje-v4_cista.pdf?ext=.pdf" TargetMode="External"/><Relationship Id="rId18" Type="http://schemas.openxmlformats.org/officeDocument/2006/relationships/hyperlink" Target="http://www.interreg-central.eu/Content.Node/apply/Document_Overview.html" TargetMode="External"/><Relationship Id="rId26" Type="http://schemas.openxmlformats.org/officeDocument/2006/relationships/hyperlink" Target="http://www.crr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-central.eu/Content.Node/implement/Implementation_Document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erreg-danube.eu/relevant-documents/documents-for-project-implementation" TargetMode="External"/><Relationship Id="rId17" Type="http://schemas.openxmlformats.org/officeDocument/2006/relationships/hyperlink" Target="http://www.interreg-central.eu/Content.Node/implement/Implementation_Documents.html" TargetMode="External"/><Relationship Id="rId25" Type="http://schemas.openxmlformats.org/officeDocument/2006/relationships/hyperlink" Target="http://www.interreg-danube.e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erregeurope.eu/projects/project-development/" TargetMode="External"/><Relationship Id="rId20" Type="http://schemas.openxmlformats.org/officeDocument/2006/relationships/hyperlink" Target="http://www.interregeurope.eu/about-us/logo/" TargetMode="External"/><Relationship Id="rId29" Type="http://schemas.openxmlformats.org/officeDocument/2006/relationships/hyperlink" Target="http://www.crr.cz/cs/eus/mzdove-sazby-typovych-poz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-central.eu/Content.Node/apply/Document_Overview.html" TargetMode="External"/><Relationship Id="rId24" Type="http://schemas.openxmlformats.org/officeDocument/2006/relationships/hyperlink" Target="http://www.interreg-central.e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rr.cz/cs/eus/mzdove-sazby-typovych-pozic/" TargetMode="External"/><Relationship Id="rId23" Type="http://schemas.openxmlformats.org/officeDocument/2006/relationships/hyperlink" Target="http://www.interregeurope.eu" TargetMode="External"/><Relationship Id="rId28" Type="http://schemas.openxmlformats.org/officeDocument/2006/relationships/hyperlink" Target="http://www.crr.cz" TargetMode="External"/><Relationship Id="rId10" Type="http://schemas.openxmlformats.org/officeDocument/2006/relationships/hyperlink" Target="http://www.interreg-central.eu/Content.Node/implement/Implementation_Documents.html" TargetMode="External"/><Relationship Id="rId19" Type="http://schemas.openxmlformats.org/officeDocument/2006/relationships/hyperlink" Target="http://www.interreg-danube.eu/relevant-documents/documents-for-project-implementation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projects/project-development/" TargetMode="External"/><Relationship Id="rId14" Type="http://schemas.openxmlformats.org/officeDocument/2006/relationships/hyperlink" Target="http://www.dotaceeu.cz/getmedia/7be05f88-01dc-46bc-96fd-fee5b45aac41/MP_zpusobile-vydaje-v4_cista.pdf?ext=.pdf" TargetMode="External"/><Relationship Id="rId22" Type="http://schemas.openxmlformats.org/officeDocument/2006/relationships/hyperlink" Target="http://www.interreg-danube.eu/relevant-documents/documents-for-project-implementation" TargetMode="External"/><Relationship Id="rId27" Type="http://schemas.openxmlformats.org/officeDocument/2006/relationships/hyperlink" Target="http://www.crr.cz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s.interreg-central.eu/app/main?execution=e1s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4D77-FCFE-4C30-BF65-989310B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8872</Words>
  <Characters>52348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Pavel Lukeš</cp:lastModifiedBy>
  <cp:revision>2</cp:revision>
  <cp:lastPrinted>2016-03-24T07:18:00Z</cp:lastPrinted>
  <dcterms:created xsi:type="dcterms:W3CDTF">2017-02-28T14:47:00Z</dcterms:created>
  <dcterms:modified xsi:type="dcterms:W3CDTF">2017-02-28T14:47:00Z</dcterms:modified>
</cp:coreProperties>
</file>