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A1" w:rsidRDefault="00B83AF5" w:rsidP="00671D6D">
      <w:pPr>
        <w:jc w:val="center"/>
        <w:rPr>
          <w:rFonts w:cs="Arial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384CA1" w:rsidRDefault="00384CA1">
      <w:pPr>
        <w:jc w:val="both"/>
        <w:rPr>
          <w:rFonts w:cs="Arial"/>
        </w:rPr>
      </w:pPr>
    </w:p>
    <w:p w:rsidR="007F633F" w:rsidRDefault="00F11010" w:rsidP="00671E54">
      <w:pPr>
        <w:tabs>
          <w:tab w:val="left" w:pos="5760"/>
        </w:tabs>
        <w:jc w:val="both"/>
        <w:rPr>
          <w:rFonts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1258" wp14:editId="597085CC">
                <wp:simplePos x="0" y="0"/>
                <wp:positionH relativeFrom="column">
                  <wp:posOffset>-281305</wp:posOffset>
                </wp:positionH>
                <wp:positionV relativeFrom="paragraph">
                  <wp:posOffset>370205</wp:posOffset>
                </wp:positionV>
                <wp:extent cx="6170930" cy="7686675"/>
                <wp:effectExtent l="0" t="0" r="1270" b="952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930" cy="768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1EC" w:rsidRPr="00671E54" w:rsidRDefault="005B31EC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sz w:val="60"/>
                                <w:szCs w:val="60"/>
                              </w:rPr>
                            </w:pPr>
                            <w:r w:rsidRPr="00671E54">
                              <w:rPr>
                                <w:rFonts w:asciiTheme="majorHAnsi" w:hAnsiTheme="majorHAnsi" w:cs="MyriadPro-Black"/>
                                <w:caps/>
                                <w:sz w:val="60"/>
                                <w:szCs w:val="60"/>
                              </w:rPr>
                              <w:t xml:space="preserve">SPECIFICKÁ </w:t>
                            </w:r>
                            <w:r w:rsidRPr="00671E54">
                              <w:rPr>
                                <w:rFonts w:asciiTheme="majorHAnsi" w:hAnsiTheme="majorHAnsi" w:cs="MyriadPro-Black" w:hint="eastAsia"/>
                                <w:caps/>
                                <w:sz w:val="60"/>
                                <w:szCs w:val="60"/>
                              </w:rPr>
                              <w:t xml:space="preserve">PRAVIDLA PRO ŽADATELE a příjemce </w:t>
                            </w:r>
                          </w:p>
                          <w:p w:rsidR="005B31EC" w:rsidRPr="00671E54" w:rsidRDefault="005B31EC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5B31EC" w:rsidRPr="00671E54" w:rsidRDefault="005B31EC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SPECIFICKÝ CÍL 3.2</w:t>
                            </w:r>
                            <w:r w:rsidRPr="00671E54"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B31EC" w:rsidRDefault="005B31EC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</w:pPr>
                            <w:r w:rsidRPr="00F11010"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  <w:t>Zvyšování efektivity a transparentnosti veřejné správy prostřednictvím rozvoje využití a kvality systémů IKT</w:t>
                            </w:r>
                          </w:p>
                          <w:p w:rsidR="005B31EC" w:rsidRDefault="005B31EC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</w:pPr>
                          </w:p>
                          <w:p w:rsidR="005B31EC" w:rsidRPr="001E67FE" w:rsidRDefault="005B31EC" w:rsidP="000A1803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PRŮBĚŽNÁ </w:t>
                            </w:r>
                            <w:r w:rsidRPr="001E67FE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výzva č. 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  <w:p w:rsidR="005B31EC" w:rsidRDefault="005B31EC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  <w:t>e</w:t>
                            </w:r>
                            <w:r w:rsidRPr="000820C8"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  <w:t>LEGISLATIVA</w:t>
                            </w: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  <w:t xml:space="preserve"> a</w:t>
                            </w:r>
                            <w:r w:rsidRPr="000820C8"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  <w:t xml:space="preserve"> ESBÍRKA, NÁRODNÍ DIGITÁLNÍ ARCHIV</w:t>
                            </w:r>
                          </w:p>
                          <w:p w:rsidR="005B31EC" w:rsidRDefault="005B31EC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5B31EC" w:rsidRPr="00671E54" w:rsidRDefault="005B31EC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datum vyhlášení: 8. 12. 2015</w:t>
                            </w:r>
                          </w:p>
                          <w:p w:rsidR="005B31EC" w:rsidRDefault="005B31EC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  <w:r w:rsidRPr="00671E54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 xml:space="preserve">Datum zahájení </w:t>
                            </w:r>
                            <w:r w:rsidRPr="00671E54">
                              <w:rPr>
                                <w:rFonts w:asciiTheme="majorHAnsi" w:hAnsiTheme="majorHAnsi" w:cs="MyriadPro-Regular" w:hint="eastAsia"/>
                                <w:caps/>
                                <w:sz w:val="40"/>
                                <w:szCs w:val="40"/>
                              </w:rPr>
                              <w:t>příjmu</w:t>
                            </w: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 xml:space="preserve"> žádostí: 22. 12. 2015</w:t>
                            </w:r>
                          </w:p>
                          <w:p w:rsidR="005B31EC" w:rsidRDefault="005B31EC" w:rsidP="0096517E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6"/>
                                <w:szCs w:val="40"/>
                              </w:rPr>
                            </w:pPr>
                          </w:p>
                          <w:p w:rsidR="005B31EC" w:rsidRPr="00390495" w:rsidRDefault="005B31EC" w:rsidP="0096517E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6"/>
                                <w:szCs w:val="40"/>
                              </w:rPr>
                            </w:pPr>
                            <w:r w:rsidRPr="00390495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6"/>
                                <w:szCs w:val="40"/>
                              </w:rPr>
                              <w:t>VYDÁNÍ 1.0</w:t>
                            </w:r>
                          </w:p>
                          <w:p w:rsidR="005B31EC" w:rsidRPr="00390495" w:rsidRDefault="005B31EC" w:rsidP="0096517E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6"/>
                                <w:szCs w:val="40"/>
                              </w:rPr>
                            </w:pPr>
                            <w:r w:rsidRPr="00390495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6"/>
                                <w:szCs w:val="40"/>
                              </w:rPr>
                              <w:t xml:space="preserve">PLATNOST OD 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6"/>
                                <w:szCs w:val="40"/>
                              </w:rPr>
                              <w:t>8</w:t>
                            </w:r>
                            <w:r w:rsidRPr="00390495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6"/>
                                <w:szCs w:val="40"/>
                              </w:rPr>
                              <w:t>. 1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6"/>
                                <w:szCs w:val="40"/>
                              </w:rPr>
                              <w:t>2</w:t>
                            </w:r>
                            <w:r w:rsidRPr="00390495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6"/>
                                <w:szCs w:val="40"/>
                              </w:rPr>
                              <w:t>. 2015</w:t>
                            </w:r>
                          </w:p>
                          <w:p w:rsidR="005B31EC" w:rsidRPr="00671E54" w:rsidRDefault="005B31EC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2.15pt;margin-top:29.15pt;width:485.9pt;height:6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" stroked="f" strokeweight="0">
                <v:textbox>
                  <w:txbxContent>
                    <w:p w:rsidR="005B31EC" w:rsidRPr="00671E54" w:rsidRDefault="005B31EC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sz w:val="60"/>
                          <w:szCs w:val="60"/>
                        </w:rPr>
                      </w:pPr>
                      <w:r w:rsidRPr="00671E54">
                        <w:rPr>
                          <w:rFonts w:asciiTheme="majorHAnsi" w:hAnsiTheme="majorHAnsi" w:cs="MyriadPro-Black"/>
                          <w:caps/>
                          <w:sz w:val="60"/>
                          <w:szCs w:val="60"/>
                        </w:rPr>
                        <w:t xml:space="preserve">SPECIFICKÁ </w:t>
                      </w:r>
                      <w:r w:rsidRPr="00671E54">
                        <w:rPr>
                          <w:rFonts w:asciiTheme="majorHAnsi" w:hAnsiTheme="majorHAnsi" w:cs="MyriadPro-Black" w:hint="eastAsia"/>
                          <w:caps/>
                          <w:sz w:val="60"/>
                          <w:szCs w:val="60"/>
                        </w:rPr>
                        <w:t xml:space="preserve">PRAVIDLA PRO ŽADATELE a příjemce </w:t>
                      </w:r>
                    </w:p>
                    <w:p w:rsidR="005B31EC" w:rsidRPr="00671E54" w:rsidRDefault="005B31EC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sz w:val="40"/>
                          <w:szCs w:val="40"/>
                        </w:rPr>
                      </w:pPr>
                    </w:p>
                    <w:p w:rsidR="005B31EC" w:rsidRPr="00671E54" w:rsidRDefault="005B31EC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  <w:t>SPECIFICKÝ CÍL 3.2</w:t>
                      </w:r>
                      <w:r w:rsidRPr="00671E54"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B31EC" w:rsidRDefault="005B31EC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</w:pPr>
                      <w:r w:rsidRPr="00F11010"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  <w:t>Zvyšování efektivity a transparentnosti veřejné správy prostřednictvím rozvoje využití a kvality systémů IKT</w:t>
                      </w:r>
                    </w:p>
                    <w:p w:rsidR="005B31EC" w:rsidRDefault="005B31EC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</w:pPr>
                    </w:p>
                    <w:p w:rsidR="005B31EC" w:rsidRPr="001E67FE" w:rsidRDefault="005B31EC" w:rsidP="000A1803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 xml:space="preserve">PRŮBĚŽNÁ </w:t>
                      </w:r>
                      <w:r w:rsidRPr="001E67FE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 xml:space="preserve">výzva č. 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>17</w:t>
                      </w:r>
                    </w:p>
                    <w:p w:rsidR="005B31EC" w:rsidRDefault="005B31EC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  <w:t>e</w:t>
                      </w:r>
                      <w:r w:rsidRPr="000820C8"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  <w:t>LEGISLATIVA</w:t>
                      </w:r>
                      <w:r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  <w:t xml:space="preserve"> a</w:t>
                      </w:r>
                      <w:r w:rsidRPr="000820C8"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  <w:t xml:space="preserve"> ESBÍRKA, NÁRODNÍ DIGITÁLNÍ ARCHIV</w:t>
                      </w:r>
                    </w:p>
                    <w:p w:rsidR="005B31EC" w:rsidRDefault="005B31EC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</w:p>
                    <w:p w:rsidR="005B31EC" w:rsidRPr="00671E54" w:rsidRDefault="005B31EC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datum vyhlášení: 8. 12. 2015</w:t>
                      </w:r>
                    </w:p>
                    <w:p w:rsidR="005B31EC" w:rsidRDefault="005B31EC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  <w:r w:rsidRPr="00671E54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 xml:space="preserve">Datum zahájení </w:t>
                      </w:r>
                      <w:r w:rsidRPr="00671E54">
                        <w:rPr>
                          <w:rFonts w:asciiTheme="majorHAnsi" w:hAnsiTheme="majorHAnsi" w:cs="MyriadPro-Regular" w:hint="eastAsia"/>
                          <w:caps/>
                          <w:sz w:val="40"/>
                          <w:szCs w:val="40"/>
                        </w:rPr>
                        <w:t>příjmu</w:t>
                      </w:r>
                      <w:r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 xml:space="preserve"> žádostí: 22. 12. 2015</w:t>
                      </w:r>
                    </w:p>
                    <w:p w:rsidR="005B31EC" w:rsidRDefault="005B31EC" w:rsidP="0096517E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6"/>
                          <w:szCs w:val="40"/>
                        </w:rPr>
                      </w:pPr>
                    </w:p>
                    <w:p w:rsidR="005B31EC" w:rsidRPr="00390495" w:rsidRDefault="005B31EC" w:rsidP="0096517E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6"/>
                          <w:szCs w:val="40"/>
                        </w:rPr>
                      </w:pPr>
                      <w:r w:rsidRPr="00390495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6"/>
                          <w:szCs w:val="40"/>
                        </w:rPr>
                        <w:t>VYDÁNÍ 1.0</w:t>
                      </w:r>
                    </w:p>
                    <w:p w:rsidR="005B31EC" w:rsidRPr="00390495" w:rsidRDefault="005B31EC" w:rsidP="0096517E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6"/>
                          <w:szCs w:val="40"/>
                        </w:rPr>
                      </w:pPr>
                      <w:r w:rsidRPr="00390495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6"/>
                          <w:szCs w:val="40"/>
                        </w:rPr>
                        <w:t xml:space="preserve">PLATNOST OD 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6"/>
                          <w:szCs w:val="40"/>
                        </w:rPr>
                        <w:t>8</w:t>
                      </w:r>
                      <w:r w:rsidRPr="00390495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6"/>
                          <w:szCs w:val="40"/>
                        </w:rPr>
                        <w:t>. 1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6"/>
                          <w:szCs w:val="40"/>
                        </w:rPr>
                        <w:t>2</w:t>
                      </w:r>
                      <w:r w:rsidRPr="00390495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6"/>
                          <w:szCs w:val="40"/>
                        </w:rPr>
                        <w:t>. 2015</w:t>
                      </w:r>
                    </w:p>
                    <w:p w:rsidR="005B31EC" w:rsidRPr="00671E54" w:rsidRDefault="005B31EC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F633F" w:rsidRDefault="007F633F" w:rsidP="00671E54">
      <w:pPr>
        <w:tabs>
          <w:tab w:val="left" w:pos="5760"/>
        </w:tabs>
        <w:jc w:val="both"/>
        <w:rPr>
          <w:rFonts w:cs="Arial"/>
        </w:rPr>
      </w:pPr>
    </w:p>
    <w:p w:rsidR="007F633F" w:rsidRDefault="007F633F" w:rsidP="00671E54">
      <w:pPr>
        <w:tabs>
          <w:tab w:val="left" w:pos="5760"/>
        </w:tabs>
        <w:jc w:val="both"/>
        <w:rPr>
          <w:rFonts w:cs="Arial"/>
        </w:rPr>
      </w:pPr>
    </w:p>
    <w:p w:rsidR="007F633F" w:rsidRDefault="007F633F" w:rsidP="007F633F">
      <w:pPr>
        <w:tabs>
          <w:tab w:val="left" w:pos="2775"/>
        </w:tabs>
        <w:jc w:val="both"/>
        <w:rPr>
          <w:rFonts w:cs="Arial"/>
        </w:rPr>
      </w:pPr>
      <w:r>
        <w:rPr>
          <w:rFonts w:cs="Arial"/>
        </w:rPr>
        <w:tab/>
      </w:r>
    </w:p>
    <w:p w:rsidR="00384CA1" w:rsidRDefault="0001760C" w:rsidP="00512B0D">
      <w:pPr>
        <w:tabs>
          <w:tab w:val="left" w:pos="5760"/>
        </w:tabs>
        <w:jc w:val="both"/>
        <w:rPr>
          <w:rFonts w:cs="Arial"/>
        </w:rPr>
      </w:pPr>
      <w:r>
        <w:rPr>
          <w:rFonts w:cs="Arial"/>
        </w:rPr>
        <w:tab/>
      </w: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E131E7">
      <w:pPr>
        <w:tabs>
          <w:tab w:val="left" w:pos="2085"/>
        </w:tabs>
        <w:jc w:val="both"/>
        <w:rPr>
          <w:rFonts w:cs="Arial"/>
        </w:rPr>
      </w:pPr>
      <w:r>
        <w:rPr>
          <w:rFonts w:cs="Arial"/>
        </w:rPr>
        <w:t>Ministerstvo pro místní rozvoj ČR</w:t>
      </w:r>
    </w:p>
    <w:p w:rsidR="00384CA1" w:rsidRDefault="00E131E7">
      <w:pPr>
        <w:tabs>
          <w:tab w:val="left" w:pos="2085"/>
        </w:tabs>
        <w:jc w:val="both"/>
        <w:rPr>
          <w:rFonts w:cs="Arial"/>
        </w:rPr>
      </w:pPr>
      <w:r>
        <w:rPr>
          <w:rFonts w:cs="Arial"/>
        </w:rPr>
        <w:t>Odbor řízení operačních programů</w:t>
      </w:r>
    </w:p>
    <w:p w:rsidR="00384CA1" w:rsidRDefault="00E131E7">
      <w:pPr>
        <w:tabs>
          <w:tab w:val="left" w:pos="2085"/>
        </w:tabs>
        <w:jc w:val="both"/>
        <w:rPr>
          <w:rFonts w:cs="Arial"/>
        </w:rPr>
      </w:pPr>
      <w:r>
        <w:rPr>
          <w:rFonts w:cs="Arial"/>
        </w:rPr>
        <w:t>Staroměstské náměstí 6, 110 15 Praha 1</w:t>
      </w: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E131E7">
      <w:pPr>
        <w:pStyle w:val="Pravidla1"/>
        <w:pageBreakBefore/>
        <w:jc w:val="both"/>
      </w:pPr>
      <w:bookmarkStart w:id="0" w:name="_Toc413143886"/>
      <w:bookmarkStart w:id="1" w:name="_Toc401928003"/>
      <w:bookmarkStart w:id="2" w:name="_Toc425325670"/>
      <w:bookmarkStart w:id="3" w:name="_Toc425510938"/>
      <w:bookmarkStart w:id="4" w:name="_Toc436900663"/>
      <w:bookmarkEnd w:id="0"/>
      <w:bookmarkEnd w:id="1"/>
      <w:r>
        <w:lastRenderedPageBreak/>
        <w:t>Obsah</w:t>
      </w:r>
      <w:bookmarkEnd w:id="2"/>
      <w:bookmarkEnd w:id="3"/>
      <w:bookmarkEnd w:id="4"/>
    </w:p>
    <w:p w:rsidR="00384CA1" w:rsidRDefault="00384CA1"/>
    <w:sdt>
      <w:sdtPr>
        <w:rPr>
          <w:b/>
          <w:bCs/>
        </w:rPr>
        <w:id w:val="202898114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D059C3" w:rsidRDefault="006F456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64" w:history="1">
            <w:r w:rsidR="00D059C3" w:rsidRPr="00644E06">
              <w:rPr>
                <w:rStyle w:val="Hypertextovodkaz"/>
                <w:noProof/>
              </w:rPr>
              <w:t>Přehled změn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_Toc436900664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5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65" w:history="1">
            <w:r w:rsidR="00D059C3" w:rsidRPr="00644E06">
              <w:rPr>
                <w:rStyle w:val="Hypertextovodkaz"/>
                <w:noProof/>
              </w:rPr>
              <w:t>1.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Úvod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_Toc436900665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6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66" w:history="1">
            <w:r w:rsidR="00D059C3" w:rsidRPr="00644E06">
              <w:rPr>
                <w:rStyle w:val="Hypertextovodkaz"/>
                <w:noProof/>
              </w:rPr>
              <w:t>2.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Údaje o výzvě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_Toc436900666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7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67" w:history="1">
            <w:r w:rsidR="00D059C3" w:rsidRPr="00644E06">
              <w:rPr>
                <w:rStyle w:val="Hypertextovodkaz"/>
                <w:noProof/>
              </w:rPr>
              <w:t>2.1.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Vyhlášení výzvy a podání žádosti o podporu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_Toc436900667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7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68" w:history="1">
            <w:r w:rsidR="00D059C3" w:rsidRPr="00644E06">
              <w:rPr>
                <w:rStyle w:val="Hypertextovodkaz"/>
                <w:noProof/>
              </w:rPr>
              <w:t>Oprávnění žadatelé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_Toc436900668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7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69" w:history="1">
            <w:r w:rsidR="00D059C3" w:rsidRPr="00644E06">
              <w:rPr>
                <w:rStyle w:val="Hypertextovodkaz"/>
                <w:noProof/>
              </w:rPr>
              <w:t>2.2.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Podporované aktivity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_Toc436900669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8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70" w:history="1">
            <w:r w:rsidR="00D059C3" w:rsidRPr="00644E06">
              <w:rPr>
                <w:rStyle w:val="Hypertextovodkaz"/>
                <w:noProof/>
              </w:rPr>
              <w:t>Hlavní podporované aktivity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_Toc436900670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8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71" w:history="1">
            <w:r w:rsidR="00D059C3" w:rsidRPr="00644E06">
              <w:rPr>
                <w:rStyle w:val="Hypertextovodkaz"/>
                <w:noProof/>
              </w:rPr>
              <w:t>Vedlejší podporované aktivity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_Toc436900671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10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76" w:history="1">
            <w:r w:rsidR="00D059C3" w:rsidRPr="00644E06">
              <w:rPr>
                <w:rStyle w:val="Hypertextovodkaz"/>
                <w:noProof/>
              </w:rPr>
              <w:t>2.3.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Komplementarita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_Toc436900676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10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78" w:history="1">
            <w:r w:rsidR="00D059C3" w:rsidRPr="00644E06">
              <w:rPr>
                <w:rStyle w:val="Hypertextovodkaz"/>
                <w:noProof/>
              </w:rPr>
              <w:t>2.4.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Povinné přílohy žádosti o podporu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_Toc436900678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10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79" w:history="1">
            <w:r w:rsidR="00D059C3" w:rsidRPr="00644E06">
              <w:rPr>
                <w:rStyle w:val="Hypertextovodkaz"/>
                <w:noProof/>
              </w:rPr>
              <w:t>2.5.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Struktura financování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_Toc436900679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11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80" w:history="1">
            <w:r w:rsidR="00D059C3" w:rsidRPr="00644E06">
              <w:rPr>
                <w:rStyle w:val="Hypertextovodkaz"/>
                <w:noProof/>
              </w:rPr>
              <w:t>2.6.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Způsobilé výdaje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_Toc436900680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11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81" w:history="1">
            <w:r w:rsidR="00D059C3" w:rsidRPr="00644E06">
              <w:rPr>
                <w:rStyle w:val="Hypertextovodkaz"/>
                <w:noProof/>
              </w:rPr>
              <w:t>Způsobilé výdaje na hlavní aktivitu projektu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_Toc436900681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12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82" w:history="1">
            <w:r w:rsidR="00D059C3" w:rsidRPr="00644E06">
              <w:rPr>
                <w:rStyle w:val="Hypertextovodkaz"/>
                <w:noProof/>
              </w:rPr>
              <w:t>Způsobilé výdaje na vedlejší aktivity projektu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_Toc436900682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12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83" w:history="1">
            <w:r w:rsidR="00D059C3" w:rsidRPr="00644E06">
              <w:rPr>
                <w:rStyle w:val="Hypertextovodkaz"/>
                <w:noProof/>
              </w:rPr>
              <w:t>Dokladování způsobilých výdajů projektu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_Toc436900683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13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84" w:history="1">
            <w:r w:rsidR="00D059C3" w:rsidRPr="00644E06">
              <w:rPr>
                <w:rStyle w:val="Hypertextovodkaz"/>
                <w:noProof/>
              </w:rPr>
              <w:t>Nezpůsobilé výdaje projektu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_Toc436900684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14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85" w:history="1">
            <w:r w:rsidR="00D059C3" w:rsidRPr="00644E06">
              <w:rPr>
                <w:rStyle w:val="Hypertextovodkaz"/>
                <w:noProof/>
              </w:rPr>
              <w:t>2.7.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Indikátory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_Toc436900685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16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86" w:history="1">
            <w:r w:rsidR="00D059C3" w:rsidRPr="00644E06">
              <w:rPr>
                <w:rStyle w:val="Hypertextovodkaz"/>
                <w:noProof/>
              </w:rPr>
              <w:t>2.8.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Místo realizace projektů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_Toc436900686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17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87" w:history="1">
            <w:r w:rsidR="00D059C3" w:rsidRPr="00644E06">
              <w:rPr>
                <w:rStyle w:val="Hypertextovodkaz"/>
                <w:noProof/>
              </w:rPr>
              <w:t>2.9.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Projekty generující příjmy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_Toc436900687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17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88" w:history="1">
            <w:r w:rsidR="00D059C3" w:rsidRPr="00644E06">
              <w:rPr>
                <w:rStyle w:val="Hypertextovodkaz"/>
                <w:noProof/>
              </w:rPr>
              <w:t>2.10.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Přenesená daňová povinnost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_Toc436900688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17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89" w:history="1">
            <w:r w:rsidR="00D059C3" w:rsidRPr="00644E06">
              <w:rPr>
                <w:rStyle w:val="Hypertextovodkaz"/>
                <w:noProof/>
              </w:rPr>
              <w:t>2.11.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Dodatečné stavební práce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_Toc436900689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17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90" w:history="1">
            <w:r w:rsidR="00D059C3" w:rsidRPr="00644E06">
              <w:rPr>
                <w:rStyle w:val="Hypertextovodkaz"/>
                <w:noProof/>
              </w:rPr>
              <w:t>2.12.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Veřejná podpora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_Toc436900690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17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91" w:history="1">
            <w:r w:rsidR="00D059C3" w:rsidRPr="00644E06">
              <w:rPr>
                <w:rStyle w:val="Hypertextovodkaz"/>
                <w:noProof/>
              </w:rPr>
              <w:t>3.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Kontaktní místo pro poskytování informací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_Toc436900691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18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92" w:history="1">
            <w:r w:rsidR="00D059C3" w:rsidRPr="00644E06">
              <w:rPr>
                <w:rStyle w:val="Hypertextovodkaz"/>
                <w:noProof/>
              </w:rPr>
              <w:t>4.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Hodnocení a výběr projektů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_Toc436900692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19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93" w:history="1">
            <w:r w:rsidR="00D059C3" w:rsidRPr="00644E06">
              <w:rPr>
                <w:rStyle w:val="Hypertextovodkaz"/>
                <w:noProof/>
              </w:rPr>
              <w:t>4.1.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Hodnocení žádostí o podporu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_Toc436900693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19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94" w:history="1">
            <w:r w:rsidR="00D059C3" w:rsidRPr="00644E06">
              <w:rPr>
                <w:rStyle w:val="Hypertextovodkaz"/>
                <w:noProof/>
              </w:rPr>
              <w:t>Kontrola přijatelnosti a formálních náležitostí projektu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_Toc436900694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19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95" w:history="1">
            <w:r w:rsidR="00D059C3" w:rsidRPr="00644E06">
              <w:rPr>
                <w:rStyle w:val="Hypertextovodkaz"/>
                <w:noProof/>
              </w:rPr>
              <w:t>Věcné hodnocení projektu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_Toc436900695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21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96" w:history="1">
            <w:r w:rsidR="00D059C3" w:rsidRPr="00644E06">
              <w:rPr>
                <w:rStyle w:val="Hypertextovodkaz"/>
                <w:noProof/>
              </w:rPr>
              <w:t>Ex-ante analýza rizik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_Toc436900696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21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97" w:history="1">
            <w:r w:rsidR="00D059C3" w:rsidRPr="00644E06">
              <w:rPr>
                <w:rStyle w:val="Hypertextovodkaz"/>
                <w:noProof/>
              </w:rPr>
              <w:t>Ex-ante kontrola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_Toc436900697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21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98" w:history="1">
            <w:r w:rsidR="00D059C3" w:rsidRPr="00644E06">
              <w:rPr>
                <w:rStyle w:val="Hypertextovodkaz"/>
                <w:noProof/>
              </w:rPr>
              <w:t>4.2.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Výběr projektů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_Toc436900698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22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699" w:history="1">
            <w:r w:rsidR="00D059C3" w:rsidRPr="00644E06">
              <w:rPr>
                <w:rStyle w:val="Hypertextovodkaz"/>
                <w:noProof/>
              </w:rPr>
              <w:t>Výběr projektů a příprava a vydání právního aktu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_Toc436900699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22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700" w:history="1">
            <w:r w:rsidR="00D059C3" w:rsidRPr="00644E06">
              <w:rPr>
                <w:rStyle w:val="Hypertextovodkaz"/>
                <w:noProof/>
              </w:rPr>
              <w:t>5.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Monitorování projektů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_Toc436900700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23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701" w:history="1">
            <w:r w:rsidR="00D059C3" w:rsidRPr="00644E06">
              <w:rPr>
                <w:rStyle w:val="Hypertextovodkaz"/>
                <w:noProof/>
              </w:rPr>
              <w:t>6.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Financování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_Toc436900701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24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702" w:history="1">
            <w:r w:rsidR="00D059C3" w:rsidRPr="00644E06">
              <w:rPr>
                <w:rStyle w:val="Hypertextovodkaz"/>
                <w:noProof/>
              </w:rPr>
              <w:t>6.1.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Zjednodušená žádost o platbu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_Toc436900702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24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703" w:history="1">
            <w:r w:rsidR="00D059C3" w:rsidRPr="00644E06">
              <w:rPr>
                <w:rStyle w:val="Hypertextovodkaz"/>
                <w:noProof/>
              </w:rPr>
              <w:t>7.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Udržitelnost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_Toc436900703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25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704" w:history="1">
            <w:r w:rsidR="00D059C3" w:rsidRPr="00644E06">
              <w:rPr>
                <w:rStyle w:val="Hypertextovodkaz"/>
                <w:noProof/>
              </w:rPr>
              <w:t>8.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Seznam zkratek a pojmů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_Toc436900704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26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705" w:history="1">
            <w:r w:rsidR="00D059C3" w:rsidRPr="00644E06">
              <w:rPr>
                <w:rStyle w:val="Hypertextovodkaz"/>
                <w:noProof/>
              </w:rPr>
              <w:t>9.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Právní a metodický rámec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_Toc436900705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27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D059C3" w:rsidRDefault="003362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36900706" w:history="1">
            <w:r w:rsidR="00D059C3" w:rsidRPr="00644E06">
              <w:rPr>
                <w:rStyle w:val="Hypertextovodkaz"/>
                <w:noProof/>
              </w:rPr>
              <w:t>10.</w:t>
            </w:r>
            <w:r w:rsidR="00D059C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D059C3" w:rsidRPr="00644E06">
              <w:rPr>
                <w:rStyle w:val="Hypertextovodkaz"/>
                <w:noProof/>
              </w:rPr>
              <w:t>Seznam příloh Specifických pravidel</w:t>
            </w:r>
            <w:r w:rsidR="00D059C3">
              <w:rPr>
                <w:noProof/>
                <w:webHidden/>
              </w:rPr>
              <w:tab/>
            </w:r>
            <w:r w:rsidR="00D059C3">
              <w:rPr>
                <w:noProof/>
                <w:webHidden/>
              </w:rPr>
              <w:fldChar w:fldCharType="begin"/>
            </w:r>
            <w:r w:rsidR="00D059C3">
              <w:rPr>
                <w:noProof/>
                <w:webHidden/>
              </w:rPr>
              <w:instrText xml:space="preserve"> PAGEREF _Toc436900706 \h </w:instrText>
            </w:r>
            <w:r w:rsidR="00D059C3">
              <w:rPr>
                <w:noProof/>
                <w:webHidden/>
              </w:rPr>
            </w:r>
            <w:r w:rsidR="00D059C3">
              <w:rPr>
                <w:noProof/>
                <w:webHidden/>
              </w:rPr>
              <w:fldChar w:fldCharType="separate"/>
            </w:r>
            <w:r w:rsidR="00D059C3">
              <w:rPr>
                <w:noProof/>
                <w:webHidden/>
              </w:rPr>
              <w:t>28</w:t>
            </w:r>
            <w:r w:rsidR="00D059C3">
              <w:rPr>
                <w:noProof/>
                <w:webHidden/>
              </w:rPr>
              <w:fldChar w:fldCharType="end"/>
            </w:r>
          </w:hyperlink>
        </w:p>
        <w:p w:rsidR="006F456C" w:rsidRDefault="006F456C">
          <w:r>
            <w:rPr>
              <w:b/>
              <w:bCs/>
            </w:rPr>
            <w:fldChar w:fldCharType="end"/>
          </w:r>
        </w:p>
      </w:sdtContent>
    </w:sdt>
    <w:p w:rsidR="00384CA1" w:rsidRDefault="00336263">
      <w:pPr>
        <w:tabs>
          <w:tab w:val="left" w:pos="2085"/>
        </w:tabs>
        <w:jc w:val="both"/>
      </w:pPr>
      <w:hyperlink w:anchor="_Toc413143886"/>
    </w:p>
    <w:p w:rsidR="00384CA1" w:rsidRDefault="00E131E7">
      <w:pPr>
        <w:pStyle w:val="Pravidla1"/>
        <w:pageBreakBefore/>
        <w:jc w:val="both"/>
      </w:pPr>
      <w:bookmarkStart w:id="5" w:name="_Toc413143887"/>
      <w:bookmarkStart w:id="6" w:name="_Toc436900664"/>
      <w:bookmarkEnd w:id="5"/>
      <w:r>
        <w:lastRenderedPageBreak/>
        <w:t>Přehled změn</w:t>
      </w:r>
      <w:bookmarkEnd w:id="6"/>
    </w:p>
    <w:p w:rsidR="00384CA1" w:rsidRDefault="00384CA1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96"/>
        <w:gridCol w:w="1076"/>
        <w:gridCol w:w="2530"/>
        <w:gridCol w:w="2126"/>
        <w:gridCol w:w="1276"/>
        <w:gridCol w:w="1277"/>
      </w:tblGrid>
      <w:tr w:rsidR="00384CA1">
        <w:trPr>
          <w:trHeight w:val="644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Default="00E131E7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Revize č.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Default="00E131E7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Kapitola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Default="00E131E7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Předmět revize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Default="00E131E7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Zdůvodnění revize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Default="00E131E7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 správnost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Default="00E131E7">
            <w:pPr>
              <w:tabs>
                <w:tab w:val="left" w:pos="2085"/>
              </w:tabs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platnosti revize</w:t>
            </w:r>
          </w:p>
        </w:tc>
      </w:tr>
      <w:tr w:rsidR="00384CA1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Default="00384CA1">
            <w:pPr>
              <w:tabs>
                <w:tab w:val="left" w:pos="2085"/>
              </w:tabs>
              <w:spacing w:after="0"/>
              <w:jc w:val="both"/>
              <w:rPr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Default="00384CA1">
            <w:pPr>
              <w:tabs>
                <w:tab w:val="left" w:pos="2085"/>
              </w:tabs>
              <w:spacing w:after="0"/>
              <w:jc w:val="both"/>
              <w:rPr>
                <w:szCs w:val="20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Default="00384CA1">
            <w:pPr>
              <w:tabs>
                <w:tab w:val="left" w:pos="2085"/>
              </w:tabs>
              <w:spacing w:after="0"/>
              <w:jc w:val="both"/>
              <w:rPr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Default="00384CA1">
            <w:pPr>
              <w:tabs>
                <w:tab w:val="left" w:pos="2085"/>
              </w:tabs>
              <w:spacing w:after="0"/>
              <w:jc w:val="both"/>
              <w:rPr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Default="00384CA1">
            <w:pPr>
              <w:tabs>
                <w:tab w:val="left" w:pos="2085"/>
              </w:tabs>
              <w:spacing w:after="0"/>
              <w:jc w:val="both"/>
              <w:rPr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Default="00384CA1">
            <w:pPr>
              <w:tabs>
                <w:tab w:val="left" w:pos="2085"/>
              </w:tabs>
              <w:spacing w:after="0"/>
              <w:jc w:val="both"/>
              <w:rPr>
                <w:szCs w:val="20"/>
                <w:lang w:val="en-US"/>
              </w:rPr>
            </w:pPr>
          </w:p>
        </w:tc>
      </w:tr>
    </w:tbl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tabs>
          <w:tab w:val="left" w:pos="2085"/>
        </w:tabs>
        <w:jc w:val="both"/>
        <w:rPr>
          <w:rFonts w:cs="Arial"/>
        </w:rPr>
      </w:pPr>
    </w:p>
    <w:p w:rsidR="00384CA1" w:rsidRDefault="00384CA1">
      <w:pPr>
        <w:spacing w:line="276" w:lineRule="auto"/>
        <w:rPr>
          <w:rFonts w:cs="Arial"/>
        </w:rPr>
      </w:pPr>
    </w:p>
    <w:p w:rsidR="0001760C" w:rsidRPr="003B0388" w:rsidRDefault="0001760C" w:rsidP="0070151B">
      <w:pPr>
        <w:pStyle w:val="Pravidla1"/>
        <w:pageBreakBefore/>
        <w:numPr>
          <w:ilvl w:val="0"/>
          <w:numId w:val="1"/>
        </w:numPr>
        <w:jc w:val="both"/>
      </w:pPr>
      <w:bookmarkStart w:id="7" w:name="_Toc413143888"/>
      <w:bookmarkStart w:id="8" w:name="_Toc436900665"/>
      <w:bookmarkEnd w:id="7"/>
      <w:r>
        <w:lastRenderedPageBreak/>
        <w:t>Úvod</w:t>
      </w:r>
      <w:bookmarkEnd w:id="8"/>
    </w:p>
    <w:p w:rsidR="001977A0" w:rsidRDefault="001977A0" w:rsidP="008D3A03">
      <w:pPr>
        <w:jc w:val="both"/>
        <w:rPr>
          <w:rFonts w:cs="Arial"/>
        </w:rPr>
      </w:pPr>
    </w:p>
    <w:p w:rsidR="008D3A03" w:rsidRPr="00DA7471" w:rsidRDefault="008D3A03" w:rsidP="008D3A03">
      <w:pPr>
        <w:jc w:val="both"/>
        <w:rPr>
          <w:rFonts w:cs="Arial"/>
          <w:b/>
        </w:rPr>
      </w:pPr>
      <w:r w:rsidRPr="00EF2C2C">
        <w:rPr>
          <w:rFonts w:cs="Arial"/>
        </w:rPr>
        <w:t xml:space="preserve">Pravidla pro žadatele a příjemce mají dvě části, Obecná a Specifická pravidla (dále jen „Pravidla“). </w:t>
      </w:r>
      <w:r w:rsidRPr="00EF2C2C">
        <w:rPr>
          <w:rFonts w:cs="Arial"/>
          <w:b/>
        </w:rPr>
        <w:t>Oboje jsou pro žadatele a příjemce závazná od data jejich platnosti</w:t>
      </w:r>
      <w:r w:rsidRPr="00EF2C2C">
        <w:rPr>
          <w:rFonts w:cs="Arial"/>
        </w:rPr>
        <w:t xml:space="preserve">. </w:t>
      </w:r>
      <w:r w:rsidR="00111479"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8D3A03" w:rsidRPr="00EF2C2C" w:rsidTr="001B345D">
        <w:trPr>
          <w:trHeight w:val="929"/>
        </w:trPr>
        <w:tc>
          <w:tcPr>
            <w:tcW w:w="9218" w:type="dxa"/>
          </w:tcPr>
          <w:p w:rsidR="001B345D" w:rsidRPr="00226158" w:rsidRDefault="008D3A03" w:rsidP="001B345D">
            <w:pPr>
              <w:spacing w:after="0"/>
              <w:jc w:val="both"/>
              <w:rPr>
                <w:rFonts w:cs="Arial"/>
                <w:b/>
                <w:lang w:val="cs-CZ"/>
              </w:rPr>
            </w:pPr>
            <w:r w:rsidRPr="00F54F72">
              <w:rPr>
                <w:rFonts w:cs="Arial"/>
                <w:b/>
                <w:lang w:val="cs-CZ"/>
              </w:rPr>
              <w:t>UPOZORNĚNÍ</w:t>
            </w:r>
          </w:p>
          <w:p w:rsidR="001977A0" w:rsidRDefault="001977A0" w:rsidP="001B345D">
            <w:pPr>
              <w:spacing w:after="0"/>
              <w:jc w:val="both"/>
              <w:rPr>
                <w:rFonts w:cs="Arial"/>
                <w:lang w:val="cs-CZ"/>
              </w:rPr>
            </w:pPr>
          </w:p>
          <w:p w:rsidR="008D3A03" w:rsidRPr="00336263" w:rsidRDefault="008D3A03" w:rsidP="001B345D">
            <w:pPr>
              <w:spacing w:after="0"/>
              <w:jc w:val="both"/>
              <w:rPr>
                <w:rFonts w:cs="Arial"/>
                <w:b/>
                <w:lang w:val="cs-CZ"/>
              </w:rPr>
            </w:pPr>
            <w:r w:rsidRPr="00336263">
              <w:rPr>
                <w:rFonts w:cs="Arial"/>
                <w:b/>
                <w:lang w:val="cs-CZ"/>
              </w:rPr>
              <w:t>Není-li v těchto Pravidlech stanoveno jinak, postupují žadatelé a příjemci v souladu s Obecnými pravidly.</w:t>
            </w:r>
          </w:p>
        </w:tc>
      </w:tr>
    </w:tbl>
    <w:p w:rsidR="0017604E" w:rsidRDefault="008D3A03" w:rsidP="008D3A03">
      <w:pPr>
        <w:jc w:val="both"/>
        <w:rPr>
          <w:rFonts w:cs="Arial"/>
        </w:rPr>
      </w:pPr>
      <w:r w:rsidRPr="00EF2C2C">
        <w:rPr>
          <w:rFonts w:cs="Arial"/>
        </w:rPr>
        <w:t xml:space="preserve">Pravidla mohou být v průběhu realizace IROP aktualizována. O aktualizaci Pravidel budou žadatelé a příjemci informováni na internetových stránkách </w:t>
      </w:r>
      <w:hyperlink r:id="rId9" w:history="1">
        <w:r w:rsidRPr="00EF2C2C">
          <w:rPr>
            <w:rStyle w:val="Hypertextovodkaz"/>
            <w:rFonts w:cs="Arial"/>
          </w:rPr>
          <w:t>http://www.dotaceEu.cz</w:t>
        </w:r>
      </w:hyperlink>
      <w:r w:rsidRPr="00EF2C2C">
        <w:rPr>
          <w:rStyle w:val="Hypertextovodkaz"/>
          <w:rFonts w:cs="Arial"/>
        </w:rPr>
        <w:t>/</w:t>
      </w:r>
      <w:proofErr w:type="spellStart"/>
      <w:r w:rsidRPr="00EF2C2C">
        <w:rPr>
          <w:rStyle w:val="Hypertextovodkaz"/>
          <w:rFonts w:cs="Arial"/>
        </w:rPr>
        <w:t>cs</w:t>
      </w:r>
      <w:proofErr w:type="spellEnd"/>
      <w:r w:rsidRPr="00EF2C2C">
        <w:rPr>
          <w:rStyle w:val="Hypertextovodkaz"/>
          <w:rFonts w:cs="Arial"/>
        </w:rPr>
        <w:t>/</w:t>
      </w:r>
      <w:proofErr w:type="spellStart"/>
      <w:r w:rsidRPr="00EF2C2C">
        <w:rPr>
          <w:rStyle w:val="Hypertextovodkaz"/>
          <w:rFonts w:cs="Arial"/>
        </w:rPr>
        <w:t>Microsites</w:t>
      </w:r>
      <w:proofErr w:type="spellEnd"/>
      <w:r w:rsidRPr="00EF2C2C">
        <w:rPr>
          <w:rStyle w:val="Hypertextovodkaz"/>
          <w:rFonts w:cs="Arial"/>
        </w:rPr>
        <w:t>/IROP/</w:t>
      </w:r>
      <w:proofErr w:type="spellStart"/>
      <w:r w:rsidRPr="00EF2C2C">
        <w:rPr>
          <w:rStyle w:val="Hypertextovodkaz"/>
          <w:rFonts w:cs="Arial"/>
        </w:rPr>
        <w:t>Vyzvy</w:t>
      </w:r>
      <w:proofErr w:type="spellEnd"/>
      <w:r w:rsidRPr="00EF2C2C">
        <w:rPr>
          <w:rStyle w:val="Hypertextovodkaz"/>
          <w:rFonts w:cs="Arial"/>
        </w:rPr>
        <w:t>-v-IROP</w:t>
      </w:r>
      <w:r w:rsidRPr="00EF2C2C">
        <w:rPr>
          <w:rFonts w:cs="Arial"/>
        </w:rPr>
        <w:t xml:space="preserve">. </w:t>
      </w:r>
    </w:p>
    <w:p w:rsidR="008D3A03" w:rsidRPr="00EF2C2C" w:rsidRDefault="008D3A03" w:rsidP="008D3A03">
      <w:pPr>
        <w:jc w:val="both"/>
        <w:rPr>
          <w:rFonts w:cs="Arial"/>
        </w:rPr>
      </w:pPr>
      <w:r w:rsidRPr="00EF2C2C">
        <w:rPr>
          <w:rFonts w:cs="Arial"/>
        </w:rPr>
        <w:t xml:space="preserve">Obecná pravidla vydává Řídicí orgán IROP (dále jen „ŘO IROP“) a jsou platná pro všechny výzvy, specifické cíle a typy příjemců. Obecná pravidla jsou zveřejněna na webových stránkách </w:t>
      </w:r>
      <w:hyperlink r:id="rId10" w:history="1">
        <w:r w:rsidRPr="00EF2C2C">
          <w:rPr>
            <w:rStyle w:val="Hypertextovodkaz"/>
            <w:rFonts w:cs="Arial"/>
          </w:rPr>
          <w:t>http://www.dotaceEu.cz</w:t>
        </w:r>
      </w:hyperlink>
      <w:r w:rsidRPr="00EF2C2C">
        <w:rPr>
          <w:rStyle w:val="Hypertextovodkaz"/>
          <w:rFonts w:cs="Arial"/>
        </w:rPr>
        <w:t>/</w:t>
      </w:r>
      <w:proofErr w:type="spellStart"/>
      <w:r w:rsidRPr="00EF2C2C">
        <w:rPr>
          <w:rStyle w:val="Hypertextovodkaz"/>
          <w:rFonts w:cs="Arial"/>
        </w:rPr>
        <w:t>cs</w:t>
      </w:r>
      <w:proofErr w:type="spellEnd"/>
      <w:r w:rsidRPr="00EF2C2C">
        <w:rPr>
          <w:rStyle w:val="Hypertextovodkaz"/>
          <w:rFonts w:cs="Arial"/>
        </w:rPr>
        <w:t>/</w:t>
      </w:r>
      <w:proofErr w:type="spellStart"/>
      <w:r w:rsidRPr="00EF2C2C">
        <w:rPr>
          <w:rStyle w:val="Hypertextovodkaz"/>
          <w:rFonts w:cs="Arial"/>
        </w:rPr>
        <w:t>Microsites</w:t>
      </w:r>
      <w:proofErr w:type="spellEnd"/>
      <w:r w:rsidRPr="00EF2C2C">
        <w:rPr>
          <w:rStyle w:val="Hypertextovodkaz"/>
          <w:rFonts w:cs="Arial"/>
        </w:rPr>
        <w:t>/IROP/</w:t>
      </w:r>
      <w:proofErr w:type="spellStart"/>
      <w:r w:rsidRPr="00EF2C2C">
        <w:rPr>
          <w:rStyle w:val="Hypertextovodkaz"/>
          <w:rFonts w:cs="Arial"/>
        </w:rPr>
        <w:t>Vyzvy</w:t>
      </w:r>
      <w:proofErr w:type="spellEnd"/>
      <w:r w:rsidRPr="00EF2C2C">
        <w:rPr>
          <w:rStyle w:val="Hypertextovodkaz"/>
          <w:rFonts w:cs="Arial"/>
        </w:rPr>
        <w:t>-v-IROP</w:t>
      </w:r>
      <w:r w:rsidRPr="00EF2C2C">
        <w:rPr>
          <w:rFonts w:cs="Arial"/>
        </w:rPr>
        <w:t>.</w:t>
      </w:r>
    </w:p>
    <w:p w:rsidR="008D3A03" w:rsidRPr="00EF2C2C" w:rsidRDefault="008D3A03" w:rsidP="008D3A03">
      <w:pPr>
        <w:jc w:val="both"/>
        <w:rPr>
          <w:rFonts w:cs="Arial"/>
        </w:rPr>
      </w:pPr>
      <w:r w:rsidRPr="00EF2C2C">
        <w:rPr>
          <w:rFonts w:cs="Arial"/>
        </w:rPr>
        <w:t>Obecná pravidla obsahují tyto kapitoly: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Vyhlášení výzvy a předkládání žádosti o podporu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Hodnocení a výběr projektů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Realizace projektu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>
        <w:rPr>
          <w:rFonts w:cs="Arial"/>
        </w:rPr>
        <w:t>Investiční plánování a zadávání zakázek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>
        <w:rPr>
          <w:rFonts w:cs="Arial"/>
        </w:rPr>
        <w:t>Dodatečn</w:t>
      </w:r>
      <w:r w:rsidR="00FB5929">
        <w:rPr>
          <w:rFonts w:cs="Arial"/>
        </w:rPr>
        <w:t>é</w:t>
      </w:r>
      <w:r>
        <w:rPr>
          <w:rFonts w:cs="Arial"/>
        </w:rPr>
        <w:t xml:space="preserve"> stavební práce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Příjmy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Veřejná podpora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Účetnictví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Způsobilé výdaje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Přenesená daňová povinnost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Archivace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Publicita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Monitorování projektů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Indikátory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Změny v projektu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Nesrovnalosti, porušení rozpočtové kázně</w:t>
      </w:r>
      <w:r w:rsidR="001977A0">
        <w:rPr>
          <w:rFonts w:cs="Arial"/>
        </w:rPr>
        <w:t>, porušení právního aktu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Financování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Odstoupení, ukončení realizace projektu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Udržitelnost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Námitky a stížnosti</w:t>
      </w:r>
    </w:p>
    <w:p w:rsidR="008D3A03" w:rsidRPr="00EF2C2C" w:rsidRDefault="008D3A03" w:rsidP="008D3A03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Kontroly a audity</w:t>
      </w:r>
    </w:p>
    <w:p w:rsidR="00111479" w:rsidRDefault="008D3A03" w:rsidP="00111479">
      <w:pPr>
        <w:pStyle w:val="Odstavecseseznamem"/>
        <w:numPr>
          <w:ilvl w:val="0"/>
          <w:numId w:val="3"/>
        </w:numPr>
        <w:suppressAutoHyphens w:val="0"/>
        <w:jc w:val="both"/>
        <w:rPr>
          <w:rFonts w:cs="Arial"/>
        </w:rPr>
      </w:pPr>
      <w:r w:rsidRPr="00EF2C2C">
        <w:rPr>
          <w:rFonts w:cs="Arial"/>
        </w:rPr>
        <w:t>Vazba na integrované nástroje</w:t>
      </w:r>
    </w:p>
    <w:p w:rsidR="00111479" w:rsidRDefault="008D3A03" w:rsidP="00111479">
      <w:pPr>
        <w:pStyle w:val="Odstavecseseznamem"/>
        <w:numPr>
          <w:ilvl w:val="0"/>
          <w:numId w:val="3"/>
        </w:numPr>
        <w:rPr>
          <w:rFonts w:cs="Arial"/>
        </w:rPr>
      </w:pPr>
      <w:r w:rsidRPr="00111479">
        <w:rPr>
          <w:rFonts w:cs="Arial"/>
        </w:rPr>
        <w:t>Použité pojmy a zkratky</w:t>
      </w:r>
    </w:p>
    <w:p w:rsidR="00512B0D" w:rsidRDefault="00512B0D" w:rsidP="00111479">
      <w:pPr>
        <w:pStyle w:val="Odstavecseseznamem"/>
        <w:numPr>
          <w:ilvl w:val="0"/>
          <w:numId w:val="3"/>
        </w:numPr>
        <w:rPr>
          <w:rFonts w:cs="Arial"/>
        </w:rPr>
      </w:pPr>
      <w:r>
        <w:rPr>
          <w:rFonts w:cs="Arial"/>
        </w:rPr>
        <w:t>Právní a metodický rámec</w:t>
      </w:r>
    </w:p>
    <w:p w:rsidR="0017604E" w:rsidRPr="00754CEF" w:rsidRDefault="0017604E" w:rsidP="0017604E">
      <w:pPr>
        <w:spacing w:after="0"/>
        <w:jc w:val="both"/>
        <w:rPr>
          <w:rFonts w:cs="Cambria"/>
          <w:lang w:eastAsia="en-US"/>
        </w:rPr>
      </w:pPr>
      <w:r w:rsidRPr="00F50BAD">
        <w:rPr>
          <w:rFonts w:cs="Cambria"/>
          <w:lang w:eastAsia="en-US"/>
        </w:rPr>
        <w:lastRenderedPageBreak/>
        <w:t>Specifická pravidla konkretizují informace o prav</w:t>
      </w:r>
      <w:r>
        <w:rPr>
          <w:rFonts w:cs="Cambria"/>
          <w:lang w:eastAsia="en-US"/>
        </w:rPr>
        <w:t xml:space="preserve">idlech výzvy a jsou vždy vydána </w:t>
      </w:r>
      <w:r>
        <w:rPr>
          <w:lang w:eastAsia="en-US"/>
        </w:rPr>
        <w:t>nejpozději s vyhlášením výzvy.  Žadatel má povinnost se před podáním žádosti seznámit s Obecnými i Specifickými pravidly pro žadatele a příjemce a postupovat v souladu s nimi.</w:t>
      </w:r>
    </w:p>
    <w:p w:rsidR="0017604E" w:rsidRDefault="0017604E" w:rsidP="00111479">
      <w:pPr>
        <w:pStyle w:val="Odstavecseseznamem"/>
      </w:pPr>
    </w:p>
    <w:p w:rsidR="00384CA1" w:rsidRDefault="00E131E7" w:rsidP="0070151B">
      <w:pPr>
        <w:pStyle w:val="Pravidla1"/>
        <w:pageBreakBefore/>
        <w:numPr>
          <w:ilvl w:val="0"/>
          <w:numId w:val="1"/>
        </w:numPr>
        <w:jc w:val="both"/>
      </w:pPr>
      <w:bookmarkStart w:id="9" w:name="_Toc436900666"/>
      <w:r>
        <w:lastRenderedPageBreak/>
        <w:t>Údaje o výzvě</w:t>
      </w:r>
      <w:bookmarkEnd w:id="9"/>
    </w:p>
    <w:p w:rsidR="00384CA1" w:rsidRDefault="00E131E7">
      <w:pPr>
        <w:pStyle w:val="Pravidla11"/>
        <w:numPr>
          <w:ilvl w:val="1"/>
          <w:numId w:val="1"/>
        </w:numPr>
      </w:pPr>
      <w:bookmarkStart w:id="10" w:name="_Toc413143889"/>
      <w:bookmarkStart w:id="11" w:name="_Toc436900667"/>
      <w:bookmarkEnd w:id="10"/>
      <w:r>
        <w:t>Vyhlášení výzvy a podání žádosti o podporu</w:t>
      </w:r>
      <w:bookmarkEnd w:id="11"/>
    </w:p>
    <w:p w:rsidR="0017604E" w:rsidRDefault="0017604E" w:rsidP="00BC24D2">
      <w:pPr>
        <w:pStyle w:val="Odstavecseseznamem"/>
        <w:ind w:left="0"/>
        <w:jc w:val="both"/>
        <w:rPr>
          <w:rFonts w:cs="Arial"/>
        </w:rPr>
      </w:pPr>
      <w:r w:rsidRPr="0017604E">
        <w:rPr>
          <w:rFonts w:cs="Arial"/>
        </w:rPr>
        <w:t>Výzvu vyhlašuje Řídicí orgán IROP.</w:t>
      </w:r>
    </w:p>
    <w:p w:rsidR="0017604E" w:rsidRDefault="0017604E" w:rsidP="00BC24D2">
      <w:pPr>
        <w:pStyle w:val="Odstavecseseznamem"/>
        <w:ind w:left="0"/>
        <w:jc w:val="both"/>
        <w:rPr>
          <w:rFonts w:cs="Arial"/>
        </w:rPr>
      </w:pPr>
    </w:p>
    <w:p w:rsidR="002B3247" w:rsidRPr="00C47CC2" w:rsidRDefault="002B3247" w:rsidP="00BC24D2">
      <w:pPr>
        <w:pStyle w:val="Odstavecseseznamem"/>
        <w:ind w:left="0"/>
        <w:jc w:val="both"/>
      </w:pPr>
      <w:r w:rsidRPr="00C47CC2">
        <w:rPr>
          <w:rFonts w:cs="Arial"/>
        </w:rPr>
        <w:t xml:space="preserve">Vyhlášení výzvy je zveřejněno na webových stránkách </w:t>
      </w:r>
      <w:hyperlink r:id="rId11" w:history="1">
        <w:hyperlink r:id="rId12" w:history="1">
          <w:r>
            <w:rPr>
              <w:rStyle w:val="Hypertextovodkaz"/>
            </w:rPr>
            <w:t>http://www.dotaceEu.cz</w:t>
          </w:r>
        </w:hyperlink>
        <w:r>
          <w:rPr>
            <w:rStyle w:val="Hypertextovodkaz"/>
          </w:rPr>
          <w:t>/</w:t>
        </w:r>
        <w:proofErr w:type="spellStart"/>
        <w:r>
          <w:rPr>
            <w:rStyle w:val="Hypertextovodkaz"/>
          </w:rPr>
          <w:t>cs</w:t>
        </w:r>
        <w:proofErr w:type="spellEnd"/>
        <w:r>
          <w:rPr>
            <w:rStyle w:val="Hypertextovodkaz"/>
          </w:rPr>
          <w:t>/</w:t>
        </w:r>
        <w:proofErr w:type="spellStart"/>
        <w:r>
          <w:rPr>
            <w:rStyle w:val="Hypertextovodkaz"/>
          </w:rPr>
          <w:t>Microsites</w:t>
        </w:r>
        <w:proofErr w:type="spellEnd"/>
        <w:r>
          <w:rPr>
            <w:rStyle w:val="Hypertextovodkaz"/>
          </w:rPr>
          <w:t>/IROP/</w:t>
        </w:r>
        <w:proofErr w:type="spellStart"/>
        <w:r>
          <w:rPr>
            <w:rStyle w:val="Hypertextovodkaz"/>
          </w:rPr>
          <w:t>Vyzvy</w:t>
        </w:r>
        <w:proofErr w:type="spellEnd"/>
        <w:r>
          <w:rPr>
            <w:rStyle w:val="Hypertextovodkaz"/>
          </w:rPr>
          <w:t>-v-IROP</w:t>
        </w:r>
        <w:r w:rsidRPr="00C47CC2">
          <w:rPr>
            <w:rStyle w:val="Hypertextovodkaz"/>
            <w:rFonts w:cs="Arial"/>
          </w:rPr>
          <w:t>.</w:t>
        </w:r>
      </w:hyperlink>
    </w:p>
    <w:p w:rsidR="008D3A03" w:rsidRPr="00EF2C2C" w:rsidRDefault="008D3A03" w:rsidP="00682A29">
      <w:pPr>
        <w:jc w:val="both"/>
        <w:rPr>
          <w:rFonts w:cs="Arial"/>
          <w:b/>
        </w:rPr>
      </w:pPr>
      <w:r w:rsidRPr="00EF2C2C">
        <w:rPr>
          <w:rFonts w:cs="Arial"/>
        </w:rPr>
        <w:t xml:space="preserve">Žádost se podává elektronicky v MS2014+ prostřednictvím formuláře, který naleznete na webových stránkách </w:t>
      </w:r>
      <w:hyperlink r:id="rId13" w:history="1">
        <w:r w:rsidRPr="00EF2C2C">
          <w:rPr>
            <w:rStyle w:val="Hypertextovodkaz"/>
            <w:rFonts w:cs="Arial"/>
          </w:rPr>
          <w:t>https://mseu.mssf.cz</w:t>
        </w:r>
      </w:hyperlink>
      <w:r w:rsidRPr="00EF2C2C">
        <w:rPr>
          <w:rFonts w:cs="Arial"/>
        </w:rPr>
        <w:t xml:space="preserve">. Postup pro podání žádosti a příloh v MS2014+ je uveden v příloze </w:t>
      </w:r>
      <w:proofErr w:type="gramStart"/>
      <w:r w:rsidRPr="00EF2C2C">
        <w:rPr>
          <w:rFonts w:cs="Arial"/>
        </w:rPr>
        <w:t>č. 1 těchto</w:t>
      </w:r>
      <w:proofErr w:type="gramEnd"/>
      <w:r w:rsidRPr="00EF2C2C">
        <w:rPr>
          <w:rFonts w:cs="Arial"/>
        </w:rPr>
        <w:t xml:space="preserve"> Pravidel. </w:t>
      </w:r>
    </w:p>
    <w:p w:rsidR="008D3A03" w:rsidRPr="00EF2C2C" w:rsidRDefault="008D3A03" w:rsidP="00226158">
      <w:pPr>
        <w:spacing w:line="276" w:lineRule="auto"/>
        <w:jc w:val="both"/>
        <w:rPr>
          <w:rFonts w:cs="Arial"/>
        </w:rPr>
      </w:pPr>
      <w:r w:rsidRPr="00EF2C2C">
        <w:rPr>
          <w:rFonts w:cs="Arial"/>
        </w:rPr>
        <w:t xml:space="preserve">O dřívějším uzavření výzvy (např. z důvodu vyčerpání finančních prostředků ve výzvě) nebo o její jiné změně informuje ŘO IROP veřejnost a žadatele minimálně 20 pracovních dnů předem na webových stránkách </w:t>
      </w:r>
      <w:hyperlink r:id="rId14" w:history="1">
        <w:r w:rsidRPr="00EF2C2C">
          <w:rPr>
            <w:rStyle w:val="Hypertextovodkaz"/>
            <w:rFonts w:cs="Arial"/>
          </w:rPr>
          <w:t>http://www.dotaceEu.cz</w:t>
        </w:r>
      </w:hyperlink>
      <w:r w:rsidRPr="00EF2C2C">
        <w:rPr>
          <w:rStyle w:val="Hypertextovodkaz"/>
          <w:rFonts w:cs="Arial"/>
        </w:rPr>
        <w:t>/</w:t>
      </w:r>
      <w:proofErr w:type="spellStart"/>
      <w:r w:rsidRPr="00EF2C2C">
        <w:rPr>
          <w:rStyle w:val="Hypertextovodkaz"/>
          <w:rFonts w:cs="Arial"/>
        </w:rPr>
        <w:t>cs</w:t>
      </w:r>
      <w:proofErr w:type="spellEnd"/>
      <w:r w:rsidRPr="00EF2C2C">
        <w:rPr>
          <w:rStyle w:val="Hypertextovodkaz"/>
          <w:rFonts w:cs="Arial"/>
        </w:rPr>
        <w:t>/</w:t>
      </w:r>
      <w:proofErr w:type="spellStart"/>
      <w:r w:rsidRPr="00EF2C2C">
        <w:rPr>
          <w:rStyle w:val="Hypertextovodkaz"/>
          <w:rFonts w:cs="Arial"/>
        </w:rPr>
        <w:t>Microsites</w:t>
      </w:r>
      <w:proofErr w:type="spellEnd"/>
      <w:r w:rsidRPr="00EF2C2C">
        <w:rPr>
          <w:rStyle w:val="Hypertextovodkaz"/>
          <w:rFonts w:cs="Arial"/>
        </w:rPr>
        <w:t>/IROP/</w:t>
      </w:r>
      <w:proofErr w:type="spellStart"/>
      <w:r w:rsidRPr="00EF2C2C">
        <w:rPr>
          <w:rStyle w:val="Hypertextovodkaz"/>
          <w:rFonts w:cs="Arial"/>
        </w:rPr>
        <w:t>Vyzvy</w:t>
      </w:r>
      <w:proofErr w:type="spellEnd"/>
      <w:r w:rsidRPr="00EF2C2C">
        <w:rPr>
          <w:rStyle w:val="Hypertextovodkaz"/>
          <w:rFonts w:cs="Arial"/>
        </w:rPr>
        <w:t>-v-IROP</w:t>
      </w:r>
      <w:r w:rsidRPr="00EF2C2C">
        <w:rPr>
          <w:rFonts w:cs="Arial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907AC7" w:rsidRPr="00B646EF" w:rsidTr="00907AC7">
        <w:tc>
          <w:tcPr>
            <w:tcW w:w="9218" w:type="dxa"/>
          </w:tcPr>
          <w:p w:rsidR="00907AC7" w:rsidRDefault="00907AC7" w:rsidP="00907AC7">
            <w:pPr>
              <w:jc w:val="both"/>
              <w:rPr>
                <w:rFonts w:cs="Arial"/>
                <w:b/>
                <w:lang w:val="cs-CZ"/>
              </w:rPr>
            </w:pPr>
            <w:r w:rsidRPr="00F54F72">
              <w:rPr>
                <w:rFonts w:cs="Arial"/>
                <w:b/>
                <w:lang w:val="cs-CZ"/>
              </w:rPr>
              <w:t>UPOZORNĚNÍ</w:t>
            </w:r>
          </w:p>
          <w:p w:rsidR="0017604E" w:rsidRPr="00336263" w:rsidRDefault="0017604E" w:rsidP="0017604E">
            <w:pPr>
              <w:jc w:val="both"/>
              <w:rPr>
                <w:rFonts w:cs="Arial"/>
                <w:b/>
                <w:lang w:val="cs-CZ"/>
              </w:rPr>
            </w:pPr>
            <w:r w:rsidRPr="00336263">
              <w:rPr>
                <w:rFonts w:cs="Arial"/>
                <w:lang w:val="cs-CZ"/>
              </w:rPr>
              <w:t xml:space="preserve">Žádosti o podporu lze </w:t>
            </w:r>
            <w:r w:rsidRPr="00336263">
              <w:rPr>
                <w:rFonts w:asciiTheme="majorHAnsi" w:hAnsiTheme="majorHAnsi" w:cs="Arial"/>
                <w:lang w:val="cs-CZ"/>
              </w:rPr>
              <w:t xml:space="preserve">podávat </w:t>
            </w:r>
            <w:r w:rsidR="00336263" w:rsidRPr="00336263">
              <w:rPr>
                <w:rFonts w:cs="Arial"/>
                <w:b/>
                <w:lang w:val="cs-CZ"/>
              </w:rPr>
              <w:t>od 22. 12. 2015, 16</w:t>
            </w:r>
            <w:r w:rsidRPr="00336263">
              <w:rPr>
                <w:rFonts w:cs="Arial"/>
                <w:b/>
                <w:lang w:val="cs-CZ"/>
              </w:rPr>
              <w:t>.00 hod</w:t>
            </w:r>
            <w:r w:rsidR="00336263" w:rsidRPr="00336263">
              <w:rPr>
                <w:rFonts w:cs="Arial"/>
                <w:b/>
                <w:lang w:val="cs-CZ"/>
              </w:rPr>
              <w:t>. nejpozději do 31. 12. 2016, 16</w:t>
            </w:r>
            <w:r w:rsidRPr="00336263">
              <w:rPr>
                <w:rFonts w:cs="Arial"/>
                <w:b/>
                <w:lang w:val="cs-CZ"/>
              </w:rPr>
              <w:t>.00 hod.</w:t>
            </w:r>
          </w:p>
          <w:p w:rsidR="00451D6B" w:rsidRPr="00336263" w:rsidRDefault="00CF4272" w:rsidP="00190B1B">
            <w:pPr>
              <w:jc w:val="both"/>
              <w:rPr>
                <w:rFonts w:cs="Arial"/>
                <w:b/>
                <w:lang w:val="cs-CZ"/>
              </w:rPr>
            </w:pPr>
            <w:r w:rsidRPr="00336263">
              <w:rPr>
                <w:rFonts w:cs="Arial"/>
                <w:b/>
                <w:lang w:val="cs-CZ"/>
              </w:rPr>
              <w:t xml:space="preserve">K žádosti o podporu je potřeba mít </w:t>
            </w:r>
            <w:r w:rsidR="00751B5C" w:rsidRPr="00336263">
              <w:rPr>
                <w:rFonts w:cs="Arial"/>
                <w:b/>
                <w:lang w:val="cs-CZ"/>
              </w:rPr>
              <w:t xml:space="preserve">zřízený </w:t>
            </w:r>
            <w:r w:rsidRPr="00336263">
              <w:rPr>
                <w:rFonts w:cs="Arial"/>
                <w:b/>
                <w:lang w:val="cs-CZ"/>
              </w:rPr>
              <w:t>elektronický podpis.</w:t>
            </w:r>
          </w:p>
          <w:p w:rsidR="0017604E" w:rsidRPr="00676272" w:rsidRDefault="0017604E" w:rsidP="00190B1B">
            <w:pPr>
              <w:jc w:val="both"/>
              <w:rPr>
                <w:rFonts w:cs="Arial"/>
                <w:b/>
                <w:lang w:val="cs-CZ"/>
              </w:rPr>
            </w:pPr>
            <w:r w:rsidRPr="00336263">
              <w:rPr>
                <w:rFonts w:cs="Arial"/>
                <w:b/>
                <w:lang w:val="cs-CZ"/>
              </w:rPr>
              <w:t>Podání žádosti lze provést nejdříve 22. 12. 2015 v </w:t>
            </w:r>
            <w:r w:rsidR="00336263" w:rsidRPr="00336263">
              <w:rPr>
                <w:rFonts w:cs="Arial"/>
                <w:b/>
                <w:lang w:val="cs-CZ"/>
              </w:rPr>
              <w:t>16</w:t>
            </w:r>
            <w:r w:rsidRPr="00336263">
              <w:rPr>
                <w:rFonts w:cs="Arial"/>
                <w:b/>
                <w:lang w:val="cs-CZ"/>
              </w:rPr>
              <w:t>.00 hod. Dříve elektronický podpis k žádosti nepřikládejte.</w:t>
            </w:r>
          </w:p>
        </w:tc>
      </w:tr>
    </w:tbl>
    <w:p w:rsidR="00350BCD" w:rsidRDefault="00350BCD" w:rsidP="00226158">
      <w:pPr>
        <w:pStyle w:val="Pravidla111"/>
      </w:pPr>
      <w:bookmarkStart w:id="12" w:name="_Toc436900668"/>
      <w:r>
        <w:t>Oprávnění žadatelé</w:t>
      </w:r>
      <w:bookmarkEnd w:id="12"/>
    </w:p>
    <w:p w:rsidR="00447D24" w:rsidRPr="00226158" w:rsidRDefault="00447D24" w:rsidP="00447D24">
      <w:pPr>
        <w:jc w:val="both"/>
        <w:rPr>
          <w:rFonts w:cs="Arial"/>
        </w:rPr>
      </w:pPr>
      <w:r w:rsidRPr="00226158">
        <w:rPr>
          <w:rFonts w:cs="Arial"/>
        </w:rPr>
        <w:t>Oprávněnými žadateli v této výzvě jsou:</w:t>
      </w:r>
    </w:p>
    <w:p w:rsidR="00447D24" w:rsidRDefault="000820C8" w:rsidP="001977A0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</w:rPr>
      </w:pPr>
      <w:r>
        <w:rPr>
          <w:rFonts w:cs="Arial"/>
        </w:rPr>
        <w:t>Ministerstvo vnitra ČR</w:t>
      </w:r>
    </w:p>
    <w:p w:rsidR="000820C8" w:rsidRDefault="000820C8" w:rsidP="001977A0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</w:rPr>
      </w:pPr>
      <w:r>
        <w:rPr>
          <w:rFonts w:cs="Arial"/>
        </w:rPr>
        <w:t>Národní archiv</w:t>
      </w:r>
    </w:p>
    <w:p w:rsidR="00167A90" w:rsidRDefault="00167A90" w:rsidP="001977A0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</w:rPr>
      </w:pPr>
      <w:r>
        <w:rPr>
          <w:rFonts w:cs="Arial"/>
        </w:rPr>
        <w:t>Úřad vlády ČR</w:t>
      </w:r>
    </w:p>
    <w:p w:rsidR="00167A90" w:rsidRDefault="00167A90" w:rsidP="001977A0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</w:rPr>
      </w:pPr>
      <w:r>
        <w:rPr>
          <w:rFonts w:cs="Arial"/>
        </w:rPr>
        <w:t>Kancelář Poslanecké sněmovny</w:t>
      </w:r>
    </w:p>
    <w:p w:rsidR="00167A90" w:rsidRPr="00C47CC2" w:rsidRDefault="00167A90" w:rsidP="001977A0">
      <w:pPr>
        <w:pStyle w:val="Odstavecseseznamem"/>
        <w:numPr>
          <w:ilvl w:val="0"/>
          <w:numId w:val="4"/>
        </w:numPr>
        <w:ind w:left="851" w:hanging="425"/>
        <w:jc w:val="both"/>
        <w:rPr>
          <w:rFonts w:cs="Arial"/>
        </w:rPr>
      </w:pPr>
      <w:r>
        <w:rPr>
          <w:rFonts w:cs="Arial"/>
        </w:rPr>
        <w:t>Kancelář Senátu</w:t>
      </w:r>
    </w:p>
    <w:p w:rsidR="00384CA1" w:rsidRPr="00671E54" w:rsidRDefault="00E131E7" w:rsidP="00B271EC">
      <w:pPr>
        <w:jc w:val="both"/>
        <w:rPr>
          <w:rFonts w:cs="Arial"/>
          <w:b/>
        </w:rPr>
      </w:pPr>
      <w:r w:rsidRPr="00671E54">
        <w:rPr>
          <w:rFonts w:cs="Arial"/>
          <w:b/>
        </w:rPr>
        <w:t xml:space="preserve">Minimální výše celkových způsobilých výdajů </w:t>
      </w:r>
      <w:r w:rsidR="00751B5C">
        <w:rPr>
          <w:rFonts w:cs="Arial"/>
          <w:b/>
        </w:rPr>
        <w:t>na jeden projekt vč.</w:t>
      </w:r>
      <w:r w:rsidRPr="00671E54">
        <w:rPr>
          <w:rFonts w:cs="Arial"/>
          <w:b/>
        </w:rPr>
        <w:t xml:space="preserve"> DPH: </w:t>
      </w:r>
    </w:p>
    <w:p w:rsidR="00F54F72" w:rsidRPr="000820C8" w:rsidRDefault="00167A90" w:rsidP="00B271EC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  <w:b/>
        </w:rPr>
        <w:t>1</w:t>
      </w:r>
      <w:r w:rsidR="009A2444">
        <w:rPr>
          <w:rFonts w:cs="Arial"/>
          <w:b/>
        </w:rPr>
        <w:t> 000 000 Kč</w:t>
      </w:r>
    </w:p>
    <w:p w:rsidR="001C1CAA" w:rsidRDefault="001C1CAA" w:rsidP="00B271EC">
      <w:pPr>
        <w:jc w:val="both"/>
        <w:rPr>
          <w:rFonts w:cs="Arial"/>
          <w:b/>
        </w:rPr>
      </w:pPr>
      <w:r w:rsidRPr="00671E54">
        <w:rPr>
          <w:rFonts w:cs="Arial"/>
          <w:b/>
        </w:rPr>
        <w:t xml:space="preserve">Maximální výše celkových způsobilých výdajů </w:t>
      </w:r>
      <w:r w:rsidR="009A2444">
        <w:rPr>
          <w:rFonts w:cs="Arial"/>
          <w:b/>
        </w:rPr>
        <w:t>na jeden projekt vč.</w:t>
      </w:r>
      <w:r w:rsidR="009A2444" w:rsidRPr="00671E54">
        <w:rPr>
          <w:rFonts w:cs="Arial"/>
          <w:b/>
        </w:rPr>
        <w:t xml:space="preserve"> DPH:</w:t>
      </w:r>
    </w:p>
    <w:p w:rsidR="009A2444" w:rsidRPr="002469C4" w:rsidRDefault="00167A90" w:rsidP="00B271EC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  <w:b/>
        </w:rPr>
        <w:t>500 </w:t>
      </w:r>
      <w:r w:rsidR="009A2444">
        <w:rPr>
          <w:rFonts w:cs="Arial"/>
          <w:b/>
        </w:rPr>
        <w:t>000 000 Kč</w:t>
      </w:r>
    </w:p>
    <w:p w:rsidR="002469C4" w:rsidRPr="002469C4" w:rsidRDefault="002469C4" w:rsidP="004C1D41">
      <w:pPr>
        <w:pStyle w:val="Odstavecseseznamem"/>
        <w:ind w:left="1080"/>
        <w:jc w:val="both"/>
        <w:rPr>
          <w:rFonts w:cs="Arial"/>
        </w:rPr>
      </w:pPr>
    </w:p>
    <w:p w:rsidR="00336263" w:rsidRDefault="00336263" w:rsidP="004C1D41">
      <w:pPr>
        <w:jc w:val="both"/>
        <w:rPr>
          <w:rFonts w:cs="Arial"/>
          <w:b/>
        </w:rPr>
      </w:pPr>
    </w:p>
    <w:p w:rsidR="00384CA1" w:rsidRDefault="00E131E7" w:rsidP="004C1D41">
      <w:pPr>
        <w:jc w:val="both"/>
        <w:rPr>
          <w:rFonts w:cs="Arial"/>
          <w:b/>
        </w:rPr>
      </w:pPr>
      <w:r>
        <w:rPr>
          <w:rFonts w:cs="Arial"/>
          <w:b/>
        </w:rPr>
        <w:t xml:space="preserve">Datum zahájení </w:t>
      </w:r>
      <w:r w:rsidR="00451D6B">
        <w:rPr>
          <w:rFonts w:cs="Arial"/>
          <w:b/>
        </w:rPr>
        <w:t xml:space="preserve">realizace </w:t>
      </w:r>
      <w:r>
        <w:rPr>
          <w:rFonts w:cs="Arial"/>
          <w:b/>
        </w:rPr>
        <w:t>projektu</w:t>
      </w:r>
    </w:p>
    <w:p w:rsidR="0059516D" w:rsidRDefault="0059516D" w:rsidP="004C1D41">
      <w:pPr>
        <w:jc w:val="both"/>
        <w:rPr>
          <w:rFonts w:cs="Arial"/>
        </w:rPr>
      </w:pPr>
      <w:r w:rsidRPr="0059516D">
        <w:rPr>
          <w:rFonts w:cs="Arial"/>
        </w:rPr>
        <w:lastRenderedPageBreak/>
        <w:t>Datem zahájení realizace projektu se rozumí datum prvního právního úkonu týkajícího se aktivit projektu, na které jsou vynaloženy způsobi</w:t>
      </w:r>
      <w:r>
        <w:rPr>
          <w:rFonts w:cs="Arial"/>
        </w:rPr>
        <w:t>lé výdaje, nejdříve 1. 1. 2014.</w:t>
      </w:r>
    </w:p>
    <w:p w:rsidR="00384CA1" w:rsidRDefault="00E131E7" w:rsidP="004C1D41">
      <w:pPr>
        <w:jc w:val="both"/>
        <w:rPr>
          <w:rFonts w:cs="Arial"/>
          <w:b/>
        </w:rPr>
      </w:pPr>
      <w:r>
        <w:rPr>
          <w:rFonts w:cs="Arial"/>
          <w:b/>
        </w:rPr>
        <w:t>Datum ukončení realizace projektu</w:t>
      </w:r>
    </w:p>
    <w:p w:rsidR="008D3A03" w:rsidRPr="008D3A03" w:rsidRDefault="008D3A03" w:rsidP="00226158">
      <w:pPr>
        <w:spacing w:after="120"/>
        <w:jc w:val="both"/>
        <w:rPr>
          <w:rFonts w:cs="Arial"/>
        </w:rPr>
      </w:pPr>
      <w:r w:rsidRPr="008D3A03">
        <w:rPr>
          <w:rFonts w:cs="Arial"/>
        </w:rPr>
        <w:t>Ukončení realizace projektu znamená prokazatelné uzavření všech aktivit projektu. Tuto skutečnost je třeba doložit kromě vlastních výstupů projektu fotodokumentací a protokolem o předání a převzetí díla. Datum podepsání protokolu o předání a převzetí díla (včetně odstranění vad a nedodělků bránících užívání díla) nesmí překročit termín ukončení realizace projektu uvedený v právním aktu, tj. Stanovení výdajů na financování akce OSS (dále jen „Stanovení výdajů“).</w:t>
      </w:r>
    </w:p>
    <w:p w:rsidR="008D3A03" w:rsidRPr="008D3A03" w:rsidRDefault="008D3A03" w:rsidP="004C1D41">
      <w:pPr>
        <w:jc w:val="both"/>
        <w:rPr>
          <w:rFonts w:cs="Arial"/>
          <w:b/>
        </w:rPr>
      </w:pPr>
      <w:r w:rsidRPr="008D3A03">
        <w:rPr>
          <w:rFonts w:cs="Arial"/>
        </w:rPr>
        <w:t xml:space="preserve">Realizace projektu musí být ukončena nejpozději </w:t>
      </w:r>
      <w:r w:rsidR="000B63DE">
        <w:rPr>
          <w:rFonts w:cs="Arial"/>
          <w:b/>
        </w:rPr>
        <w:t>3</w:t>
      </w:r>
      <w:r w:rsidR="00167A90">
        <w:rPr>
          <w:rFonts w:cs="Arial"/>
          <w:b/>
        </w:rPr>
        <w:t>1</w:t>
      </w:r>
      <w:r w:rsidR="000B63DE">
        <w:rPr>
          <w:rFonts w:cs="Arial"/>
          <w:b/>
        </w:rPr>
        <w:t xml:space="preserve">. </w:t>
      </w:r>
      <w:r w:rsidR="00167A90">
        <w:rPr>
          <w:rFonts w:cs="Arial"/>
          <w:b/>
        </w:rPr>
        <w:t>12</w:t>
      </w:r>
      <w:r w:rsidRPr="008D3A03">
        <w:rPr>
          <w:rFonts w:cs="Arial"/>
          <w:b/>
        </w:rPr>
        <w:t xml:space="preserve">. 2019. </w:t>
      </w:r>
      <w:r w:rsidRPr="008D3A03">
        <w:rPr>
          <w:rFonts w:cs="Arial"/>
        </w:rPr>
        <w:t xml:space="preserve">Realizace projektu může být rozdělena na etapy. Etapa nesmí být kratší než tři měsíce. </w:t>
      </w:r>
    </w:p>
    <w:p w:rsidR="000A1803" w:rsidRDefault="000A1803" w:rsidP="009E23FD">
      <w:pPr>
        <w:pStyle w:val="Pravidla11"/>
        <w:numPr>
          <w:ilvl w:val="1"/>
          <w:numId w:val="1"/>
        </w:numPr>
      </w:pPr>
      <w:bookmarkStart w:id="13" w:name="_Toc436900669"/>
      <w:r>
        <w:t>Podporované aktivity</w:t>
      </w:r>
      <w:bookmarkEnd w:id="13"/>
    </w:p>
    <w:p w:rsidR="000B63DE" w:rsidRDefault="000B63DE" w:rsidP="009E23FD">
      <w:pPr>
        <w:jc w:val="both"/>
        <w:rPr>
          <w:rFonts w:cs="Arial"/>
        </w:rPr>
      </w:pPr>
    </w:p>
    <w:p w:rsidR="008D3A03" w:rsidRDefault="008D3A03" w:rsidP="009E23FD">
      <w:pPr>
        <w:jc w:val="both"/>
        <w:rPr>
          <w:rFonts w:cs="Arial"/>
        </w:rPr>
      </w:pPr>
      <w:r>
        <w:rPr>
          <w:rFonts w:cs="Arial"/>
        </w:rPr>
        <w:t>Podporované aktivity v této vý</w:t>
      </w:r>
      <w:r w:rsidR="000B63DE">
        <w:rPr>
          <w:rFonts w:cs="Arial"/>
        </w:rPr>
        <w:t>zvě musí vycházet z projektových okruhů č. 3. 3</w:t>
      </w:r>
      <w:r>
        <w:rPr>
          <w:rFonts w:cs="Arial"/>
        </w:rPr>
        <w:t xml:space="preserve"> </w:t>
      </w:r>
      <w:r w:rsidR="000B63DE">
        <w:rPr>
          <w:rFonts w:cs="Arial"/>
        </w:rPr>
        <w:t xml:space="preserve">a č. 3. 11 </w:t>
      </w:r>
      <w:r>
        <w:rPr>
          <w:rFonts w:cs="Arial"/>
        </w:rPr>
        <w:t xml:space="preserve">implementačního plánu </w:t>
      </w:r>
      <w:proofErr w:type="gramStart"/>
      <w:r>
        <w:rPr>
          <w:rFonts w:cs="Arial"/>
        </w:rPr>
        <w:t>č. 3 Strategického</w:t>
      </w:r>
      <w:proofErr w:type="gramEnd"/>
      <w:r>
        <w:rPr>
          <w:rFonts w:cs="Arial"/>
        </w:rPr>
        <w:t xml:space="preserve"> rámce rozvoje veřejné správy.</w:t>
      </w:r>
    </w:p>
    <w:p w:rsidR="008D3A03" w:rsidRPr="00EF2C2C" w:rsidRDefault="008D3A03" w:rsidP="009E23FD">
      <w:pPr>
        <w:jc w:val="both"/>
        <w:rPr>
          <w:rFonts w:cs="Arial"/>
        </w:rPr>
      </w:pPr>
      <w:r w:rsidRPr="00EF2C2C">
        <w:rPr>
          <w:rFonts w:cs="Arial"/>
        </w:rPr>
        <w:t xml:space="preserve">Podporované aktivity v této výzvě jsou rozděleny na </w:t>
      </w:r>
      <w:r w:rsidRPr="00EF2C2C">
        <w:rPr>
          <w:rFonts w:cs="Arial"/>
          <w:b/>
        </w:rPr>
        <w:t>hlavní</w:t>
      </w:r>
      <w:r w:rsidRPr="00EF2C2C">
        <w:rPr>
          <w:rFonts w:cs="Arial"/>
        </w:rPr>
        <w:t xml:space="preserve"> a </w:t>
      </w:r>
      <w:r w:rsidRPr="00EF2C2C">
        <w:rPr>
          <w:rFonts w:cs="Arial"/>
          <w:b/>
        </w:rPr>
        <w:t>vedlejší</w:t>
      </w:r>
      <w:r w:rsidRPr="00EF2C2C">
        <w:rPr>
          <w:rFonts w:cs="Arial"/>
        </w:rPr>
        <w:t>.</w:t>
      </w:r>
    </w:p>
    <w:p w:rsidR="008D3A03" w:rsidRPr="00EF2C2C" w:rsidRDefault="008D3A03" w:rsidP="009E23FD">
      <w:pPr>
        <w:jc w:val="both"/>
        <w:rPr>
          <w:rFonts w:cs="Arial"/>
        </w:rPr>
      </w:pPr>
      <w:r w:rsidRPr="00EF2C2C">
        <w:rPr>
          <w:rFonts w:cs="Arial"/>
        </w:rPr>
        <w:t xml:space="preserve">Na hlavní aktivitu projektu musí být zaměřeno </w:t>
      </w:r>
      <w:r w:rsidRPr="00BC24D2">
        <w:rPr>
          <w:rFonts w:cs="Arial"/>
          <w:b/>
        </w:rPr>
        <w:t>minimálně 85 % způsobilých výdajů projektu</w:t>
      </w:r>
      <w:r w:rsidRPr="00EF2C2C">
        <w:rPr>
          <w:rFonts w:cs="Arial"/>
        </w:rPr>
        <w:t>. Jedná se o specifické kritérium přijatelnosti projektu.</w:t>
      </w:r>
    </w:p>
    <w:p w:rsidR="000B63DE" w:rsidRDefault="00350BCD" w:rsidP="00BC24D2">
      <w:pPr>
        <w:pStyle w:val="Pravidla111"/>
        <w:tabs>
          <w:tab w:val="left" w:pos="3900"/>
        </w:tabs>
      </w:pPr>
      <w:bookmarkStart w:id="14" w:name="_Toc436900670"/>
      <w:r>
        <w:t>Hlavní podporované aktivity</w:t>
      </w:r>
      <w:bookmarkEnd w:id="14"/>
      <w:r w:rsidR="009E23FD">
        <w:tab/>
      </w:r>
    </w:p>
    <w:p w:rsidR="0073354E" w:rsidRPr="00046991" w:rsidRDefault="00DC5B55" w:rsidP="00BC24D2">
      <w:pPr>
        <w:pStyle w:val="Odstavecseseznamem"/>
        <w:numPr>
          <w:ilvl w:val="0"/>
          <w:numId w:val="61"/>
        </w:numPr>
        <w:suppressAutoHyphens w:val="0"/>
        <w:spacing w:after="120"/>
        <w:ind w:right="170"/>
        <w:jc w:val="both"/>
        <w:rPr>
          <w:rFonts w:cs="Arial"/>
        </w:rPr>
      </w:pPr>
      <w:r w:rsidRPr="00046991">
        <w:rPr>
          <w:rFonts w:cs="Arial"/>
        </w:rPr>
        <w:t>Vytvoření elektronického systému Sbírky zákonů a mezinárodních smluv</w:t>
      </w:r>
      <w:r w:rsidR="00CD0C2D" w:rsidRPr="00046991">
        <w:rPr>
          <w:rFonts w:cs="Arial"/>
        </w:rPr>
        <w:t xml:space="preserve"> a elektronického legislativního procesu (systém e-Sbírka a e-Legislativa)</w:t>
      </w:r>
      <w:r w:rsidR="00B20D42" w:rsidRPr="00046991">
        <w:rPr>
          <w:rFonts w:cs="Arial"/>
        </w:rPr>
        <w:t xml:space="preserve"> pro ověřený a moderní přístup veřejnosti k informacím o platném a minulém právu způsobem umožňující dálkový přístup a pro pokročilou elektronickou tvorbu, oběh a projednávání právních předpisů</w:t>
      </w:r>
      <w:r w:rsidR="00B178EF">
        <w:rPr>
          <w:rFonts w:cs="Arial"/>
        </w:rPr>
        <w:t>.</w:t>
      </w:r>
    </w:p>
    <w:p w:rsidR="00DC5B55" w:rsidRPr="00046991" w:rsidRDefault="00DC5B55" w:rsidP="00BC24D2">
      <w:pPr>
        <w:pStyle w:val="Odstavecseseznamem"/>
        <w:numPr>
          <w:ilvl w:val="0"/>
          <w:numId w:val="61"/>
        </w:numPr>
        <w:suppressAutoHyphens w:val="0"/>
        <w:spacing w:after="120"/>
        <w:ind w:right="170"/>
        <w:jc w:val="both"/>
        <w:rPr>
          <w:rFonts w:cs="Arial"/>
        </w:rPr>
      </w:pPr>
      <w:r w:rsidRPr="00046991">
        <w:rPr>
          <w:rFonts w:cs="Arial"/>
        </w:rPr>
        <w:t xml:space="preserve">Vytvoření </w:t>
      </w:r>
      <w:r w:rsidR="00CD0C2D" w:rsidRPr="00046991">
        <w:rPr>
          <w:rFonts w:cs="Arial"/>
        </w:rPr>
        <w:t>ověřené</w:t>
      </w:r>
      <w:r w:rsidR="00926D48" w:rsidRPr="00046991">
        <w:rPr>
          <w:rFonts w:cs="Arial"/>
        </w:rPr>
        <w:t>ho</w:t>
      </w:r>
      <w:r w:rsidR="00CD0C2D" w:rsidRPr="00046991">
        <w:rPr>
          <w:rFonts w:cs="Arial"/>
        </w:rPr>
        <w:t xml:space="preserve"> a hluboce strukturované</w:t>
      </w:r>
      <w:r w:rsidR="008F430C" w:rsidRPr="00046991">
        <w:rPr>
          <w:rFonts w:cs="Arial"/>
        </w:rPr>
        <w:t>ho datového zdroje</w:t>
      </w:r>
      <w:r w:rsidR="00CD0C2D" w:rsidRPr="00046991">
        <w:rPr>
          <w:rFonts w:cs="Arial"/>
        </w:rPr>
        <w:t xml:space="preserve"> </w:t>
      </w:r>
      <w:r w:rsidRPr="00046991">
        <w:rPr>
          <w:rFonts w:cs="Arial"/>
        </w:rPr>
        <w:t xml:space="preserve">informací o </w:t>
      </w:r>
      <w:r w:rsidR="00CD0C2D" w:rsidRPr="00046991">
        <w:rPr>
          <w:rFonts w:cs="Arial"/>
        </w:rPr>
        <w:t>právních předpisech, mezinárodních smlouvách a</w:t>
      </w:r>
      <w:r w:rsidR="00E64E9B" w:rsidRPr="00046991">
        <w:rPr>
          <w:rFonts w:cs="Arial"/>
        </w:rPr>
        <w:t> </w:t>
      </w:r>
      <w:r w:rsidR="00CD0C2D" w:rsidRPr="00046991">
        <w:rPr>
          <w:rFonts w:cs="Arial"/>
        </w:rPr>
        <w:t>dalších souvisejících dokumentech</w:t>
      </w:r>
      <w:r w:rsidRPr="00046991">
        <w:rPr>
          <w:rFonts w:cs="Arial"/>
        </w:rPr>
        <w:t xml:space="preserve"> </w:t>
      </w:r>
      <w:r w:rsidR="008F430C" w:rsidRPr="00046991">
        <w:rPr>
          <w:rFonts w:cs="Arial"/>
        </w:rPr>
        <w:t xml:space="preserve">a jejich vazbách na právo EU </w:t>
      </w:r>
      <w:r w:rsidR="00E64E9B" w:rsidRPr="00046991">
        <w:rPr>
          <w:rFonts w:cs="Arial"/>
        </w:rPr>
        <w:t>pro systém e</w:t>
      </w:r>
      <w:r w:rsidR="00E64E9B" w:rsidRPr="00046991">
        <w:rPr>
          <w:rFonts w:cs="Arial"/>
        </w:rPr>
        <w:noBreakHyphen/>
        <w:t>Sbírka a e-Legislativa, kter</w:t>
      </w:r>
      <w:r w:rsidR="008F430C" w:rsidRPr="00046991">
        <w:rPr>
          <w:rFonts w:cs="Arial"/>
        </w:rPr>
        <w:t>á</w:t>
      </w:r>
      <w:r w:rsidR="00E64E9B" w:rsidRPr="00046991">
        <w:rPr>
          <w:rFonts w:cs="Arial"/>
        </w:rPr>
        <w:t xml:space="preserve"> bude sloužit </w:t>
      </w:r>
      <w:r w:rsidR="00CD0C2D" w:rsidRPr="00046991">
        <w:rPr>
          <w:rFonts w:cs="Arial"/>
        </w:rPr>
        <w:t>pro</w:t>
      </w:r>
      <w:r w:rsidR="005F150D" w:rsidRPr="00046991">
        <w:rPr>
          <w:rFonts w:cs="Arial"/>
        </w:rPr>
        <w:t xml:space="preserve"> </w:t>
      </w:r>
      <w:r w:rsidR="00E64E9B" w:rsidRPr="00046991">
        <w:rPr>
          <w:rFonts w:cs="Arial"/>
        </w:rPr>
        <w:t xml:space="preserve">bezplatný </w:t>
      </w:r>
      <w:r w:rsidR="00CD0C2D" w:rsidRPr="00046991">
        <w:rPr>
          <w:rFonts w:cs="Arial"/>
        </w:rPr>
        <w:t>přístup</w:t>
      </w:r>
      <w:r w:rsidRPr="00046991">
        <w:rPr>
          <w:rFonts w:cs="Arial"/>
        </w:rPr>
        <w:t xml:space="preserve"> veřejnosti </w:t>
      </w:r>
      <w:r w:rsidR="00CD0C2D" w:rsidRPr="00046991">
        <w:rPr>
          <w:rFonts w:cs="Arial"/>
        </w:rPr>
        <w:t xml:space="preserve">k informacím o platném a minulém právu </w:t>
      </w:r>
      <w:r w:rsidRPr="00046991">
        <w:rPr>
          <w:rFonts w:cs="Arial"/>
        </w:rPr>
        <w:t>způsobem umožňující dálkový přístup</w:t>
      </w:r>
      <w:r w:rsidR="00CD0C2D" w:rsidRPr="00046991">
        <w:rPr>
          <w:rFonts w:cs="Arial"/>
        </w:rPr>
        <w:t xml:space="preserve"> a </w:t>
      </w:r>
      <w:r w:rsidR="00E64E9B" w:rsidRPr="00046991">
        <w:rPr>
          <w:rFonts w:cs="Arial"/>
        </w:rPr>
        <w:t xml:space="preserve">jako ověřený datový zdroj </w:t>
      </w:r>
      <w:r w:rsidR="00CD0C2D" w:rsidRPr="00046991">
        <w:rPr>
          <w:rFonts w:cs="Arial"/>
        </w:rPr>
        <w:t xml:space="preserve">pro </w:t>
      </w:r>
      <w:r w:rsidR="00E64E9B" w:rsidRPr="00046991">
        <w:rPr>
          <w:rFonts w:cs="Arial"/>
        </w:rPr>
        <w:t xml:space="preserve">systém </w:t>
      </w:r>
      <w:r w:rsidR="00CD0C2D" w:rsidRPr="00046991">
        <w:rPr>
          <w:rFonts w:cs="Arial"/>
        </w:rPr>
        <w:t>elektronick</w:t>
      </w:r>
      <w:r w:rsidR="00E64E9B" w:rsidRPr="00046991">
        <w:rPr>
          <w:rFonts w:cs="Arial"/>
        </w:rPr>
        <w:t xml:space="preserve">é tvorby, </w:t>
      </w:r>
      <w:r w:rsidR="008F430C" w:rsidRPr="00046991">
        <w:rPr>
          <w:rFonts w:cs="Arial"/>
        </w:rPr>
        <w:t xml:space="preserve">uzavřeného </w:t>
      </w:r>
      <w:r w:rsidR="00E64E9B" w:rsidRPr="00046991">
        <w:rPr>
          <w:rFonts w:cs="Arial"/>
        </w:rPr>
        <w:t>oběhu a projednávání</w:t>
      </w:r>
      <w:r w:rsidR="00CD0C2D" w:rsidRPr="00046991">
        <w:rPr>
          <w:rFonts w:cs="Arial"/>
        </w:rPr>
        <w:t xml:space="preserve"> právních předpisů</w:t>
      </w:r>
      <w:r w:rsidR="00B178EF">
        <w:rPr>
          <w:rFonts w:cs="Arial"/>
        </w:rPr>
        <w:t>.</w:t>
      </w:r>
    </w:p>
    <w:p w:rsidR="00DC5B55" w:rsidRPr="00046991" w:rsidRDefault="00CD0C2D" w:rsidP="00BC24D2">
      <w:pPr>
        <w:pStyle w:val="Odstavecseseznamem"/>
        <w:numPr>
          <w:ilvl w:val="0"/>
          <w:numId w:val="61"/>
        </w:numPr>
        <w:suppressAutoHyphens w:val="0"/>
        <w:spacing w:after="120"/>
        <w:ind w:right="170"/>
        <w:jc w:val="both"/>
        <w:rPr>
          <w:rFonts w:cs="Arial"/>
        </w:rPr>
      </w:pPr>
      <w:r w:rsidRPr="00046991">
        <w:rPr>
          <w:rFonts w:cs="Arial"/>
        </w:rPr>
        <w:t>Přizpůsobení</w:t>
      </w:r>
      <w:r w:rsidR="00DC5B55" w:rsidRPr="00046991">
        <w:rPr>
          <w:rFonts w:cs="Arial"/>
        </w:rPr>
        <w:t xml:space="preserve"> informačních systémů Úřadu vlády ČR, Kanceláře Poslanecké sněmovny a </w:t>
      </w:r>
      <w:r w:rsidR="005F150D" w:rsidRPr="00046991">
        <w:rPr>
          <w:rFonts w:cs="Arial"/>
        </w:rPr>
        <w:t xml:space="preserve">Kanceláře Senátu přímo navazující na </w:t>
      </w:r>
      <w:r w:rsidR="00B20D42" w:rsidRPr="00046991">
        <w:rPr>
          <w:rFonts w:cs="Arial"/>
        </w:rPr>
        <w:t>výstavbu systému e-Sbírka a e</w:t>
      </w:r>
      <w:r w:rsidR="00B20D42" w:rsidRPr="00046991">
        <w:rPr>
          <w:rFonts w:cs="Arial"/>
        </w:rPr>
        <w:noBreakHyphen/>
        <w:t>Legislativa</w:t>
      </w:r>
      <w:r w:rsidR="00B178EF">
        <w:rPr>
          <w:rFonts w:cs="Arial"/>
        </w:rPr>
        <w:t>.</w:t>
      </w:r>
    </w:p>
    <w:p w:rsidR="0073354E" w:rsidRPr="00046991" w:rsidRDefault="005F150D" w:rsidP="00BC24D2">
      <w:pPr>
        <w:pStyle w:val="Odstavecseseznamem"/>
        <w:numPr>
          <w:ilvl w:val="0"/>
          <w:numId w:val="61"/>
        </w:numPr>
        <w:suppressAutoHyphens w:val="0"/>
        <w:spacing w:after="120"/>
        <w:ind w:right="170"/>
        <w:jc w:val="both"/>
        <w:rPr>
          <w:rFonts w:cs="Arial"/>
        </w:rPr>
      </w:pPr>
      <w:r w:rsidRPr="00046991">
        <w:rPr>
          <w:rFonts w:cs="Arial"/>
        </w:rPr>
        <w:t>Rozvoj Národního digitálního archivu</w:t>
      </w:r>
      <w:r w:rsidR="009470B3" w:rsidRPr="00046991">
        <w:rPr>
          <w:rFonts w:cs="Arial"/>
        </w:rPr>
        <w:t>, který zajistí naplnění povinností Národního archivu s ohledem na uložení a zpřístupnění archiválií v digitální podobě dle zákona č. 499/2004 Sb., o archivnictví a spisové službě v platném znění, především § 46, odst. 3 písm. a), b) a dále § 18b odst. 3, 4.</w:t>
      </w:r>
      <w:r w:rsidRPr="00046991">
        <w:rPr>
          <w:rFonts w:cs="Arial"/>
        </w:rPr>
        <w:t xml:space="preserve"> </w:t>
      </w:r>
    </w:p>
    <w:p w:rsidR="00A00D8A" w:rsidRPr="00EF2C2C" w:rsidRDefault="00A00D8A" w:rsidP="009E23FD">
      <w:pPr>
        <w:jc w:val="both"/>
        <w:rPr>
          <w:rFonts w:cs="Arial"/>
        </w:rPr>
      </w:pPr>
      <w:r w:rsidRPr="00EF2C2C">
        <w:rPr>
          <w:rFonts w:cs="Arial"/>
        </w:rPr>
        <w:t xml:space="preserve">Pořízený informační systém musí zajišťovat minimálně tři nové funkcionality, pokud v upravovaném informačním systému v době podání žádosti o podporu neexistují. </w:t>
      </w:r>
      <w:r w:rsidRPr="00EF2C2C">
        <w:rPr>
          <w:rFonts w:cs="Arial"/>
        </w:rPr>
        <w:lastRenderedPageBreak/>
        <w:t>Pokud funkcionalita v upravovaném informačním systému existuje, není možné ji započítat. Jedná se o následující funkcionality:</w:t>
      </w:r>
    </w:p>
    <w:p w:rsidR="00A00D8A" w:rsidRPr="00EF2C2C" w:rsidRDefault="00A00D8A" w:rsidP="00BC24D2">
      <w:pPr>
        <w:pStyle w:val="Odstavecseseznamem"/>
        <w:numPr>
          <w:ilvl w:val="0"/>
          <w:numId w:val="61"/>
        </w:numPr>
        <w:suppressAutoHyphens w:val="0"/>
        <w:spacing w:after="120"/>
        <w:ind w:right="170"/>
        <w:jc w:val="both"/>
        <w:rPr>
          <w:rFonts w:cs="Arial"/>
        </w:rPr>
      </w:pPr>
      <w:r w:rsidRPr="00EF2C2C">
        <w:rPr>
          <w:rFonts w:cs="Arial"/>
          <w:b/>
        </w:rPr>
        <w:t>samoobslužný proces veřejné správy</w:t>
      </w:r>
      <w:r w:rsidRPr="00EF2C2C">
        <w:rPr>
          <w:rFonts w:cs="Arial"/>
        </w:rPr>
        <w:t xml:space="preserve"> (modernizovaný nebo nový  </w:t>
      </w:r>
      <w:proofErr w:type="spellStart"/>
      <w:r w:rsidRPr="00EF2C2C">
        <w:rPr>
          <w:rFonts w:cs="Arial"/>
        </w:rPr>
        <w:t>agendový</w:t>
      </w:r>
      <w:proofErr w:type="spellEnd"/>
      <w:r w:rsidRPr="00EF2C2C">
        <w:rPr>
          <w:rFonts w:cs="Arial"/>
        </w:rPr>
        <w:t xml:space="preserve"> informační systém veřejné správy vytvářející podporu samoobslužných procesů veřejné správy, které využívají občané nebo firmy bez nutnosti osobní návštěvy na úřadu a bez nutnosti zprostředkování služby veřejné správy úředníkem), a/nebo</w:t>
      </w:r>
    </w:p>
    <w:p w:rsidR="00A00D8A" w:rsidRPr="00EF2C2C" w:rsidRDefault="00A00D8A" w:rsidP="00BC24D2">
      <w:pPr>
        <w:pStyle w:val="Odstavecseseznamem"/>
        <w:numPr>
          <w:ilvl w:val="0"/>
          <w:numId w:val="61"/>
        </w:numPr>
        <w:suppressAutoHyphens w:val="0"/>
        <w:spacing w:after="120"/>
        <w:ind w:right="170"/>
        <w:jc w:val="both"/>
        <w:rPr>
          <w:rFonts w:cs="Arial"/>
        </w:rPr>
      </w:pPr>
      <w:r w:rsidRPr="00EF2C2C">
        <w:rPr>
          <w:rFonts w:cs="Arial"/>
          <w:b/>
        </w:rPr>
        <w:t>propojování datového fondu veřejné správy</w:t>
      </w:r>
      <w:r w:rsidRPr="00EF2C2C">
        <w:rPr>
          <w:rFonts w:cs="Arial"/>
        </w:rPr>
        <w:t xml:space="preserve"> (modernizovaný nebo nový  </w:t>
      </w:r>
      <w:proofErr w:type="spellStart"/>
      <w:r w:rsidRPr="00EF2C2C">
        <w:rPr>
          <w:rFonts w:cs="Arial"/>
        </w:rPr>
        <w:t>agendový</w:t>
      </w:r>
      <w:proofErr w:type="spellEnd"/>
      <w:r w:rsidRPr="00EF2C2C">
        <w:rPr>
          <w:rFonts w:cs="Arial"/>
        </w:rPr>
        <w:t xml:space="preserve"> informační systém veřejné správy zajišťující publikaci agendových údajů, resp. využívání údajů agendou  z propojeného datového fondu v návaznosti na referenční údaje základních registrů) a/nebo</w:t>
      </w:r>
    </w:p>
    <w:p w:rsidR="00A00D8A" w:rsidRPr="00EF2C2C" w:rsidRDefault="00A00D8A" w:rsidP="00BC24D2">
      <w:pPr>
        <w:pStyle w:val="Odstavecseseznamem"/>
        <w:numPr>
          <w:ilvl w:val="0"/>
          <w:numId w:val="61"/>
        </w:numPr>
        <w:suppressAutoHyphens w:val="0"/>
        <w:spacing w:after="120"/>
        <w:ind w:right="170"/>
        <w:jc w:val="both"/>
        <w:rPr>
          <w:rFonts w:cs="Arial"/>
        </w:rPr>
      </w:pPr>
      <w:r w:rsidRPr="00EF2C2C">
        <w:rPr>
          <w:rFonts w:cs="Arial"/>
          <w:b/>
        </w:rPr>
        <w:t>zajištění provozní spolehlivosti a bezpečnosti</w:t>
      </w:r>
      <w:r w:rsidRPr="00EF2C2C">
        <w:rPr>
          <w:rFonts w:cs="Arial"/>
        </w:rPr>
        <w:t xml:space="preserve"> (nové funkce  informačního systému veřejné správy zajišťující bezpečnou, důvěryhodnou  a spolehlivou provozní podporu agendových informačních systémů podle definovaných provozních parametrů a s příslušnou provozní podporou včetně nastaveného provozního a bezpečnostního dohledu) a/nebo</w:t>
      </w:r>
    </w:p>
    <w:p w:rsidR="00A00D8A" w:rsidRPr="00EF2C2C" w:rsidRDefault="00A00D8A" w:rsidP="00BC24D2">
      <w:pPr>
        <w:pStyle w:val="Odstavecseseznamem"/>
        <w:numPr>
          <w:ilvl w:val="0"/>
          <w:numId w:val="61"/>
        </w:numPr>
        <w:suppressAutoHyphens w:val="0"/>
        <w:spacing w:after="120"/>
        <w:ind w:right="170"/>
        <w:jc w:val="both"/>
        <w:rPr>
          <w:rFonts w:cs="Arial"/>
        </w:rPr>
      </w:pPr>
      <w:r w:rsidRPr="00EF2C2C">
        <w:rPr>
          <w:rFonts w:cs="Arial"/>
          <w:b/>
        </w:rPr>
        <w:t>dostupnost služeb veřejné správy</w:t>
      </w:r>
      <w:r w:rsidRPr="00EF2C2C">
        <w:rPr>
          <w:rFonts w:cs="Arial"/>
        </w:rPr>
        <w:t xml:space="preserve"> (modernizovaný nebo nový  </w:t>
      </w:r>
      <w:proofErr w:type="spellStart"/>
      <w:r w:rsidRPr="00EF2C2C">
        <w:rPr>
          <w:rFonts w:cs="Arial"/>
        </w:rPr>
        <w:t>agendový</w:t>
      </w:r>
      <w:proofErr w:type="spellEnd"/>
      <w:r w:rsidRPr="00EF2C2C">
        <w:rPr>
          <w:rFonts w:cs="Arial"/>
        </w:rPr>
        <w:t xml:space="preserve"> informační systém veřejné správy, zajišťující podporu samoobslužných procesů veřejné správy různými dálkovými komunikačními  kanály (web, mobilní aplikace, call centrum a další) a pro různé úrovně zabezpečení autentizace klientů - od anonymních po nejvyšší záruky bezpečnosti)  a/nebo</w:t>
      </w:r>
    </w:p>
    <w:p w:rsidR="00A00D8A" w:rsidRPr="00EF2C2C" w:rsidRDefault="00A00D8A" w:rsidP="00BC24D2">
      <w:pPr>
        <w:pStyle w:val="Odstavecseseznamem"/>
        <w:numPr>
          <w:ilvl w:val="0"/>
          <w:numId w:val="61"/>
        </w:numPr>
        <w:suppressAutoHyphens w:val="0"/>
        <w:spacing w:after="120"/>
        <w:ind w:right="170"/>
        <w:jc w:val="both"/>
        <w:rPr>
          <w:rFonts w:cs="Arial"/>
        </w:rPr>
      </w:pPr>
      <w:r w:rsidRPr="00EF2C2C">
        <w:rPr>
          <w:rFonts w:cs="Arial"/>
          <w:b/>
        </w:rPr>
        <w:t>interoperabilita na území státu s přesahem v rámci EU</w:t>
      </w:r>
      <w:r w:rsidRPr="00EF2C2C">
        <w:rPr>
          <w:rFonts w:cs="Arial"/>
        </w:rPr>
        <w:t xml:space="preserve"> (modernizovaný nebo nový  </w:t>
      </w:r>
      <w:proofErr w:type="spellStart"/>
      <w:r w:rsidRPr="00EF2C2C">
        <w:rPr>
          <w:rFonts w:cs="Arial"/>
        </w:rPr>
        <w:t>agendový</w:t>
      </w:r>
      <w:proofErr w:type="spellEnd"/>
      <w:r w:rsidRPr="00EF2C2C">
        <w:rPr>
          <w:rFonts w:cs="Arial"/>
        </w:rPr>
        <w:t xml:space="preserve"> informační systém veřejné správy, zajišťující publikaci agendových údajů v návaznosti na referenční údaje základních registrů prostřednictvím propojeného datového fondu, resp. čerpající údaje z propojeného datového fondu, při respektování následujících parametrů: informační systém využívá pro identifikaci, autentizaci a autorizaci klientů, včetně klientů z ostatních členských států EU, postupy podle </w:t>
      </w:r>
      <w:proofErr w:type="spellStart"/>
      <w:r w:rsidRPr="00EF2C2C">
        <w:rPr>
          <w:rFonts w:cs="Arial"/>
        </w:rPr>
        <w:t>eIDAS</w:t>
      </w:r>
      <w:proofErr w:type="spellEnd"/>
      <w:r w:rsidRPr="00EF2C2C">
        <w:rPr>
          <w:rFonts w:cs="Arial"/>
        </w:rPr>
        <w:t xml:space="preserve">; informační systém využívá sdílené údaje pro výkon vlastní agendy bez nutnosti požadovat je na klientovi a IS využívá disponibilní sdílené služby </w:t>
      </w:r>
      <w:proofErr w:type="spellStart"/>
      <w:r w:rsidRPr="00EF2C2C">
        <w:rPr>
          <w:rFonts w:cs="Arial"/>
        </w:rPr>
        <w:t>eGovernmentu</w:t>
      </w:r>
      <w:proofErr w:type="spellEnd"/>
      <w:r w:rsidRPr="00EF2C2C">
        <w:rPr>
          <w:rFonts w:cs="Arial"/>
        </w:rPr>
        <w:t xml:space="preserve"> (např. Informační systém datových schránek) v souladu s architektonickými vzory Národního architektonického plánu  a/nebo</w:t>
      </w:r>
    </w:p>
    <w:p w:rsidR="00A00D8A" w:rsidRPr="00EF2C2C" w:rsidRDefault="00A00D8A" w:rsidP="00BC24D2">
      <w:pPr>
        <w:pStyle w:val="Odstavecseseznamem"/>
        <w:numPr>
          <w:ilvl w:val="0"/>
          <w:numId w:val="61"/>
        </w:numPr>
        <w:suppressAutoHyphens w:val="0"/>
        <w:spacing w:after="120"/>
        <w:ind w:right="170"/>
        <w:jc w:val="both"/>
        <w:rPr>
          <w:rFonts w:cs="Arial"/>
        </w:rPr>
      </w:pPr>
      <w:r w:rsidRPr="00EF2C2C">
        <w:rPr>
          <w:rFonts w:cs="Arial"/>
          <w:b/>
        </w:rPr>
        <w:t>celoplošná dostupnost</w:t>
      </w:r>
      <w:r w:rsidRPr="00EF2C2C">
        <w:rPr>
          <w:rFonts w:cs="Arial"/>
        </w:rPr>
        <w:t xml:space="preserve"> (modernizovaný nebo nový logicky centralizovaný  </w:t>
      </w:r>
      <w:proofErr w:type="spellStart"/>
      <w:r w:rsidRPr="00EF2C2C">
        <w:rPr>
          <w:rFonts w:cs="Arial"/>
        </w:rPr>
        <w:t>agendový</w:t>
      </w:r>
      <w:proofErr w:type="spellEnd"/>
      <w:r w:rsidRPr="00EF2C2C">
        <w:rPr>
          <w:rFonts w:cs="Arial"/>
        </w:rPr>
        <w:t xml:space="preserve"> informační systém veřejné správy, zajišťující příslušné </w:t>
      </w:r>
      <w:proofErr w:type="spellStart"/>
      <w:r w:rsidRPr="00EF2C2C">
        <w:rPr>
          <w:rFonts w:cs="Arial"/>
        </w:rPr>
        <w:t>agendové</w:t>
      </w:r>
      <w:proofErr w:type="spellEnd"/>
      <w:r w:rsidRPr="00EF2C2C">
        <w:rPr>
          <w:rFonts w:cs="Arial"/>
        </w:rPr>
        <w:t xml:space="preserve"> služby pro občany a firmy z celé republiky i z EU s definovanou mírou spolehlivosti a bezpečnosti v režimu 24 x 7 s automatickým rozlišením místní a věcné příslušnosti příslušného správního orgánu v závislosti na agendě a klientovi)</w:t>
      </w:r>
      <w:r>
        <w:rPr>
          <w:rFonts w:cs="Arial"/>
        </w:rPr>
        <w:t>.</w:t>
      </w:r>
    </w:p>
    <w:p w:rsidR="00A00D8A" w:rsidRDefault="00A00D8A" w:rsidP="009E23FD">
      <w:pPr>
        <w:jc w:val="both"/>
        <w:rPr>
          <w:rFonts w:cs="Arial"/>
        </w:rPr>
      </w:pPr>
      <w:r w:rsidRPr="00EF2C2C">
        <w:rPr>
          <w:rFonts w:cs="Arial"/>
        </w:rPr>
        <w:t xml:space="preserve">V případě, že žadatel uvede novou funkcionalitou, která není uvedená v tomto seznamu, funkcionalitu a její relevance posoudí Útvar hlavního architekta </w:t>
      </w:r>
      <w:proofErr w:type="spellStart"/>
      <w:r w:rsidRPr="00EF2C2C">
        <w:rPr>
          <w:rFonts w:cs="Arial"/>
        </w:rPr>
        <w:t>eGovernmentu</w:t>
      </w:r>
      <w:proofErr w:type="spellEnd"/>
      <w:r w:rsidRPr="00EF2C2C">
        <w:rPr>
          <w:rFonts w:cs="Arial"/>
        </w:rPr>
        <w:t xml:space="preserve"> ve svém </w:t>
      </w:r>
      <w:r w:rsidR="00B178EF">
        <w:rPr>
          <w:rFonts w:cs="Arial"/>
        </w:rPr>
        <w:t>S</w:t>
      </w:r>
      <w:r w:rsidR="00B178EF" w:rsidRPr="00EF2C2C">
        <w:rPr>
          <w:rFonts w:cs="Arial"/>
        </w:rPr>
        <w:t>tanovisku</w:t>
      </w:r>
      <w:r w:rsidRPr="00EF2C2C">
        <w:rPr>
          <w:rFonts w:cs="Arial"/>
        </w:rPr>
        <w:t>.</w:t>
      </w:r>
    </w:p>
    <w:p w:rsidR="00A00D8A" w:rsidRPr="000B63DE" w:rsidRDefault="00A00D8A" w:rsidP="009E23FD">
      <w:pPr>
        <w:jc w:val="both"/>
        <w:rPr>
          <w:rFonts w:cs="Arial"/>
          <w:vanish/>
        </w:rPr>
      </w:pPr>
    </w:p>
    <w:p w:rsidR="000B63DE" w:rsidRDefault="00F935C3" w:rsidP="009E23FD">
      <w:pPr>
        <w:pStyle w:val="Pravidla111"/>
      </w:pPr>
      <w:bookmarkStart w:id="15" w:name="_Toc436900671"/>
      <w:r w:rsidRPr="00350BCD">
        <w:t>Vedlejší podporované aktivity</w:t>
      </w:r>
      <w:bookmarkEnd w:id="15"/>
    </w:p>
    <w:p w:rsidR="004D6041" w:rsidRPr="00EF2C2C" w:rsidRDefault="004D6041" w:rsidP="009E23FD">
      <w:pPr>
        <w:pStyle w:val="Odstavecseseznamem"/>
        <w:numPr>
          <w:ilvl w:val="0"/>
          <w:numId w:val="23"/>
        </w:numPr>
        <w:ind w:left="709" w:hanging="283"/>
        <w:jc w:val="both"/>
        <w:rPr>
          <w:rFonts w:cs="Arial"/>
        </w:rPr>
      </w:pPr>
      <w:r w:rsidRPr="00EF2C2C">
        <w:rPr>
          <w:rFonts w:cs="Arial"/>
        </w:rPr>
        <w:t>pořízení studie proveditelnosti,</w:t>
      </w:r>
    </w:p>
    <w:p w:rsidR="004D6041" w:rsidRPr="00EF2C2C" w:rsidRDefault="004D6041" w:rsidP="00BC4DB8">
      <w:pPr>
        <w:pStyle w:val="Odstavecseseznamem"/>
        <w:numPr>
          <w:ilvl w:val="0"/>
          <w:numId w:val="23"/>
        </w:numPr>
        <w:ind w:left="709" w:hanging="283"/>
        <w:jc w:val="both"/>
        <w:rPr>
          <w:rFonts w:cs="Arial"/>
        </w:rPr>
      </w:pPr>
      <w:r w:rsidRPr="00EF2C2C">
        <w:rPr>
          <w:rFonts w:cs="Arial"/>
        </w:rPr>
        <w:t>stavební úpravy nezbytné pro zajištění bezpečné funkčnosti pořizovaného informačního systému,</w:t>
      </w:r>
    </w:p>
    <w:p w:rsidR="004D6041" w:rsidRDefault="004D6041" w:rsidP="009A7CB8">
      <w:pPr>
        <w:pStyle w:val="Odstavecseseznamem"/>
        <w:numPr>
          <w:ilvl w:val="0"/>
          <w:numId w:val="23"/>
        </w:numPr>
        <w:ind w:left="709" w:hanging="283"/>
        <w:jc w:val="both"/>
        <w:rPr>
          <w:rFonts w:cs="Arial"/>
        </w:rPr>
      </w:pPr>
      <w:r w:rsidRPr="00EF2C2C">
        <w:rPr>
          <w:rFonts w:cs="Arial"/>
        </w:rPr>
        <w:t>výdaje na zpracování zadávacích dokumentací k veřejným zakázkám a na organizaci výběrových a zadávacích řízení,</w:t>
      </w:r>
    </w:p>
    <w:p w:rsidR="00167A90" w:rsidRPr="00EF2C2C" w:rsidRDefault="00167A90">
      <w:pPr>
        <w:pStyle w:val="Odstavecseseznamem"/>
        <w:numPr>
          <w:ilvl w:val="0"/>
          <w:numId w:val="23"/>
        </w:numPr>
        <w:ind w:left="709" w:hanging="283"/>
        <w:jc w:val="both"/>
        <w:rPr>
          <w:rFonts w:cs="Arial"/>
        </w:rPr>
      </w:pPr>
      <w:r>
        <w:rPr>
          <w:rFonts w:cs="Arial"/>
        </w:rPr>
        <w:lastRenderedPageBreak/>
        <w:t>výdaje na</w:t>
      </w:r>
      <w:r w:rsidR="00926D48">
        <w:rPr>
          <w:rFonts w:cs="Arial"/>
        </w:rPr>
        <w:t xml:space="preserve"> služby</w:t>
      </w:r>
      <w:r>
        <w:rPr>
          <w:rFonts w:cs="Arial"/>
        </w:rPr>
        <w:t xml:space="preserve"> systémového architekta</w:t>
      </w:r>
      <w:r w:rsidR="00CD0C2D">
        <w:rPr>
          <w:rFonts w:cs="Arial"/>
        </w:rPr>
        <w:t xml:space="preserve"> a jeho dohled nad realizací architektonického řešení</w:t>
      </w:r>
      <w:r>
        <w:rPr>
          <w:rFonts w:cs="Arial"/>
        </w:rPr>
        <w:t>,</w:t>
      </w:r>
    </w:p>
    <w:p w:rsidR="004D6041" w:rsidRPr="00EF2C2C" w:rsidRDefault="004D6041">
      <w:pPr>
        <w:pStyle w:val="Odstavecseseznamem"/>
        <w:numPr>
          <w:ilvl w:val="0"/>
          <w:numId w:val="23"/>
        </w:numPr>
        <w:ind w:left="709" w:hanging="283"/>
        <w:jc w:val="both"/>
        <w:rPr>
          <w:rFonts w:cs="Arial"/>
        </w:rPr>
      </w:pPr>
      <w:r w:rsidRPr="00EF2C2C">
        <w:rPr>
          <w:rFonts w:cs="Arial"/>
        </w:rPr>
        <w:t>povinná publicita.</w:t>
      </w:r>
    </w:p>
    <w:p w:rsidR="007C393B" w:rsidRPr="007C393B" w:rsidRDefault="007C393B" w:rsidP="007C393B">
      <w:pPr>
        <w:pStyle w:val="Odstavecseseznamem"/>
        <w:keepNext/>
        <w:keepLines/>
        <w:numPr>
          <w:ilvl w:val="0"/>
          <w:numId w:val="40"/>
        </w:numPr>
        <w:spacing w:before="480" w:after="0"/>
        <w:contextualSpacing w:val="0"/>
        <w:outlineLvl w:val="0"/>
        <w:rPr>
          <w:rFonts w:cs="Arial"/>
          <w:b/>
          <w:bCs/>
          <w:vanish/>
          <w:color w:val="000000"/>
          <w:sz w:val="28"/>
          <w:szCs w:val="28"/>
        </w:rPr>
      </w:pPr>
      <w:bookmarkStart w:id="16" w:name="_Toc433128182"/>
      <w:bookmarkStart w:id="17" w:name="_Toc433128260"/>
      <w:bookmarkStart w:id="18" w:name="_Toc433128334"/>
      <w:bookmarkStart w:id="19" w:name="_Toc433128406"/>
      <w:bookmarkStart w:id="20" w:name="_Toc433128754"/>
      <w:bookmarkStart w:id="21" w:name="_Toc433128947"/>
      <w:bookmarkStart w:id="22" w:name="_Toc433129117"/>
      <w:bookmarkStart w:id="23" w:name="_Toc433178533"/>
      <w:bookmarkStart w:id="24" w:name="_Toc433185912"/>
      <w:bookmarkStart w:id="25" w:name="_Toc433187013"/>
      <w:bookmarkStart w:id="26" w:name="_Toc435115872"/>
      <w:bookmarkStart w:id="27" w:name="_Toc435115917"/>
      <w:bookmarkStart w:id="28" w:name="_Toc436900672"/>
      <w:bookmarkStart w:id="29" w:name="_Toc43026275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C393B" w:rsidRPr="007C393B" w:rsidRDefault="007C393B" w:rsidP="007C393B">
      <w:pPr>
        <w:pStyle w:val="Odstavecseseznamem"/>
        <w:keepNext/>
        <w:keepLines/>
        <w:numPr>
          <w:ilvl w:val="0"/>
          <w:numId w:val="40"/>
        </w:numPr>
        <w:spacing w:before="480" w:after="0"/>
        <w:contextualSpacing w:val="0"/>
        <w:outlineLvl w:val="0"/>
        <w:rPr>
          <w:rFonts w:cs="Arial"/>
          <w:b/>
          <w:bCs/>
          <w:vanish/>
          <w:color w:val="000000"/>
          <w:sz w:val="28"/>
          <w:szCs w:val="28"/>
        </w:rPr>
      </w:pPr>
      <w:bookmarkStart w:id="30" w:name="_Toc433128183"/>
      <w:bookmarkStart w:id="31" w:name="_Toc433128261"/>
      <w:bookmarkStart w:id="32" w:name="_Toc433128335"/>
      <w:bookmarkStart w:id="33" w:name="_Toc433128407"/>
      <w:bookmarkStart w:id="34" w:name="_Toc433128755"/>
      <w:bookmarkStart w:id="35" w:name="_Toc433128948"/>
      <w:bookmarkStart w:id="36" w:name="_Toc433129118"/>
      <w:bookmarkStart w:id="37" w:name="_Toc433178534"/>
      <w:bookmarkStart w:id="38" w:name="_Toc433185913"/>
      <w:bookmarkStart w:id="39" w:name="_Toc433187014"/>
      <w:bookmarkStart w:id="40" w:name="_Toc435115873"/>
      <w:bookmarkStart w:id="41" w:name="_Toc435115918"/>
      <w:bookmarkStart w:id="42" w:name="_Toc436900673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7C393B" w:rsidRPr="007C393B" w:rsidRDefault="007C393B" w:rsidP="007C393B">
      <w:pPr>
        <w:pStyle w:val="Odstavecseseznamem"/>
        <w:keepNext/>
        <w:keepLines/>
        <w:numPr>
          <w:ilvl w:val="1"/>
          <w:numId w:val="40"/>
        </w:numPr>
        <w:spacing w:before="480" w:after="0"/>
        <w:contextualSpacing w:val="0"/>
        <w:outlineLvl w:val="0"/>
        <w:rPr>
          <w:rFonts w:cs="Arial"/>
          <w:b/>
          <w:bCs/>
          <w:vanish/>
          <w:color w:val="000000"/>
          <w:sz w:val="28"/>
          <w:szCs w:val="28"/>
        </w:rPr>
      </w:pPr>
      <w:bookmarkStart w:id="43" w:name="_Toc433128184"/>
      <w:bookmarkStart w:id="44" w:name="_Toc433128262"/>
      <w:bookmarkStart w:id="45" w:name="_Toc433128336"/>
      <w:bookmarkStart w:id="46" w:name="_Toc433128408"/>
      <w:bookmarkStart w:id="47" w:name="_Toc433128756"/>
      <w:bookmarkStart w:id="48" w:name="_Toc433128949"/>
      <w:bookmarkStart w:id="49" w:name="_Toc433129119"/>
      <w:bookmarkStart w:id="50" w:name="_Toc433178535"/>
      <w:bookmarkStart w:id="51" w:name="_Toc433185914"/>
      <w:bookmarkStart w:id="52" w:name="_Toc433187015"/>
      <w:bookmarkStart w:id="53" w:name="_Toc435115874"/>
      <w:bookmarkStart w:id="54" w:name="_Toc435115919"/>
      <w:bookmarkStart w:id="55" w:name="_Toc436900674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7C393B" w:rsidRPr="007C393B" w:rsidRDefault="007C393B" w:rsidP="007C393B">
      <w:pPr>
        <w:pStyle w:val="Odstavecseseznamem"/>
        <w:keepNext/>
        <w:keepLines/>
        <w:numPr>
          <w:ilvl w:val="1"/>
          <w:numId w:val="40"/>
        </w:numPr>
        <w:spacing w:before="480" w:after="0"/>
        <w:contextualSpacing w:val="0"/>
        <w:outlineLvl w:val="0"/>
        <w:rPr>
          <w:rFonts w:cs="Arial"/>
          <w:b/>
          <w:bCs/>
          <w:vanish/>
          <w:color w:val="000000"/>
          <w:sz w:val="28"/>
          <w:szCs w:val="28"/>
        </w:rPr>
      </w:pPr>
      <w:bookmarkStart w:id="56" w:name="_Toc433128185"/>
      <w:bookmarkStart w:id="57" w:name="_Toc433128263"/>
      <w:bookmarkStart w:id="58" w:name="_Toc433128337"/>
      <w:bookmarkStart w:id="59" w:name="_Toc433128409"/>
      <w:bookmarkStart w:id="60" w:name="_Toc433128757"/>
      <w:bookmarkStart w:id="61" w:name="_Toc433128950"/>
      <w:bookmarkStart w:id="62" w:name="_Toc433129120"/>
      <w:bookmarkStart w:id="63" w:name="_Toc433178536"/>
      <w:bookmarkStart w:id="64" w:name="_Toc433185915"/>
      <w:bookmarkStart w:id="65" w:name="_Toc433187016"/>
      <w:bookmarkStart w:id="66" w:name="_Toc435115875"/>
      <w:bookmarkStart w:id="67" w:name="_Toc435115920"/>
      <w:bookmarkStart w:id="68" w:name="_Toc43690067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44627B" w:rsidRDefault="0044627B" w:rsidP="00226158">
      <w:pPr>
        <w:pStyle w:val="Pravidla11"/>
        <w:numPr>
          <w:ilvl w:val="1"/>
          <w:numId w:val="40"/>
        </w:numPr>
      </w:pPr>
      <w:bookmarkStart w:id="69" w:name="_Toc436900676"/>
      <w:r w:rsidRPr="00682A29">
        <w:t>Komplementarita</w:t>
      </w:r>
      <w:bookmarkEnd w:id="29"/>
      <w:bookmarkEnd w:id="69"/>
    </w:p>
    <w:p w:rsidR="001C00E3" w:rsidRPr="00EF2C2C" w:rsidRDefault="001C00E3" w:rsidP="00226158">
      <w:pPr>
        <w:jc w:val="both"/>
      </w:pPr>
      <w:r w:rsidRPr="00EF2C2C">
        <w:t>Komplementární vazba specifického cíle 3.2 IROP s prioritní osou 4 OP Zaměstnanost vychází ze Strategického rámce rozvoje veřejné správy. Na strategické úrovni je koordinována prostřednictvím Koordinačního mechanismu pro oblast veřejné správy.</w:t>
      </w:r>
    </w:p>
    <w:p w:rsidR="00C4208F" w:rsidRPr="00C4208F" w:rsidRDefault="00C4208F" w:rsidP="00C4208F">
      <w:pPr>
        <w:pStyle w:val="Odstavecseseznamem"/>
        <w:keepNext/>
        <w:keepLines/>
        <w:numPr>
          <w:ilvl w:val="1"/>
          <w:numId w:val="1"/>
        </w:numPr>
        <w:spacing w:before="480" w:after="0"/>
        <w:contextualSpacing w:val="0"/>
        <w:outlineLvl w:val="0"/>
        <w:rPr>
          <w:rFonts w:cs="Arial"/>
          <w:b/>
          <w:bCs/>
          <w:vanish/>
          <w:color w:val="000000"/>
          <w:sz w:val="28"/>
          <w:szCs w:val="28"/>
        </w:rPr>
      </w:pPr>
      <w:bookmarkStart w:id="70" w:name="_Toc433128187"/>
      <w:bookmarkStart w:id="71" w:name="_Toc433128265"/>
      <w:bookmarkStart w:id="72" w:name="_Toc433128339"/>
      <w:bookmarkStart w:id="73" w:name="_Toc433128411"/>
      <w:bookmarkStart w:id="74" w:name="_Toc433128759"/>
      <w:bookmarkStart w:id="75" w:name="_Toc433128952"/>
      <w:bookmarkStart w:id="76" w:name="_Toc433129122"/>
      <w:bookmarkStart w:id="77" w:name="_Toc425325676"/>
      <w:bookmarkStart w:id="78" w:name="_Toc425348516"/>
      <w:bookmarkStart w:id="79" w:name="_Toc425348593"/>
      <w:bookmarkStart w:id="80" w:name="_Toc425325682"/>
      <w:bookmarkStart w:id="81" w:name="_Toc425348522"/>
      <w:bookmarkStart w:id="82" w:name="_Toc425348599"/>
      <w:bookmarkStart w:id="83" w:name="_Toc425325683"/>
      <w:bookmarkStart w:id="84" w:name="_Toc425348523"/>
      <w:bookmarkStart w:id="85" w:name="_Toc425348600"/>
      <w:bookmarkStart w:id="86" w:name="_Toc425325684"/>
      <w:bookmarkStart w:id="87" w:name="_Toc425348524"/>
      <w:bookmarkStart w:id="88" w:name="_Toc425348601"/>
      <w:bookmarkStart w:id="89" w:name="_Toc413143891"/>
      <w:bookmarkStart w:id="90" w:name="_Toc413143892"/>
      <w:bookmarkStart w:id="91" w:name="_Toc433128188"/>
      <w:bookmarkStart w:id="92" w:name="_Toc433128266"/>
      <w:bookmarkStart w:id="93" w:name="_Toc433128340"/>
      <w:bookmarkStart w:id="94" w:name="_Toc433128412"/>
      <w:bookmarkStart w:id="95" w:name="_Toc433128760"/>
      <w:bookmarkStart w:id="96" w:name="_Toc433128953"/>
      <w:bookmarkStart w:id="97" w:name="_Toc433129123"/>
      <w:bookmarkStart w:id="98" w:name="_Toc433178538"/>
      <w:bookmarkStart w:id="99" w:name="_Toc433185917"/>
      <w:bookmarkStart w:id="100" w:name="_Toc433187018"/>
      <w:bookmarkStart w:id="101" w:name="_Toc435115877"/>
      <w:bookmarkStart w:id="102" w:name="_Toc435115922"/>
      <w:bookmarkStart w:id="103" w:name="_Toc436900677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C4208F" w:rsidRDefault="00C4208F" w:rsidP="00C4208F">
      <w:pPr>
        <w:pStyle w:val="Pravidla11"/>
        <w:numPr>
          <w:ilvl w:val="1"/>
          <w:numId w:val="1"/>
        </w:numPr>
      </w:pPr>
      <w:bookmarkStart w:id="104" w:name="_Toc436900678"/>
      <w:r>
        <w:t>Povinné přílohy žádosti o podporu</w:t>
      </w:r>
      <w:bookmarkEnd w:id="104"/>
    </w:p>
    <w:p w:rsidR="004D6041" w:rsidRPr="00EF2C2C" w:rsidRDefault="004D6041" w:rsidP="004D6041">
      <w:pPr>
        <w:jc w:val="both"/>
        <w:rPr>
          <w:rFonts w:cs="Arial"/>
        </w:rPr>
      </w:pPr>
      <w:r w:rsidRPr="00EF2C2C">
        <w:rPr>
          <w:rFonts w:cs="Arial"/>
        </w:rPr>
        <w:t xml:space="preserve">Jednotlivé povinné přílohy žadatel nahrává na příslušné Záložky žádosti o podporu v MS2014+. Více informací je uvedeno v příloze </w:t>
      </w:r>
      <w:proofErr w:type="gramStart"/>
      <w:r w:rsidRPr="00EF2C2C">
        <w:rPr>
          <w:rFonts w:cs="Arial"/>
        </w:rPr>
        <w:t>č. 1 těchto</w:t>
      </w:r>
      <w:proofErr w:type="gramEnd"/>
      <w:r w:rsidRPr="00EF2C2C">
        <w:rPr>
          <w:rFonts w:cs="Arial"/>
        </w:rPr>
        <w:t xml:space="preserve"> Pravidel.</w:t>
      </w:r>
    </w:p>
    <w:p w:rsidR="004D6041" w:rsidRPr="00EF2C2C" w:rsidRDefault="004D6041" w:rsidP="004D6041">
      <w:pPr>
        <w:jc w:val="both"/>
        <w:rPr>
          <w:rFonts w:cs="Arial"/>
          <w:b/>
          <w:i/>
        </w:rPr>
      </w:pPr>
      <w:r w:rsidRPr="00EF2C2C">
        <w:rPr>
          <w:rFonts w:cs="Arial"/>
          <w:b/>
          <w:i/>
        </w:rPr>
        <w:t>Záložka Identifikace projektu</w:t>
      </w:r>
    </w:p>
    <w:p w:rsidR="004D6041" w:rsidRPr="00682A29" w:rsidRDefault="004D6041" w:rsidP="00682A29">
      <w:pPr>
        <w:pStyle w:val="Odstavecseseznamem"/>
        <w:numPr>
          <w:ilvl w:val="0"/>
          <w:numId w:val="41"/>
        </w:numPr>
        <w:jc w:val="both"/>
        <w:rPr>
          <w:rFonts w:cs="Arial"/>
          <w:b/>
        </w:rPr>
      </w:pPr>
      <w:r w:rsidRPr="00682A29">
        <w:rPr>
          <w:rFonts w:cs="Arial"/>
          <w:b/>
        </w:rPr>
        <w:t>Plná moc</w:t>
      </w:r>
    </w:p>
    <w:p w:rsidR="004D6041" w:rsidRPr="00F14AF6" w:rsidRDefault="004D6041" w:rsidP="004D6041">
      <w:pPr>
        <w:jc w:val="both"/>
        <w:rPr>
          <w:rFonts w:cs="Arial"/>
        </w:rPr>
      </w:pPr>
      <w:r w:rsidRPr="00EF2C2C">
        <w:rPr>
          <w:rFonts w:cs="Arial"/>
        </w:rPr>
        <w:t>Dokládá se v případě přenesení pravomocí na jinou osobou (např. při podpisu žádosti). Plné moci se ukládají v elektronické podobě v systému  MS2014+ v modulu Žadatel v konkrétním projektu do záložky Identifikace projektu – Plná moc. Vzor Plné moci je př</w:t>
      </w:r>
      <w:r w:rsidR="00070FB2">
        <w:rPr>
          <w:rFonts w:cs="Arial"/>
        </w:rPr>
        <w:t xml:space="preserve">ílohou č. </w:t>
      </w:r>
      <w:r w:rsidR="00640BDA">
        <w:rPr>
          <w:rFonts w:cs="Arial"/>
        </w:rPr>
        <w:t>11</w:t>
      </w:r>
      <w:r w:rsidR="00682A29">
        <w:rPr>
          <w:rFonts w:cs="Arial"/>
        </w:rPr>
        <w:t xml:space="preserve"> </w:t>
      </w:r>
      <w:r w:rsidR="00070FB2">
        <w:rPr>
          <w:rFonts w:cs="Arial"/>
        </w:rPr>
        <w:t>Obecných pravidel.</w:t>
      </w:r>
    </w:p>
    <w:p w:rsidR="004D6041" w:rsidRPr="00EF2C2C" w:rsidRDefault="004D6041" w:rsidP="004D6041">
      <w:pPr>
        <w:jc w:val="both"/>
        <w:rPr>
          <w:rFonts w:cs="Arial"/>
          <w:b/>
          <w:i/>
        </w:rPr>
      </w:pPr>
      <w:r w:rsidRPr="00EF2C2C">
        <w:rPr>
          <w:rFonts w:cs="Arial"/>
          <w:b/>
          <w:i/>
        </w:rPr>
        <w:t>Záložka Veřejné zakázky</w:t>
      </w:r>
    </w:p>
    <w:p w:rsidR="004D6041" w:rsidRPr="00682A29" w:rsidRDefault="004D6041" w:rsidP="00682A29">
      <w:pPr>
        <w:pStyle w:val="Odstavecseseznamem"/>
        <w:numPr>
          <w:ilvl w:val="0"/>
          <w:numId w:val="41"/>
        </w:numPr>
        <w:jc w:val="both"/>
        <w:rPr>
          <w:rFonts w:cs="Arial"/>
          <w:b/>
        </w:rPr>
      </w:pPr>
      <w:r w:rsidRPr="00682A29">
        <w:rPr>
          <w:rFonts w:cs="Arial"/>
          <w:b/>
        </w:rPr>
        <w:t>Dokumentace k uskutečněným zadávacím a výběrovým řízením</w:t>
      </w:r>
    </w:p>
    <w:p w:rsidR="001C00E3" w:rsidRDefault="00682A29" w:rsidP="004D6041">
      <w:pPr>
        <w:jc w:val="both"/>
        <w:rPr>
          <w:rFonts w:asciiTheme="majorHAnsi" w:hAnsiTheme="majorHAnsi" w:cs="Arial"/>
        </w:rPr>
      </w:pPr>
      <w:r w:rsidRPr="001C4D01">
        <w:rPr>
          <w:rFonts w:asciiTheme="majorHAnsi" w:hAnsiTheme="majorHAnsi" w:cs="Arial"/>
        </w:rPr>
        <w:t>Žadatel dokládá dokumentaci k zahájeným a ukončeným zadávacím a výběrovým řízením. Postup a povinné přílohy jsou uvedeny v kap. 5</w:t>
      </w:r>
      <w:r w:rsidR="0031377D">
        <w:rPr>
          <w:rFonts w:asciiTheme="majorHAnsi" w:hAnsiTheme="majorHAnsi" w:cs="Arial"/>
        </w:rPr>
        <w:t xml:space="preserve"> a 6</w:t>
      </w:r>
      <w:r w:rsidRPr="001C4D01">
        <w:rPr>
          <w:rFonts w:asciiTheme="majorHAnsi" w:hAnsiTheme="majorHAnsi" w:cs="Arial"/>
        </w:rPr>
        <w:t xml:space="preserve"> Obecných pravidel. </w:t>
      </w:r>
    </w:p>
    <w:p w:rsidR="001C00E3" w:rsidRPr="000B63DE" w:rsidRDefault="004D6041" w:rsidP="000B63DE">
      <w:pPr>
        <w:jc w:val="both"/>
        <w:rPr>
          <w:rFonts w:cs="Arial"/>
          <w:b/>
          <w:i/>
        </w:rPr>
      </w:pPr>
      <w:r w:rsidRPr="00EF2C2C">
        <w:rPr>
          <w:rFonts w:cs="Arial"/>
          <w:b/>
          <w:i/>
        </w:rPr>
        <w:t>Z</w:t>
      </w:r>
      <w:r w:rsidR="000B63DE">
        <w:rPr>
          <w:rFonts w:cs="Arial"/>
          <w:b/>
          <w:i/>
        </w:rPr>
        <w:t>áložka Přiložené dokumenty</w:t>
      </w:r>
    </w:p>
    <w:p w:rsidR="004D6041" w:rsidRPr="00682A29" w:rsidRDefault="004D6041" w:rsidP="001C00E3">
      <w:pPr>
        <w:pStyle w:val="Odstavecseseznamem"/>
        <w:numPr>
          <w:ilvl w:val="0"/>
          <w:numId w:val="41"/>
        </w:numPr>
        <w:jc w:val="both"/>
        <w:rPr>
          <w:rFonts w:cs="Arial"/>
          <w:b/>
        </w:rPr>
      </w:pPr>
      <w:r w:rsidRPr="00682A29">
        <w:rPr>
          <w:rFonts w:cs="Arial"/>
          <w:b/>
        </w:rPr>
        <w:t xml:space="preserve">Souhlasné Stanovisko hlavního architekta </w:t>
      </w:r>
      <w:proofErr w:type="spellStart"/>
      <w:r w:rsidRPr="00682A29">
        <w:rPr>
          <w:rFonts w:cs="Arial"/>
          <w:b/>
        </w:rPr>
        <w:t>eGovernmentu</w:t>
      </w:r>
      <w:proofErr w:type="spellEnd"/>
    </w:p>
    <w:p w:rsidR="00EF567A" w:rsidRDefault="004D6041" w:rsidP="004D6041">
      <w:pPr>
        <w:jc w:val="both"/>
        <w:rPr>
          <w:rFonts w:cs="Arial"/>
        </w:rPr>
      </w:pPr>
      <w:r w:rsidRPr="00EF2C2C">
        <w:rPr>
          <w:rFonts w:cs="Arial"/>
        </w:rPr>
        <w:t xml:space="preserve">Stanovisko podepsané ředitelem Útvaru hlavního architekta </w:t>
      </w:r>
      <w:proofErr w:type="spellStart"/>
      <w:r w:rsidRPr="00EF2C2C">
        <w:rPr>
          <w:rFonts w:cs="Arial"/>
        </w:rPr>
        <w:t>eGovernmentu</w:t>
      </w:r>
      <w:proofErr w:type="spellEnd"/>
      <w:r w:rsidRPr="00EF2C2C">
        <w:rPr>
          <w:rFonts w:cs="Arial"/>
        </w:rPr>
        <w:t xml:space="preserve"> </w:t>
      </w:r>
      <w:r w:rsidR="009A7CB8">
        <w:rPr>
          <w:rFonts w:cs="Arial"/>
        </w:rPr>
        <w:t>Ministerstva vnitra</w:t>
      </w:r>
      <w:r w:rsidR="009A7CB8" w:rsidRPr="00EF2C2C">
        <w:rPr>
          <w:rFonts w:cs="Arial"/>
        </w:rPr>
        <w:t xml:space="preserve"> </w:t>
      </w:r>
      <w:r w:rsidRPr="00EF2C2C">
        <w:rPr>
          <w:rFonts w:cs="Arial"/>
        </w:rPr>
        <w:t xml:space="preserve">ČR dle vzoru v příloze č. 3 těchto Pravidel. </w:t>
      </w:r>
    </w:p>
    <w:p w:rsidR="004D6041" w:rsidRPr="00682A29" w:rsidRDefault="004D6041" w:rsidP="00682A29">
      <w:pPr>
        <w:pStyle w:val="Odstavecseseznamem"/>
        <w:numPr>
          <w:ilvl w:val="0"/>
          <w:numId w:val="41"/>
        </w:numPr>
        <w:jc w:val="both"/>
        <w:rPr>
          <w:rFonts w:cs="Arial"/>
          <w:b/>
        </w:rPr>
      </w:pPr>
      <w:r w:rsidRPr="00682A29">
        <w:rPr>
          <w:rFonts w:cs="Arial"/>
          <w:b/>
        </w:rPr>
        <w:t>Studie proveditelnosti</w:t>
      </w:r>
    </w:p>
    <w:p w:rsidR="004D6041" w:rsidRDefault="004D6041" w:rsidP="004D6041">
      <w:pPr>
        <w:jc w:val="both"/>
        <w:rPr>
          <w:rFonts w:cs="Arial"/>
        </w:rPr>
      </w:pPr>
      <w:r w:rsidRPr="00EF2C2C">
        <w:rPr>
          <w:rFonts w:cs="Arial"/>
        </w:rPr>
        <w:t xml:space="preserve">Studie proveditelnosti vypracovaná podle vzoru v příloze č. 2 těchto Pravidel slouží k posouzení potřebnosti a realizovatelnosti projektu a usnadňuje podání žádosti o podporu v MS2014+, neboť mnoho údajů, uváděných ve </w:t>
      </w:r>
      <w:r w:rsidR="009E23FD">
        <w:rPr>
          <w:rFonts w:cs="Arial"/>
        </w:rPr>
        <w:t>S</w:t>
      </w:r>
      <w:r w:rsidR="009E23FD" w:rsidRPr="00EF2C2C">
        <w:rPr>
          <w:rFonts w:cs="Arial"/>
        </w:rPr>
        <w:t>tudii</w:t>
      </w:r>
      <w:r w:rsidRPr="00EF2C2C">
        <w:rPr>
          <w:rFonts w:cs="Arial"/>
        </w:rPr>
        <w:t>, bude využito při vyplňování žádosti.</w:t>
      </w:r>
    </w:p>
    <w:p w:rsidR="004D6041" w:rsidRPr="00682A29" w:rsidRDefault="004D6041" w:rsidP="00682A29">
      <w:pPr>
        <w:pStyle w:val="Odstavecseseznamem"/>
        <w:numPr>
          <w:ilvl w:val="0"/>
          <w:numId w:val="41"/>
        </w:numPr>
        <w:rPr>
          <w:rFonts w:cs="Arial"/>
          <w:b/>
        </w:rPr>
      </w:pPr>
      <w:r w:rsidRPr="00682A29">
        <w:rPr>
          <w:rFonts w:cs="Arial"/>
          <w:b/>
        </w:rPr>
        <w:t>Seznam objednávek – přímých nákupů</w:t>
      </w:r>
    </w:p>
    <w:p w:rsidR="00682A29" w:rsidRDefault="004D6041" w:rsidP="00226158">
      <w:pPr>
        <w:pStyle w:val="Odstavecseseznamem"/>
        <w:ind w:left="0"/>
        <w:jc w:val="both"/>
        <w:rPr>
          <w:rFonts w:cs="Arial"/>
        </w:rPr>
      </w:pPr>
      <w:r w:rsidRPr="00EF2C2C">
        <w:rPr>
          <w:rFonts w:cs="Arial"/>
        </w:rPr>
        <w:t>Žadatel do formuláře (viz přílo</w:t>
      </w:r>
      <w:r w:rsidR="00E272F0">
        <w:rPr>
          <w:rFonts w:cs="Arial"/>
        </w:rPr>
        <w:t>ha č. 10</w:t>
      </w:r>
      <w:r w:rsidRPr="00EF2C2C">
        <w:rPr>
          <w:rFonts w:cs="Arial"/>
        </w:rPr>
        <w:t xml:space="preserve"> Obecných pravidel) vypíše všechny uskutečněné objednávky – přímé nákupy ve výši od 100 tis. do 400 tis. Kč bez DPH vztahující se k projektu, které provedl před podáním žádosti o podporu.</w:t>
      </w:r>
    </w:p>
    <w:p w:rsidR="00682A29" w:rsidRDefault="00682A29" w:rsidP="001C00E3">
      <w:pPr>
        <w:pStyle w:val="Odstavecseseznamem"/>
        <w:ind w:left="0"/>
        <w:jc w:val="both"/>
        <w:rPr>
          <w:rFonts w:cs="Arial"/>
        </w:rPr>
      </w:pPr>
    </w:p>
    <w:p w:rsidR="00411A59" w:rsidRPr="00682A29" w:rsidRDefault="004D6041" w:rsidP="00226158">
      <w:pPr>
        <w:pStyle w:val="Odstavecseseznamem"/>
        <w:numPr>
          <w:ilvl w:val="0"/>
          <w:numId w:val="41"/>
        </w:numPr>
        <w:jc w:val="both"/>
        <w:rPr>
          <w:rFonts w:cs="Arial"/>
          <w:b/>
        </w:rPr>
      </w:pPr>
      <w:r w:rsidRPr="00682A29">
        <w:rPr>
          <w:rFonts w:cs="Arial"/>
          <w:b/>
        </w:rPr>
        <w:t>Průzkum trh</w:t>
      </w:r>
      <w:r w:rsidR="00682A29" w:rsidRPr="00682A29">
        <w:rPr>
          <w:rFonts w:cs="Arial"/>
          <w:b/>
        </w:rPr>
        <w:t>u</w:t>
      </w:r>
    </w:p>
    <w:p w:rsidR="001C00E3" w:rsidRDefault="004D6041" w:rsidP="00226158">
      <w:pPr>
        <w:jc w:val="both"/>
      </w:pPr>
      <w:r w:rsidRPr="00EF2C2C">
        <w:lastRenderedPageBreak/>
        <w:t>Žadatel doloží veškeré doklady, prokazující provedení průzkumu trhu, jako je písemná či elektronická komunikace s oslovenými dodavateli ohledně kalkulace cen, ceníky dodavatelů, výtisk internetových stránek dodavatele nebo srovnávače cen, smlouvy na obdobné zakázky apod. Spolu s těmito doklady žadatel popíše mechanismus odvození jednotlivých cenových položek v rozpočtu projektu ve vztahu k provedenému průzkumu trhu.</w:t>
      </w:r>
      <w:r w:rsidR="000B63DE">
        <w:t xml:space="preserve"> </w:t>
      </w:r>
    </w:p>
    <w:p w:rsidR="001C00E3" w:rsidRPr="00C4208F" w:rsidRDefault="004D6041" w:rsidP="00226158">
      <w:pPr>
        <w:pStyle w:val="Odstavecseseznamem"/>
        <w:numPr>
          <w:ilvl w:val="0"/>
          <w:numId w:val="41"/>
        </w:numPr>
        <w:jc w:val="both"/>
        <w:rPr>
          <w:rFonts w:cs="Arial"/>
          <w:b/>
        </w:rPr>
      </w:pPr>
      <w:r w:rsidRPr="00C4208F">
        <w:rPr>
          <w:rFonts w:cs="Arial"/>
          <w:b/>
        </w:rPr>
        <w:t xml:space="preserve">Výpočet </w:t>
      </w:r>
      <w:r w:rsidR="00C4208F" w:rsidRPr="00C4208F">
        <w:rPr>
          <w:rFonts w:cs="Arial"/>
          <w:b/>
        </w:rPr>
        <w:t>čistých jiných peněžních příjmů</w:t>
      </w:r>
    </w:p>
    <w:p w:rsidR="008C7B78" w:rsidRPr="000C281D" w:rsidRDefault="004D6041" w:rsidP="001C00E3">
      <w:pPr>
        <w:jc w:val="both"/>
      </w:pPr>
      <w:r w:rsidRPr="001C00E3">
        <w:rPr>
          <w:rFonts w:cs="Arial"/>
        </w:rPr>
        <w:t>Dokládají žadatelé, kteří předpokládají jiné peněžní příjmy. Vzor výpočtu čistých jiných peněžn</w:t>
      </w:r>
      <w:r w:rsidR="00411A59" w:rsidRPr="001C00E3">
        <w:rPr>
          <w:rFonts w:cs="Arial"/>
        </w:rPr>
        <w:t>í</w:t>
      </w:r>
      <w:r w:rsidRPr="001C00E3">
        <w:rPr>
          <w:rFonts w:cs="Arial"/>
        </w:rPr>
        <w:t xml:space="preserve">ch příjmů je uveden v příloze č. </w:t>
      </w:r>
      <w:r w:rsidR="00A8266F">
        <w:rPr>
          <w:rFonts w:cs="Arial"/>
        </w:rPr>
        <w:t>9</w:t>
      </w:r>
      <w:r w:rsidRPr="001C00E3">
        <w:rPr>
          <w:rFonts w:cs="Arial"/>
        </w:rPr>
        <w:t xml:space="preserve"> </w:t>
      </w:r>
      <w:r w:rsidR="001C00E3">
        <w:rPr>
          <w:rFonts w:cs="Arial"/>
        </w:rPr>
        <w:t xml:space="preserve">těchto </w:t>
      </w:r>
      <w:r w:rsidRPr="001C00E3">
        <w:rPr>
          <w:rFonts w:cs="Arial"/>
        </w:rPr>
        <w:t>Pravidel.</w:t>
      </w:r>
    </w:p>
    <w:p w:rsidR="00053DBE" w:rsidRDefault="00053DBE" w:rsidP="009E23FD">
      <w:pPr>
        <w:pStyle w:val="Pravidla11"/>
        <w:numPr>
          <w:ilvl w:val="1"/>
          <w:numId w:val="1"/>
        </w:numPr>
      </w:pPr>
      <w:bookmarkStart w:id="105" w:name="_Toc425325686"/>
      <w:bookmarkStart w:id="106" w:name="_Toc425348526"/>
      <w:bookmarkStart w:id="107" w:name="_Toc425348603"/>
      <w:bookmarkStart w:id="108" w:name="_Toc425325687"/>
      <w:bookmarkStart w:id="109" w:name="_Toc425348527"/>
      <w:bookmarkStart w:id="110" w:name="_Toc425348604"/>
      <w:bookmarkStart w:id="111" w:name="_Toc425325688"/>
      <w:bookmarkStart w:id="112" w:name="_Toc425348528"/>
      <w:bookmarkStart w:id="113" w:name="_Toc425348605"/>
      <w:bookmarkStart w:id="114" w:name="_Toc425325689"/>
      <w:bookmarkStart w:id="115" w:name="_Toc425348529"/>
      <w:bookmarkStart w:id="116" w:name="_Toc425348606"/>
      <w:bookmarkStart w:id="117" w:name="_Toc436900679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>
        <w:t>Struktura financování</w:t>
      </w:r>
      <w:bookmarkEnd w:id="117"/>
    </w:p>
    <w:p w:rsidR="004D6041" w:rsidRPr="00EF2C2C" w:rsidRDefault="004D6041" w:rsidP="00BC4DB8">
      <w:pPr>
        <w:jc w:val="both"/>
        <w:rPr>
          <w:rFonts w:cs="Arial"/>
          <w:b/>
        </w:rPr>
      </w:pPr>
      <w:r w:rsidRPr="00EF2C2C">
        <w:rPr>
          <w:rFonts w:cs="Arial"/>
          <w:b/>
        </w:rPr>
        <w:t>Podíl financování z celkových způsobilých výdajů:</w:t>
      </w:r>
    </w:p>
    <w:p w:rsidR="004D6041" w:rsidRPr="00EF2C2C" w:rsidRDefault="004D6041" w:rsidP="009A7CB8">
      <w:pPr>
        <w:jc w:val="both"/>
        <w:rPr>
          <w:rFonts w:cs="Arial"/>
          <w:i/>
          <w:u w:val="single"/>
        </w:rPr>
      </w:pPr>
      <w:r w:rsidRPr="00EF2C2C">
        <w:rPr>
          <w:rFonts w:cs="Arial"/>
          <w:i/>
          <w:u w:val="single"/>
        </w:rPr>
        <w:t xml:space="preserve">Organizační </w:t>
      </w:r>
      <w:r w:rsidR="009F1641">
        <w:rPr>
          <w:rFonts w:cs="Arial"/>
          <w:i/>
          <w:u w:val="single"/>
        </w:rPr>
        <w:t>složky státu</w:t>
      </w:r>
    </w:p>
    <w:p w:rsidR="004D6041" w:rsidRPr="00EF2C2C" w:rsidRDefault="004D6041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EF2C2C">
        <w:rPr>
          <w:rFonts w:cs="Arial"/>
          <w:b/>
        </w:rPr>
        <w:t>Evropská unie</w:t>
      </w:r>
      <w:r w:rsidRPr="00EF2C2C">
        <w:rPr>
          <w:rFonts w:cs="Arial"/>
          <w:b/>
        </w:rPr>
        <w:tab/>
        <w:t>80, 863 %,</w:t>
      </w:r>
    </w:p>
    <w:p w:rsidR="004D6041" w:rsidRPr="00EF2C2C" w:rsidRDefault="004D6041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EF2C2C">
        <w:rPr>
          <w:rFonts w:cs="Arial"/>
          <w:b/>
        </w:rPr>
        <w:t xml:space="preserve">státní rozpočet </w:t>
      </w:r>
      <w:r w:rsidRPr="00EF2C2C">
        <w:rPr>
          <w:rFonts w:cs="Arial"/>
          <w:b/>
        </w:rPr>
        <w:tab/>
        <w:t>19, 137 %,</w:t>
      </w:r>
    </w:p>
    <w:p w:rsidR="004D6041" w:rsidRPr="00226158" w:rsidRDefault="004D6041">
      <w:pPr>
        <w:pStyle w:val="Odstavecseseznamem"/>
        <w:numPr>
          <w:ilvl w:val="0"/>
          <w:numId w:val="5"/>
        </w:numPr>
        <w:jc w:val="both"/>
        <w:rPr>
          <w:rFonts w:cs="Arial"/>
          <w:i/>
          <w:u w:val="single"/>
        </w:rPr>
      </w:pPr>
      <w:r w:rsidRPr="00EF2C2C">
        <w:rPr>
          <w:rFonts w:cs="Arial"/>
          <w:b/>
        </w:rPr>
        <w:t>příjemce</w:t>
      </w:r>
      <w:r w:rsidRPr="00EF2C2C">
        <w:rPr>
          <w:rFonts w:cs="Arial"/>
          <w:b/>
        </w:rPr>
        <w:tab/>
      </w:r>
      <w:r w:rsidRPr="00EF2C2C">
        <w:rPr>
          <w:rFonts w:cs="Arial"/>
          <w:b/>
        </w:rPr>
        <w:tab/>
        <w:t>0 %.</w:t>
      </w:r>
    </w:p>
    <w:p w:rsidR="001969CF" w:rsidRPr="00671E54" w:rsidRDefault="00E131E7">
      <w:pPr>
        <w:jc w:val="both"/>
        <w:rPr>
          <w:rFonts w:asciiTheme="majorHAnsi" w:hAnsiTheme="majorHAnsi" w:cs="Arial"/>
          <w:b/>
        </w:rPr>
      </w:pPr>
      <w:r w:rsidRPr="00671E54">
        <w:rPr>
          <w:rFonts w:asciiTheme="majorHAnsi" w:hAnsiTheme="majorHAnsi" w:cs="Arial"/>
          <w:b/>
        </w:rPr>
        <w:t>Celková alokace výzvy</w:t>
      </w:r>
      <w:r w:rsidR="001969CF" w:rsidRPr="00671E54">
        <w:rPr>
          <w:rFonts w:asciiTheme="majorHAnsi" w:hAnsiTheme="majorHAnsi" w:cs="Arial"/>
          <w:b/>
        </w:rPr>
        <w:t>:</w:t>
      </w:r>
    </w:p>
    <w:p w:rsidR="001E3DD3" w:rsidRDefault="00CB7A97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742 023 250, 06</w:t>
      </w:r>
      <w:r w:rsidR="00D224E6">
        <w:rPr>
          <w:rFonts w:asciiTheme="majorHAnsi" w:hAnsiTheme="majorHAnsi" w:cs="Arial"/>
          <w:b/>
        </w:rPr>
        <w:t xml:space="preserve"> </w:t>
      </w:r>
      <w:r w:rsidR="00E131E7" w:rsidRPr="00671E54">
        <w:rPr>
          <w:rFonts w:asciiTheme="majorHAnsi" w:hAnsiTheme="majorHAnsi" w:cs="Arial"/>
          <w:b/>
        </w:rPr>
        <w:t>Kč</w:t>
      </w:r>
      <w:r w:rsidR="00E131E7" w:rsidRPr="00671E54">
        <w:rPr>
          <w:rFonts w:asciiTheme="majorHAnsi" w:hAnsiTheme="majorHAnsi" w:cs="Arial"/>
        </w:rPr>
        <w:t xml:space="preserve">, </w:t>
      </w:r>
    </w:p>
    <w:p w:rsidR="00625CFE" w:rsidRDefault="00625CFE">
      <w:pPr>
        <w:jc w:val="both"/>
        <w:rPr>
          <w:rFonts w:cs="Arial"/>
        </w:rPr>
      </w:pPr>
      <w:r>
        <w:rPr>
          <w:rFonts w:cs="Arial"/>
        </w:rPr>
        <w:t>z toho činí podíl:</w:t>
      </w:r>
    </w:p>
    <w:p w:rsidR="00625CFE" w:rsidRDefault="00625CFE">
      <w:pPr>
        <w:pStyle w:val="Odstavecseseznamem"/>
        <w:numPr>
          <w:ilvl w:val="0"/>
          <w:numId w:val="24"/>
        </w:numPr>
        <w:tabs>
          <w:tab w:val="right" w:pos="6237"/>
        </w:tabs>
        <w:suppressAutoHyphens w:val="0"/>
        <w:jc w:val="both"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 w:rsidR="009F1641">
        <w:rPr>
          <w:rFonts w:cs="Arial"/>
        </w:rPr>
        <w:t>600 000</w:t>
      </w:r>
      <w:r w:rsidR="00CB7A97">
        <w:rPr>
          <w:rFonts w:cs="Arial"/>
        </w:rPr>
        <w:t> </w:t>
      </w:r>
      <w:r w:rsidR="009F1641">
        <w:rPr>
          <w:rFonts w:cs="Arial"/>
        </w:rPr>
        <w:t>000</w:t>
      </w:r>
      <w:r w:rsidR="00CB7A97">
        <w:rPr>
          <w:rFonts w:cs="Arial"/>
        </w:rPr>
        <w:t>, 00</w:t>
      </w:r>
      <w:r w:rsidRPr="005014C8">
        <w:rPr>
          <w:rFonts w:cs="Arial"/>
        </w:rPr>
        <w:t xml:space="preserve"> Kč,</w:t>
      </w:r>
    </w:p>
    <w:p w:rsidR="00625CFE" w:rsidRPr="00625CFE" w:rsidRDefault="00625CFE">
      <w:pPr>
        <w:pStyle w:val="Odstavecseseznamem"/>
        <w:numPr>
          <w:ilvl w:val="0"/>
          <w:numId w:val="24"/>
        </w:numPr>
        <w:tabs>
          <w:tab w:val="right" w:pos="6237"/>
        </w:tabs>
        <w:suppressAutoHyphens w:val="0"/>
        <w:jc w:val="both"/>
        <w:rPr>
          <w:rFonts w:cs="Arial"/>
        </w:rPr>
      </w:pPr>
      <w:r>
        <w:rPr>
          <w:rFonts w:cs="Arial"/>
        </w:rPr>
        <w:t>národního spolufinancování</w:t>
      </w:r>
      <w:r>
        <w:rPr>
          <w:rFonts w:cs="Arial"/>
        </w:rPr>
        <w:tab/>
      </w:r>
      <w:r w:rsidR="00CB7A97">
        <w:rPr>
          <w:rFonts w:cs="Arial"/>
        </w:rPr>
        <w:t>142 023 250, 06</w:t>
      </w:r>
      <w:r w:rsidRPr="005014C8">
        <w:rPr>
          <w:rFonts w:cs="Arial"/>
        </w:rPr>
        <w:t xml:space="preserve"> Kč</w:t>
      </w:r>
      <w:r>
        <w:rPr>
          <w:rFonts w:cs="Arial"/>
        </w:rPr>
        <w:t>.</w:t>
      </w:r>
    </w:p>
    <w:p w:rsidR="00625CFE" w:rsidRDefault="00E131E7">
      <w:pPr>
        <w:pStyle w:val="Pravidla11"/>
        <w:numPr>
          <w:ilvl w:val="1"/>
          <w:numId w:val="1"/>
        </w:numPr>
      </w:pPr>
      <w:bookmarkStart w:id="118" w:name="_Toc413143893"/>
      <w:bookmarkStart w:id="119" w:name="_Toc436900680"/>
      <w:bookmarkEnd w:id="118"/>
      <w:r>
        <w:t>Způsobilé výdaje</w:t>
      </w:r>
      <w:bookmarkStart w:id="120" w:name="_Toc413143895"/>
      <w:bookmarkEnd w:id="120"/>
      <w:bookmarkEnd w:id="119"/>
    </w:p>
    <w:p w:rsidR="004D6041" w:rsidRPr="00EF2C2C" w:rsidRDefault="004D6041">
      <w:pPr>
        <w:jc w:val="both"/>
        <w:rPr>
          <w:rFonts w:cs="Arial"/>
        </w:rPr>
      </w:pPr>
      <w:bookmarkStart w:id="121" w:name="_Toc413143896"/>
      <w:bookmarkEnd w:id="121"/>
      <w:r w:rsidRPr="00EF2C2C">
        <w:rPr>
          <w:rFonts w:cs="Arial"/>
        </w:rPr>
        <w:t>Základní hlediska způsobilosti výdaje jsou uvedena v kapitole 10.1 Obecných pravidel.</w:t>
      </w:r>
    </w:p>
    <w:p w:rsidR="004D6041" w:rsidRPr="00EF2C2C" w:rsidRDefault="004D6041">
      <w:pPr>
        <w:jc w:val="both"/>
        <w:rPr>
          <w:rFonts w:cs="Arial"/>
        </w:rPr>
      </w:pPr>
      <w:r w:rsidRPr="00EF2C2C">
        <w:rPr>
          <w:rFonts w:cs="Arial"/>
        </w:rPr>
        <w:t>Příjemce je povinen řádně doložit způsobilé výdaje příslušným účetním dokladem, popřípadě další požadovanou dokumentací. Výdaje, byť z věcného hlediska způsobilé, které nejsou řádně doložené, jsou vždy považovány za výdaje nezpůsobilé.</w:t>
      </w:r>
    </w:p>
    <w:p w:rsidR="00625CFE" w:rsidRPr="00C47CC2" w:rsidRDefault="00625CFE">
      <w:pPr>
        <w:jc w:val="both"/>
        <w:rPr>
          <w:rFonts w:asciiTheme="majorHAnsi" w:hAnsiTheme="majorHAnsi"/>
          <w:b/>
        </w:rPr>
      </w:pPr>
      <w:r w:rsidRPr="00C47CC2">
        <w:rPr>
          <w:rFonts w:asciiTheme="majorHAnsi" w:hAnsiTheme="majorHAnsi"/>
          <w:b/>
        </w:rPr>
        <w:t>Způsobilé výdaje:</w:t>
      </w:r>
      <w:r w:rsidRPr="00C47CC2">
        <w:rPr>
          <w:rFonts w:asciiTheme="majorHAnsi" w:hAnsiTheme="majorHAnsi"/>
          <w:b/>
        </w:rPr>
        <w:tab/>
      </w:r>
    </w:p>
    <w:p w:rsidR="00625CFE" w:rsidRPr="00C47CC2" w:rsidRDefault="00625CFE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musí </w:t>
      </w:r>
      <w:r w:rsidRPr="00C47CC2">
        <w:rPr>
          <w:rFonts w:asciiTheme="majorHAnsi" w:hAnsiTheme="majorHAnsi"/>
        </w:rPr>
        <w:t xml:space="preserve">být vynaloženy v souladu s cíli </w:t>
      </w:r>
      <w:r>
        <w:rPr>
          <w:rFonts w:asciiTheme="majorHAnsi" w:hAnsiTheme="majorHAnsi"/>
        </w:rPr>
        <w:t>IROP</w:t>
      </w:r>
      <w:r w:rsidRPr="00C47CC2">
        <w:rPr>
          <w:rFonts w:asciiTheme="majorHAnsi" w:hAnsiTheme="majorHAnsi"/>
        </w:rPr>
        <w:t xml:space="preserve"> a  specifického cíle 3.2,</w:t>
      </w:r>
    </w:p>
    <w:p w:rsidR="00625CFE" w:rsidRPr="00C47CC2" w:rsidRDefault="00625CFE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musí přímo </w:t>
      </w:r>
      <w:r w:rsidRPr="00C47CC2">
        <w:rPr>
          <w:rFonts w:asciiTheme="majorHAnsi" w:hAnsiTheme="majorHAnsi"/>
        </w:rPr>
        <w:t>souviset s realizací projektu,</w:t>
      </w:r>
    </w:p>
    <w:p w:rsidR="00625CFE" w:rsidRPr="00784536" w:rsidRDefault="00625CFE">
      <w:pPr>
        <w:pStyle w:val="Odstavecseseznamem"/>
        <w:numPr>
          <w:ilvl w:val="0"/>
          <w:numId w:val="8"/>
        </w:numPr>
        <w:suppressAutoHyphens w:val="0"/>
        <w:jc w:val="both"/>
      </w:pPr>
      <w:r w:rsidRPr="004573D6">
        <w:t xml:space="preserve">musí vzniknout a být vynaloženy v období od 1. </w:t>
      </w:r>
      <w:r>
        <w:t xml:space="preserve">1. </w:t>
      </w:r>
      <w:r w:rsidRPr="004573D6">
        <w:t xml:space="preserve">2014 do data ukončení projektu podle </w:t>
      </w:r>
      <w:r w:rsidR="00237DD0">
        <w:t>Stanovení výdajů</w:t>
      </w:r>
      <w:r w:rsidRPr="00C4211B">
        <w:t>,</w:t>
      </w:r>
    </w:p>
    <w:p w:rsidR="00625CFE" w:rsidRDefault="00625CFE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</w:rPr>
      </w:pPr>
      <w:r w:rsidRPr="00C47CC2">
        <w:rPr>
          <w:rFonts w:asciiTheme="majorHAnsi" w:hAnsiTheme="majorHAnsi"/>
        </w:rPr>
        <w:t>být doloženy průkaznými doklady (faktura, doklad o úhradě, předávací protokol, smlouvy s dodavateli</w:t>
      </w:r>
      <w:r>
        <w:rPr>
          <w:rFonts w:asciiTheme="majorHAnsi" w:hAnsiTheme="majorHAnsi"/>
        </w:rPr>
        <w:t>), viz dále Dokladování způsobilých výdajů projektu,</w:t>
      </w:r>
    </w:p>
    <w:p w:rsidR="00625CFE" w:rsidRDefault="00625CFE">
      <w:pPr>
        <w:pStyle w:val="Odstavecseseznamem"/>
        <w:numPr>
          <w:ilvl w:val="0"/>
          <w:numId w:val="8"/>
        </w:numPr>
        <w:suppressAutoHyphens w:val="0"/>
        <w:jc w:val="both"/>
      </w:pPr>
      <w:r w:rsidRPr="00C4211B">
        <w:t>nesmí přesáhnout výši výdajů</w:t>
      </w:r>
      <w:r w:rsidRPr="00C4211B" w:rsidDel="0022147C">
        <w:t xml:space="preserve"> </w:t>
      </w:r>
      <w:r w:rsidRPr="00C4211B">
        <w:t>uvedenou v každé jednotlivé smlouvě uzavřené</w:t>
      </w:r>
      <w:r>
        <w:br/>
      </w:r>
      <w:r w:rsidRPr="00C4211B">
        <w:t>s dodavatelem</w:t>
      </w:r>
      <w:r w:rsidR="009E23FD">
        <w:t>.</w:t>
      </w:r>
    </w:p>
    <w:p w:rsidR="00625CFE" w:rsidRDefault="00625CFE">
      <w:pPr>
        <w:pStyle w:val="Pravidla111"/>
      </w:pPr>
      <w:bookmarkStart w:id="122" w:name="_Toc436900681"/>
      <w:r>
        <w:lastRenderedPageBreak/>
        <w:t>Z</w:t>
      </w:r>
      <w:r w:rsidRPr="004A6AD3">
        <w:t>působilé výdaje</w:t>
      </w:r>
      <w:r>
        <w:t xml:space="preserve"> na hlavní aktivitu projektu</w:t>
      </w:r>
      <w:bookmarkEnd w:id="122"/>
    </w:p>
    <w:p w:rsidR="00350BCD" w:rsidRPr="004D08E8" w:rsidRDefault="00350BCD">
      <w:pPr>
        <w:jc w:val="both"/>
        <w:rPr>
          <w:rFonts w:asciiTheme="majorHAnsi" w:hAnsiTheme="majorHAnsi" w:cs="Arial"/>
        </w:rPr>
      </w:pPr>
      <w:r w:rsidRPr="004D08E8">
        <w:rPr>
          <w:rFonts w:asciiTheme="majorHAnsi" w:hAnsiTheme="majorHAnsi" w:cs="Arial"/>
        </w:rPr>
        <w:t xml:space="preserve">Na </w:t>
      </w:r>
      <w:r w:rsidRPr="00226158">
        <w:rPr>
          <w:rFonts w:asciiTheme="majorHAnsi" w:hAnsiTheme="majorHAnsi" w:cs="Arial"/>
        </w:rPr>
        <w:t>hlavní aktivitu</w:t>
      </w:r>
      <w:r w:rsidRPr="00350BCD">
        <w:rPr>
          <w:rFonts w:asciiTheme="majorHAnsi" w:hAnsiTheme="majorHAnsi" w:cs="Arial"/>
        </w:rPr>
        <w:t xml:space="preserve"> p</w:t>
      </w:r>
      <w:r>
        <w:rPr>
          <w:rFonts w:asciiTheme="majorHAnsi" w:hAnsiTheme="majorHAnsi" w:cs="Arial"/>
        </w:rPr>
        <w:t xml:space="preserve">rojektu musí být vynaloženo </w:t>
      </w:r>
      <w:r w:rsidRPr="000858AF">
        <w:rPr>
          <w:rFonts w:asciiTheme="majorHAnsi" w:hAnsiTheme="majorHAnsi" w:cs="Arial"/>
          <w:b/>
        </w:rPr>
        <w:t xml:space="preserve">minimálně 85 % </w:t>
      </w:r>
      <w:r>
        <w:rPr>
          <w:rFonts w:asciiTheme="majorHAnsi" w:hAnsiTheme="majorHAnsi" w:cs="Arial"/>
          <w:b/>
        </w:rPr>
        <w:t xml:space="preserve">celkových </w:t>
      </w:r>
      <w:r w:rsidRPr="000858AF">
        <w:rPr>
          <w:rFonts w:asciiTheme="majorHAnsi" w:hAnsiTheme="majorHAnsi" w:cs="Arial"/>
          <w:b/>
        </w:rPr>
        <w:t>způsobilých výdajů</w:t>
      </w:r>
      <w:r>
        <w:rPr>
          <w:rFonts w:asciiTheme="majorHAnsi" w:hAnsiTheme="majorHAnsi" w:cs="Arial"/>
        </w:rPr>
        <w:t xml:space="preserve"> projektu.</w:t>
      </w:r>
    </w:p>
    <w:p w:rsidR="00625CFE" w:rsidRPr="00E5697E" w:rsidRDefault="00625CFE">
      <w:pPr>
        <w:rPr>
          <w:spacing w:val="40"/>
          <w:u w:val="single"/>
        </w:rPr>
      </w:pPr>
      <w:r w:rsidRPr="00E5697E">
        <w:rPr>
          <w:spacing w:val="40"/>
          <w:u w:val="single"/>
        </w:rPr>
        <w:t>Pořízení</w:t>
      </w:r>
      <w:r w:rsidR="00E500A0">
        <w:rPr>
          <w:rStyle w:val="Znakapoznpodarou"/>
          <w:spacing w:val="40"/>
          <w:u w:val="single"/>
        </w:rPr>
        <w:footnoteReference w:id="2"/>
      </w:r>
      <w:r w:rsidRPr="00E5697E">
        <w:rPr>
          <w:spacing w:val="40"/>
          <w:u w:val="single"/>
        </w:rPr>
        <w:t xml:space="preserve"> majetku</w:t>
      </w:r>
    </w:p>
    <w:p w:rsidR="00625CFE" w:rsidRPr="00C47CC2" w:rsidRDefault="00625CFE">
      <w:pPr>
        <w:pStyle w:val="Odstavecseseznamem"/>
        <w:numPr>
          <w:ilvl w:val="0"/>
          <w:numId w:val="10"/>
        </w:numPr>
        <w:spacing w:after="0"/>
        <w:jc w:val="both"/>
      </w:pPr>
      <w:r>
        <w:t>p</w:t>
      </w:r>
      <w:r w:rsidRPr="00C47CC2">
        <w:t>ořízení drobného hmotného majetku</w:t>
      </w:r>
      <w:r>
        <w:t xml:space="preserve"> – HW,</w:t>
      </w:r>
    </w:p>
    <w:p w:rsidR="00625CFE" w:rsidRPr="00C47CC2" w:rsidRDefault="00625CFE" w:rsidP="00BC24D2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C47CC2">
        <w:rPr>
          <w:rFonts w:asciiTheme="majorHAnsi" w:hAnsiTheme="majorHAnsi"/>
        </w:rPr>
        <w:t>ořízení drobného nehmotného majetku</w:t>
      </w:r>
      <w:r>
        <w:rPr>
          <w:rFonts w:asciiTheme="majorHAnsi" w:hAnsiTheme="majorHAnsi"/>
        </w:rPr>
        <w:t xml:space="preserve"> – SW,</w:t>
      </w:r>
      <w:r w:rsidRPr="00C47CC2">
        <w:rPr>
          <w:rFonts w:asciiTheme="majorHAnsi" w:hAnsiTheme="majorHAnsi"/>
        </w:rPr>
        <w:t xml:space="preserve"> </w:t>
      </w:r>
    </w:p>
    <w:p w:rsidR="00625CFE" w:rsidRPr="0009075B" w:rsidRDefault="00625CFE" w:rsidP="00BC24D2">
      <w:pPr>
        <w:pStyle w:val="Odstavecseseznamem"/>
        <w:numPr>
          <w:ilvl w:val="0"/>
          <w:numId w:val="10"/>
        </w:numPr>
        <w:rPr>
          <w:rFonts w:asciiTheme="majorHAnsi" w:hAnsiTheme="majorHAnsi"/>
          <w:b/>
        </w:rPr>
      </w:pPr>
      <w:r>
        <w:t>p</w:t>
      </w:r>
      <w:r w:rsidRPr="00C47CC2">
        <w:t>ořízení</w:t>
      </w:r>
      <w:r w:rsidRPr="0009075B">
        <w:rPr>
          <w:rFonts w:asciiTheme="majorHAnsi" w:hAnsiTheme="majorHAnsi"/>
          <w:b/>
        </w:rPr>
        <w:t xml:space="preserve"> </w:t>
      </w:r>
      <w:r w:rsidRPr="00C47CC2">
        <w:rPr>
          <w:rFonts w:asciiTheme="majorHAnsi" w:hAnsiTheme="majorHAnsi"/>
        </w:rPr>
        <w:t>dlouhodobého</w:t>
      </w:r>
      <w:r w:rsidRPr="0009075B">
        <w:rPr>
          <w:rFonts w:asciiTheme="majorHAnsi" w:hAnsiTheme="majorHAnsi"/>
          <w:b/>
        </w:rPr>
        <w:t xml:space="preserve"> </w:t>
      </w:r>
      <w:r w:rsidRPr="0009075B">
        <w:rPr>
          <w:rFonts w:asciiTheme="majorHAnsi" w:hAnsiTheme="majorHAnsi"/>
        </w:rPr>
        <w:t>hmotného majetku</w:t>
      </w:r>
      <w:r>
        <w:rPr>
          <w:rFonts w:asciiTheme="majorHAnsi" w:hAnsiTheme="majorHAnsi"/>
        </w:rPr>
        <w:t xml:space="preserve"> – HW</w:t>
      </w:r>
      <w:r w:rsidR="009975D7">
        <w:rPr>
          <w:rFonts w:asciiTheme="majorHAnsi" w:hAnsiTheme="majorHAnsi"/>
          <w:b/>
        </w:rPr>
        <w:t>,</w:t>
      </w:r>
    </w:p>
    <w:p w:rsidR="00662C07" w:rsidRPr="00D84AEE" w:rsidRDefault="00625CFE" w:rsidP="00BC24D2">
      <w:pPr>
        <w:pStyle w:val="Odstavecseseznamem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09075B">
        <w:rPr>
          <w:rFonts w:asciiTheme="majorHAnsi" w:hAnsiTheme="majorHAnsi"/>
        </w:rPr>
        <w:t>ořízení dlouhodobého nehmotného majetku</w:t>
      </w:r>
      <w:r>
        <w:rPr>
          <w:rFonts w:asciiTheme="majorHAnsi" w:hAnsiTheme="majorHAnsi"/>
        </w:rPr>
        <w:t xml:space="preserve"> – SW</w:t>
      </w:r>
      <w:r w:rsidR="00457281">
        <w:rPr>
          <w:rFonts w:asciiTheme="majorHAnsi" w:hAnsiTheme="majorHAnsi"/>
        </w:rPr>
        <w:t xml:space="preserve"> </w:t>
      </w:r>
    </w:p>
    <w:p w:rsidR="00F9093D" w:rsidRPr="00B17817" w:rsidRDefault="00F9093D" w:rsidP="00BC24D2">
      <w:pPr>
        <w:jc w:val="both"/>
        <w:rPr>
          <w:spacing w:val="40"/>
          <w:u w:val="single"/>
        </w:rPr>
      </w:pPr>
      <w:r w:rsidRPr="00B17817">
        <w:rPr>
          <w:spacing w:val="40"/>
          <w:u w:val="single"/>
        </w:rPr>
        <w:t>Pořízení služeb bezprostředně souvisejících s realizací projektu</w:t>
      </w:r>
    </w:p>
    <w:p w:rsidR="00F9093D" w:rsidRPr="00B17817" w:rsidRDefault="00F9093D" w:rsidP="009E23FD">
      <w:pPr>
        <w:pStyle w:val="Odstavecseseznamem"/>
        <w:numPr>
          <w:ilvl w:val="0"/>
          <w:numId w:val="62"/>
        </w:numPr>
        <w:rPr>
          <w:spacing w:val="40"/>
          <w:u w:val="single"/>
        </w:rPr>
      </w:pPr>
      <w:r>
        <w:rPr>
          <w:color w:val="000000"/>
        </w:rPr>
        <w:t>o</w:t>
      </w:r>
      <w:r w:rsidRPr="00B17817">
        <w:rPr>
          <w:color w:val="000000"/>
        </w:rPr>
        <w:t>věření obsahové a technické kvality datového zdroje</w:t>
      </w:r>
    </w:p>
    <w:p w:rsidR="00625CFE" w:rsidRPr="00C4211B" w:rsidRDefault="00625CFE" w:rsidP="00BC4DB8">
      <w:pPr>
        <w:rPr>
          <w:spacing w:val="40"/>
          <w:u w:val="single"/>
        </w:rPr>
      </w:pPr>
      <w:r w:rsidRPr="00C4211B">
        <w:rPr>
          <w:spacing w:val="40"/>
          <w:u w:val="single"/>
        </w:rPr>
        <w:t>DPH</w:t>
      </w:r>
    </w:p>
    <w:p w:rsidR="00625CFE" w:rsidRPr="00236EE7" w:rsidRDefault="00625CFE" w:rsidP="009A7CB8">
      <w:pPr>
        <w:pStyle w:val="Odstavecseseznamem"/>
        <w:numPr>
          <w:ilvl w:val="0"/>
          <w:numId w:val="25"/>
        </w:numPr>
        <w:suppressAutoHyphens w:val="0"/>
        <w:jc w:val="both"/>
      </w:pPr>
      <w:r w:rsidRPr="00236EE7">
        <w:t>pokud ne</w:t>
      </w:r>
      <w:r>
        <w:t>má plátce DPH k podporovaným aktivitám</w:t>
      </w:r>
      <w:r w:rsidRPr="00236EE7">
        <w:t xml:space="preserve"> nárok na odpočet vstupu</w:t>
      </w:r>
      <w:r>
        <w:t>,</w:t>
      </w:r>
    </w:p>
    <w:p w:rsidR="00625CFE" w:rsidRPr="00625CFE" w:rsidRDefault="00625CFE">
      <w:pPr>
        <w:pStyle w:val="Odstavecseseznamem"/>
        <w:numPr>
          <w:ilvl w:val="0"/>
          <w:numId w:val="25"/>
        </w:numPr>
        <w:suppressAutoHyphens w:val="0"/>
        <w:jc w:val="both"/>
      </w:pPr>
      <w:r w:rsidRPr="00236EE7">
        <w:t>DPH je způsobilým výdajem, jen je-li způsobilým výdajem plnění, ke kterému se vztahuje.</w:t>
      </w:r>
    </w:p>
    <w:p w:rsidR="00625CFE" w:rsidRDefault="00625CFE">
      <w:pPr>
        <w:pStyle w:val="Pravidla111"/>
      </w:pPr>
      <w:bookmarkStart w:id="123" w:name="_Toc436900682"/>
      <w:r>
        <w:t>Z</w:t>
      </w:r>
      <w:r w:rsidRPr="004A6AD3">
        <w:t>působilé výdaje</w:t>
      </w:r>
      <w:r>
        <w:t xml:space="preserve"> na vedlejší aktivity projektu</w:t>
      </w:r>
      <w:bookmarkEnd w:id="123"/>
    </w:p>
    <w:p w:rsidR="00350BCD" w:rsidRPr="00625CFE" w:rsidRDefault="00350BCD" w:rsidP="00BC24D2">
      <w:pPr>
        <w:jc w:val="both"/>
        <w:rPr>
          <w:rFonts w:asciiTheme="majorHAnsi" w:hAnsiTheme="majorHAnsi" w:cs="Arial"/>
        </w:rPr>
      </w:pPr>
      <w:r w:rsidRPr="00350BCD">
        <w:rPr>
          <w:rFonts w:asciiTheme="majorHAnsi" w:hAnsiTheme="majorHAnsi" w:cs="Arial"/>
        </w:rPr>
        <w:t xml:space="preserve">Na </w:t>
      </w:r>
      <w:r w:rsidRPr="00226158">
        <w:rPr>
          <w:rFonts w:asciiTheme="majorHAnsi" w:hAnsiTheme="majorHAnsi" w:cs="Arial"/>
        </w:rPr>
        <w:t>vedlejší aktivity</w:t>
      </w:r>
      <w:r>
        <w:rPr>
          <w:rFonts w:asciiTheme="majorHAnsi" w:hAnsiTheme="majorHAnsi" w:cs="Arial"/>
        </w:rPr>
        <w:t xml:space="preserve"> projektu může být vynaloženo </w:t>
      </w:r>
      <w:r w:rsidRPr="000858AF">
        <w:rPr>
          <w:rFonts w:asciiTheme="majorHAnsi" w:hAnsiTheme="majorHAnsi" w:cs="Arial"/>
          <w:b/>
        </w:rPr>
        <w:t xml:space="preserve">maximálně 15 % </w:t>
      </w:r>
      <w:r>
        <w:rPr>
          <w:rFonts w:asciiTheme="majorHAnsi" w:hAnsiTheme="majorHAnsi" w:cs="Arial"/>
          <w:b/>
        </w:rPr>
        <w:t xml:space="preserve">celkových </w:t>
      </w:r>
      <w:r w:rsidRPr="000858AF">
        <w:rPr>
          <w:rFonts w:asciiTheme="majorHAnsi" w:hAnsiTheme="majorHAnsi" w:cs="Arial"/>
          <w:b/>
        </w:rPr>
        <w:t>způsobilých výdajů</w:t>
      </w:r>
      <w:r>
        <w:rPr>
          <w:rFonts w:asciiTheme="majorHAnsi" w:hAnsiTheme="majorHAnsi" w:cs="Arial"/>
        </w:rPr>
        <w:t xml:space="preserve"> projektu. </w:t>
      </w:r>
      <w:r w:rsidRPr="00EF2C2C">
        <w:rPr>
          <w:rFonts w:cs="Arial"/>
        </w:rPr>
        <w:t>Část výdajů na vedlejší aktivity projektu nad 15 % celkových způsobilých výdajů projektu je nezpůsobilá.</w:t>
      </w:r>
    </w:p>
    <w:p w:rsidR="00625CFE" w:rsidRPr="00C4211B" w:rsidRDefault="00625CFE" w:rsidP="00BC24D2">
      <w:pPr>
        <w:jc w:val="both"/>
        <w:rPr>
          <w:spacing w:val="40"/>
          <w:u w:val="single"/>
        </w:rPr>
      </w:pPr>
      <w:r w:rsidRPr="00C4211B">
        <w:rPr>
          <w:spacing w:val="40"/>
          <w:u w:val="single"/>
        </w:rPr>
        <w:t>Pořízení služeb bezprostředně souvisejících s realizací projektu</w:t>
      </w:r>
    </w:p>
    <w:p w:rsidR="00E500A0" w:rsidRDefault="00625CFE" w:rsidP="009E23FD">
      <w:pPr>
        <w:pStyle w:val="Odstavecseseznamem"/>
        <w:numPr>
          <w:ilvl w:val="0"/>
          <w:numId w:val="26"/>
        </w:numPr>
        <w:jc w:val="both"/>
      </w:pPr>
      <w:r w:rsidRPr="002C716C">
        <w:t>výdaje na zpracování</w:t>
      </w:r>
      <w:r>
        <w:t xml:space="preserve"> </w:t>
      </w:r>
      <w:r w:rsidRPr="00EC254F">
        <w:t>studie proveditelnosti (</w:t>
      </w:r>
      <w:r>
        <w:t>po</w:t>
      </w:r>
      <w:r w:rsidRPr="00EC254F">
        <w:t xml:space="preserve">dle přílohy č. </w:t>
      </w:r>
      <w:r>
        <w:t>2</w:t>
      </w:r>
      <w:r w:rsidRPr="00EC254F">
        <w:t xml:space="preserve"> </w:t>
      </w:r>
      <w:r>
        <w:t>těchto Pravidel),</w:t>
      </w:r>
      <w:r w:rsidR="00D84AEE">
        <w:t xml:space="preserve"> </w:t>
      </w:r>
      <w:r w:rsidR="009975D7">
        <w:t>výdaje na zpracování zadávacích dokumentací k veřejným zakázkám a na organizaci výběrových a zadávacích řízení,</w:t>
      </w:r>
    </w:p>
    <w:p w:rsidR="00A8266F" w:rsidRPr="00926D48" w:rsidRDefault="00A8266F" w:rsidP="00BC4DB8">
      <w:pPr>
        <w:pStyle w:val="Odstavecseseznamem"/>
        <w:numPr>
          <w:ilvl w:val="0"/>
          <w:numId w:val="23"/>
        </w:numPr>
        <w:ind w:left="709" w:hanging="283"/>
        <w:jc w:val="both"/>
        <w:rPr>
          <w:rFonts w:cs="Arial"/>
        </w:rPr>
      </w:pPr>
      <w:r>
        <w:t>výdaje na služby systémového architekta</w:t>
      </w:r>
      <w:r w:rsidR="00926D48" w:rsidRPr="00926D48">
        <w:rPr>
          <w:rFonts w:cs="Arial"/>
        </w:rPr>
        <w:t xml:space="preserve"> </w:t>
      </w:r>
      <w:r w:rsidR="00926D48">
        <w:rPr>
          <w:rFonts w:cs="Arial"/>
        </w:rPr>
        <w:t>a jeho dohled nad rea</w:t>
      </w:r>
      <w:r w:rsidR="00DC47DC">
        <w:rPr>
          <w:rFonts w:cs="Arial"/>
        </w:rPr>
        <w:t>lizací architektonického řešení</w:t>
      </w:r>
      <w:r>
        <w:t>.</w:t>
      </w:r>
    </w:p>
    <w:p w:rsidR="00FE39F7" w:rsidRDefault="00FE39F7" w:rsidP="009A7CB8">
      <w:pPr>
        <w:rPr>
          <w:spacing w:val="40"/>
          <w:u w:val="single"/>
        </w:rPr>
      </w:pPr>
      <w:r>
        <w:rPr>
          <w:spacing w:val="40"/>
          <w:u w:val="single"/>
        </w:rPr>
        <w:t>Stavební úpravy</w:t>
      </w:r>
    </w:p>
    <w:p w:rsidR="00FE39F7" w:rsidRPr="00070FB2" w:rsidRDefault="00FE39F7">
      <w:pPr>
        <w:pStyle w:val="Odstavecseseznamem"/>
        <w:numPr>
          <w:ilvl w:val="0"/>
          <w:numId w:val="26"/>
        </w:numPr>
        <w:suppressAutoHyphens w:val="0"/>
        <w:spacing w:after="120"/>
        <w:ind w:hanging="357"/>
        <w:jc w:val="both"/>
        <w:rPr>
          <w:rFonts w:cs="Arial"/>
        </w:rPr>
      </w:pPr>
      <w:r w:rsidRPr="00EF2C2C">
        <w:rPr>
          <w:rFonts w:cs="Arial"/>
        </w:rPr>
        <w:t xml:space="preserve">výdaje na stavební úpravy, bezprostředně související s realizací projektu (zejména stavební úpravy </w:t>
      </w:r>
      <w:proofErr w:type="spellStart"/>
      <w:r w:rsidRPr="00EF2C2C">
        <w:rPr>
          <w:rFonts w:cs="Arial"/>
        </w:rPr>
        <w:t>serverovny</w:t>
      </w:r>
      <w:proofErr w:type="spellEnd"/>
      <w:r w:rsidRPr="00EF2C2C">
        <w:rPr>
          <w:rStyle w:val="Znakapoznpodarou"/>
          <w:rFonts w:cs="Arial"/>
        </w:rPr>
        <w:footnoteReference w:id="3"/>
      </w:r>
      <w:r w:rsidRPr="00EF2C2C">
        <w:rPr>
          <w:rFonts w:cs="Arial"/>
        </w:rPr>
        <w:t xml:space="preserve"> a související infrastruktury, stavebně-montážní práce, např. instalace elektrických rozvodů a zařízení včetně elektrocentrály, instalace a montáže klimatizace, zhášecího systému, přístupového a zabezpečovacího systému a s tím související kompletační a dokončovací práce)</w:t>
      </w:r>
      <w:r w:rsidR="00724B0C">
        <w:rPr>
          <w:rFonts w:cs="Arial"/>
        </w:rPr>
        <w:t>.</w:t>
      </w:r>
    </w:p>
    <w:p w:rsidR="00625CFE" w:rsidRPr="00C4211B" w:rsidRDefault="00625CFE">
      <w:pPr>
        <w:rPr>
          <w:spacing w:val="40"/>
          <w:u w:val="single"/>
        </w:rPr>
      </w:pPr>
      <w:r w:rsidRPr="00C4211B">
        <w:rPr>
          <w:spacing w:val="40"/>
          <w:u w:val="single"/>
        </w:rPr>
        <w:lastRenderedPageBreak/>
        <w:t>Povinná publicita</w:t>
      </w:r>
    </w:p>
    <w:p w:rsidR="00625CFE" w:rsidRDefault="00625CFE">
      <w:pPr>
        <w:pStyle w:val="Odstavecseseznamem"/>
        <w:numPr>
          <w:ilvl w:val="0"/>
          <w:numId w:val="26"/>
        </w:numPr>
        <w:suppressAutoHyphens w:val="0"/>
        <w:jc w:val="both"/>
      </w:pPr>
      <w:r w:rsidRPr="002C716C">
        <w:t xml:space="preserve">výdaje </w:t>
      </w:r>
      <w:r>
        <w:t>podle kap. 13 Obecných pravidel.</w:t>
      </w:r>
    </w:p>
    <w:p w:rsidR="00625CFE" w:rsidRPr="00C4211B" w:rsidRDefault="00625CFE">
      <w:pPr>
        <w:jc w:val="both"/>
        <w:rPr>
          <w:spacing w:val="40"/>
          <w:u w:val="single"/>
        </w:rPr>
      </w:pPr>
      <w:r w:rsidRPr="00C4211B">
        <w:rPr>
          <w:spacing w:val="40"/>
          <w:u w:val="single"/>
        </w:rPr>
        <w:t>DPH</w:t>
      </w:r>
    </w:p>
    <w:p w:rsidR="00625CFE" w:rsidRPr="00236EE7" w:rsidRDefault="00625CFE">
      <w:pPr>
        <w:pStyle w:val="Odstavecseseznamem"/>
        <w:numPr>
          <w:ilvl w:val="0"/>
          <w:numId w:val="25"/>
        </w:numPr>
        <w:suppressAutoHyphens w:val="0"/>
        <w:jc w:val="both"/>
      </w:pPr>
      <w:r w:rsidRPr="00236EE7">
        <w:t>pokud ne</w:t>
      </w:r>
      <w:r>
        <w:t>má plátce DPH k podporovaným aktivitám</w:t>
      </w:r>
      <w:r w:rsidRPr="00236EE7">
        <w:t xml:space="preserve"> nárok na odpočet </w:t>
      </w:r>
      <w:r>
        <w:t xml:space="preserve">na </w:t>
      </w:r>
      <w:r w:rsidRPr="00236EE7">
        <w:t>vstupu</w:t>
      </w:r>
      <w:r>
        <w:t>,</w:t>
      </w:r>
    </w:p>
    <w:p w:rsidR="00625CFE" w:rsidRPr="00070FB2" w:rsidRDefault="00625CFE">
      <w:pPr>
        <w:pStyle w:val="Odstavecseseznamem"/>
        <w:numPr>
          <w:ilvl w:val="0"/>
          <w:numId w:val="25"/>
        </w:numPr>
        <w:suppressAutoHyphens w:val="0"/>
        <w:jc w:val="both"/>
      </w:pPr>
      <w:r w:rsidRPr="00236EE7">
        <w:t>DPH je způsobilým výdajem, jen je-li způsobilým výdajem plnění, ke kterému se vztahuje.</w:t>
      </w:r>
    </w:p>
    <w:p w:rsidR="00625CFE" w:rsidRPr="0008740F" w:rsidRDefault="00625CFE" w:rsidP="00226158">
      <w:pPr>
        <w:pStyle w:val="Pravidla111"/>
      </w:pPr>
      <w:bookmarkStart w:id="124" w:name="_Toc436900683"/>
      <w:r w:rsidRPr="0008740F">
        <w:t>Dokladování způsobilých výdajů projektu</w:t>
      </w:r>
      <w:bookmarkEnd w:id="12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9"/>
        <w:gridCol w:w="5615"/>
      </w:tblGrid>
      <w:tr w:rsidR="00625CFE" w:rsidRPr="00C537AE" w:rsidTr="008D3A03">
        <w:tc>
          <w:tcPr>
            <w:tcW w:w="1979" w:type="pct"/>
            <w:shd w:val="clear" w:color="auto" w:fill="auto"/>
          </w:tcPr>
          <w:p w:rsidR="00625CFE" w:rsidRPr="00C537AE" w:rsidRDefault="00625CFE" w:rsidP="008D3A0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Pořízení majetku</w:t>
            </w:r>
          </w:p>
          <w:p w:rsidR="00625CFE" w:rsidRPr="00C537AE" w:rsidRDefault="00625CFE" w:rsidP="008D3A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:rsidR="00B14685" w:rsidRPr="00B14685" w:rsidRDefault="00625CFE" w:rsidP="00B14685">
            <w:pPr>
              <w:pStyle w:val="Odstavecseseznamem"/>
              <w:numPr>
                <w:ilvl w:val="0"/>
                <w:numId w:val="48"/>
              </w:numPr>
              <w:suppressAutoHyphens w:val="0"/>
              <w:ind w:left="290" w:hanging="283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účetní/daňové doklady se zřejmou identifikací předmětu plnění pro posouzení způsobilosti výdaje</w:t>
            </w:r>
            <w:r w:rsidR="00B14685" w:rsidRPr="00B14685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B14685" w:rsidRPr="00B14685" w:rsidRDefault="00625CFE" w:rsidP="00B14685">
            <w:pPr>
              <w:pStyle w:val="Odstavecseseznamem"/>
              <w:numPr>
                <w:ilvl w:val="0"/>
                <w:numId w:val="48"/>
              </w:numPr>
              <w:suppressAutoHyphens w:val="0"/>
              <w:ind w:left="290" w:hanging="283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:rsidR="00B14685" w:rsidRPr="00B14685" w:rsidRDefault="00625CFE" w:rsidP="00B14685">
            <w:pPr>
              <w:pStyle w:val="Odstavecseseznamem"/>
              <w:numPr>
                <w:ilvl w:val="0"/>
                <w:numId w:val="48"/>
              </w:numPr>
              <w:suppressAutoHyphens w:val="0"/>
              <w:ind w:left="290" w:hanging="283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:rsidR="00B14685" w:rsidRPr="00B14685" w:rsidRDefault="00625CFE" w:rsidP="00B14685">
            <w:pPr>
              <w:pStyle w:val="Odstavecseseznamem"/>
              <w:numPr>
                <w:ilvl w:val="0"/>
                <w:numId w:val="48"/>
              </w:numPr>
              <w:suppressAutoHyphens w:val="0"/>
              <w:ind w:left="290" w:hanging="283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smlouva;</w:t>
            </w:r>
          </w:p>
          <w:p w:rsidR="00625CFE" w:rsidRPr="00B14685" w:rsidRDefault="00625CFE" w:rsidP="00B14685">
            <w:pPr>
              <w:pStyle w:val="Odstavecseseznamem"/>
              <w:numPr>
                <w:ilvl w:val="0"/>
                <w:numId w:val="48"/>
              </w:numPr>
              <w:suppressAutoHyphens w:val="0"/>
              <w:ind w:left="290" w:hanging="283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625CFE" w:rsidRPr="00C537AE" w:rsidTr="008D3A03">
        <w:tc>
          <w:tcPr>
            <w:tcW w:w="1979" w:type="pct"/>
            <w:shd w:val="clear" w:color="auto" w:fill="auto"/>
          </w:tcPr>
          <w:p w:rsidR="00625CFE" w:rsidRDefault="00625CFE" w:rsidP="008D3A0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37AE">
              <w:rPr>
                <w:rFonts w:asciiTheme="majorHAnsi" w:hAnsiTheme="majorHAnsi"/>
                <w:b/>
                <w:bCs/>
                <w:sz w:val="22"/>
                <w:szCs w:val="22"/>
              </w:rPr>
              <w:t>Pořízení služeb bezprostředně souvisejících s realizací projektu</w:t>
            </w:r>
          </w:p>
          <w:p w:rsidR="006B55E6" w:rsidRPr="00C537AE" w:rsidRDefault="006B55E6" w:rsidP="008D3A03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Stavební úpravy</w:t>
            </w:r>
          </w:p>
          <w:p w:rsidR="00625CFE" w:rsidRPr="00020742" w:rsidRDefault="00625CFE" w:rsidP="008D3A03">
            <w:pPr>
              <w:pStyle w:val="Odstavecseseznamem"/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:rsidR="00625CFE" w:rsidRPr="00B14685" w:rsidRDefault="00625CFE" w:rsidP="00B14685">
            <w:pPr>
              <w:pStyle w:val="Odstavecseseznamem"/>
              <w:numPr>
                <w:ilvl w:val="0"/>
                <w:numId w:val="49"/>
              </w:numPr>
              <w:suppressAutoHyphens w:val="0"/>
              <w:ind w:left="290" w:hanging="290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účetní/daňové doklady se zřejmou identifikací předmětu plnění pro posouzení způsobilosti výdaje;</w:t>
            </w:r>
          </w:p>
          <w:p w:rsidR="00625CFE" w:rsidRPr="00B14685" w:rsidRDefault="00625CFE" w:rsidP="00B14685">
            <w:pPr>
              <w:pStyle w:val="Odstavecseseznamem"/>
              <w:numPr>
                <w:ilvl w:val="0"/>
                <w:numId w:val="49"/>
              </w:numPr>
              <w:suppressAutoHyphens w:val="0"/>
              <w:ind w:left="290" w:hanging="290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:rsidR="00625CFE" w:rsidRPr="00B14685" w:rsidRDefault="00625CFE" w:rsidP="00B14685">
            <w:pPr>
              <w:pStyle w:val="Odstavecseseznamem"/>
              <w:numPr>
                <w:ilvl w:val="0"/>
                <w:numId w:val="49"/>
              </w:numPr>
              <w:suppressAutoHyphens w:val="0"/>
              <w:ind w:left="290" w:hanging="290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:rsidR="00625CFE" w:rsidRPr="00B14685" w:rsidRDefault="00625CFE" w:rsidP="00B14685">
            <w:pPr>
              <w:pStyle w:val="Odstavecseseznamem"/>
              <w:numPr>
                <w:ilvl w:val="0"/>
                <w:numId w:val="49"/>
              </w:numPr>
              <w:suppressAutoHyphens w:val="0"/>
              <w:ind w:left="290" w:hanging="290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smlouva;</w:t>
            </w:r>
          </w:p>
          <w:p w:rsidR="00625CFE" w:rsidRPr="00B14685" w:rsidRDefault="00625CFE" w:rsidP="00B14685">
            <w:pPr>
              <w:pStyle w:val="Odstavecseseznamem"/>
              <w:numPr>
                <w:ilvl w:val="0"/>
                <w:numId w:val="49"/>
              </w:numPr>
              <w:suppressAutoHyphens w:val="0"/>
              <w:ind w:left="290" w:hanging="290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625CFE" w:rsidRPr="00C537AE" w:rsidTr="008D3A03">
        <w:tc>
          <w:tcPr>
            <w:tcW w:w="1979" w:type="pct"/>
            <w:shd w:val="clear" w:color="auto" w:fill="auto"/>
          </w:tcPr>
          <w:p w:rsidR="00625CFE" w:rsidRPr="00C1183D" w:rsidRDefault="00625CFE" w:rsidP="008D3A0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</w:t>
            </w:r>
            <w:r w:rsidRPr="00C537AE">
              <w:rPr>
                <w:rFonts w:asciiTheme="majorHAnsi" w:hAnsiTheme="majorHAnsi"/>
                <w:b/>
                <w:bCs/>
                <w:sz w:val="22"/>
                <w:szCs w:val="22"/>
              </w:rPr>
              <w:t>ovinná publicita</w:t>
            </w:r>
          </w:p>
        </w:tc>
        <w:tc>
          <w:tcPr>
            <w:tcW w:w="3021" w:type="pct"/>
            <w:shd w:val="clear" w:color="auto" w:fill="auto"/>
          </w:tcPr>
          <w:p w:rsidR="00625CFE" w:rsidRPr="00B14685" w:rsidRDefault="00625CFE" w:rsidP="00B14685">
            <w:pPr>
              <w:pStyle w:val="Odstavecseseznamem"/>
              <w:numPr>
                <w:ilvl w:val="0"/>
                <w:numId w:val="50"/>
              </w:numPr>
              <w:suppressAutoHyphens w:val="0"/>
              <w:ind w:left="290" w:hanging="283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účetní/daňové doklady se zřejmou  identifikací předmětu plnění pro posouzení způsobilosti výdaje;</w:t>
            </w:r>
          </w:p>
          <w:p w:rsidR="00625CFE" w:rsidRPr="00B14685" w:rsidRDefault="00625CFE" w:rsidP="00B14685">
            <w:pPr>
              <w:pStyle w:val="Odstavecseseznamem"/>
              <w:numPr>
                <w:ilvl w:val="0"/>
                <w:numId w:val="50"/>
              </w:numPr>
              <w:suppressAutoHyphens w:val="0"/>
              <w:ind w:left="290" w:hanging="283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:rsidR="00625CFE" w:rsidRPr="00B14685" w:rsidRDefault="00625CFE" w:rsidP="00B14685">
            <w:pPr>
              <w:pStyle w:val="Odstavecseseznamem"/>
              <w:numPr>
                <w:ilvl w:val="0"/>
                <w:numId w:val="50"/>
              </w:numPr>
              <w:suppressAutoHyphens w:val="0"/>
              <w:ind w:left="290" w:hanging="283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smlouva o poskytnutí služeb, smlouva o dílo;</w:t>
            </w:r>
          </w:p>
          <w:p w:rsidR="00625CFE" w:rsidRPr="00B14685" w:rsidRDefault="00625CFE" w:rsidP="00B14685">
            <w:pPr>
              <w:pStyle w:val="Odstavecseseznamem"/>
              <w:numPr>
                <w:ilvl w:val="0"/>
                <w:numId w:val="50"/>
              </w:numPr>
              <w:suppressAutoHyphens w:val="0"/>
              <w:ind w:left="290" w:hanging="283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:rsidR="00625CFE" w:rsidRPr="00B14685" w:rsidRDefault="00625CFE" w:rsidP="00B14685">
            <w:pPr>
              <w:pStyle w:val="Odstavecseseznamem"/>
              <w:numPr>
                <w:ilvl w:val="0"/>
                <w:numId w:val="50"/>
              </w:numPr>
              <w:suppressAutoHyphens w:val="0"/>
              <w:ind w:left="290" w:hanging="283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>doložení ceny obvyklé - způsob stanovení ceny od dodavatelů, neplatí pro ceny stanovené znaleckým posudkem a při výběru dodavatele na základě výběrového řízení.</w:t>
            </w:r>
          </w:p>
        </w:tc>
      </w:tr>
      <w:tr w:rsidR="00625CFE" w:rsidRPr="00341080" w:rsidTr="008D3A03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CFE" w:rsidRPr="00C52714" w:rsidRDefault="00625CFE" w:rsidP="008D3A03">
            <w:pPr>
              <w:rPr>
                <w:rFonts w:asciiTheme="majorHAnsi" w:hAnsiTheme="majorHAnsi"/>
                <w:b/>
                <w:bCs/>
              </w:rPr>
            </w:pPr>
            <w:r w:rsidRPr="00C52714">
              <w:rPr>
                <w:rFonts w:asciiTheme="majorHAnsi" w:hAnsiTheme="majorHAnsi"/>
                <w:b/>
                <w:bCs/>
                <w:sz w:val="22"/>
                <w:szCs w:val="22"/>
              </w:rPr>
              <w:t>DPH</w:t>
            </w:r>
          </w:p>
          <w:p w:rsidR="00625CFE" w:rsidRPr="00915EED" w:rsidRDefault="00625CFE" w:rsidP="008D3A03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5CFE" w:rsidRPr="00B14685" w:rsidRDefault="00625CFE" w:rsidP="00B14685">
            <w:pPr>
              <w:pStyle w:val="Odstavecseseznamem"/>
              <w:numPr>
                <w:ilvl w:val="0"/>
                <w:numId w:val="51"/>
              </w:numPr>
              <w:suppressAutoHyphens w:val="0"/>
              <w:ind w:left="290" w:hanging="283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při využití plnění pro ekonomickou činnost a osvobozená plnění se dokládá výše skutečného (vypořádacího) koeficientu za vypořádávané období </w:t>
            </w:r>
            <w:r w:rsidRPr="00B1468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(výdaj se považuje za doložený až na základě vypořádacího koeficientu, kdy je známá skutečná výše výdaje); </w:t>
            </w:r>
          </w:p>
          <w:p w:rsidR="00625CFE" w:rsidRPr="00B14685" w:rsidRDefault="00625CFE" w:rsidP="009A7CB8">
            <w:pPr>
              <w:pStyle w:val="Odstavecseseznamem"/>
              <w:numPr>
                <w:ilvl w:val="0"/>
                <w:numId w:val="51"/>
              </w:numPr>
              <w:suppressAutoHyphens w:val="0"/>
              <w:ind w:left="290" w:hanging="283"/>
              <w:jc w:val="both"/>
              <w:rPr>
                <w:rFonts w:asciiTheme="majorHAnsi" w:hAnsiTheme="majorHAnsi"/>
              </w:rPr>
            </w:pPr>
            <w:r w:rsidRPr="00B14685">
              <w:rPr>
                <w:rFonts w:asciiTheme="majorHAnsi" w:hAnsiTheme="majorHAnsi"/>
                <w:sz w:val="22"/>
                <w:szCs w:val="22"/>
              </w:rPr>
              <w:t xml:space="preserve">při využití přenesené daňové povinnosti kopie evidence pro daňové účely a kopie výpisu z bankovního účtu jako doklad o úhradě daňové povinnosti </w:t>
            </w:r>
            <w:r w:rsidR="0096517E">
              <w:rPr>
                <w:rFonts w:asciiTheme="majorHAnsi" w:hAnsiTheme="majorHAnsi"/>
                <w:sz w:val="22"/>
                <w:szCs w:val="22"/>
              </w:rPr>
              <w:t>orgánu finanční správy</w:t>
            </w:r>
            <w:r w:rsidRPr="00B1468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625CFE" w:rsidRPr="00341080" w:rsidTr="008D3A03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CFE" w:rsidRPr="00C52714" w:rsidRDefault="00625CFE" w:rsidP="008D3A0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Účetní doklady do 10 000 Kč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25CFE" w:rsidRPr="00F54F72" w:rsidRDefault="00625CFE" w:rsidP="00F54F72">
            <w:pPr>
              <w:pStyle w:val="Odstavecseseznamem"/>
              <w:numPr>
                <w:ilvl w:val="0"/>
                <w:numId w:val="52"/>
              </w:numPr>
              <w:suppressAutoHyphens w:val="0"/>
              <w:ind w:left="290" w:hanging="283"/>
              <w:jc w:val="both"/>
              <w:rPr>
                <w:sz w:val="22"/>
                <w:szCs w:val="22"/>
              </w:rPr>
            </w:pPr>
            <w:r w:rsidRPr="00B14685">
              <w:rPr>
                <w:sz w:val="22"/>
                <w:szCs w:val="22"/>
              </w:rPr>
              <w:t xml:space="preserve">Výdaje do 10 000 Kč lze uvést v Seznamu účetních dokladů </w:t>
            </w:r>
            <w:r w:rsidR="00E7334A">
              <w:rPr>
                <w:sz w:val="22"/>
                <w:szCs w:val="22"/>
              </w:rPr>
              <w:t>v MS2014+</w:t>
            </w:r>
            <w:r w:rsidR="00F54F72">
              <w:rPr>
                <w:sz w:val="22"/>
                <w:szCs w:val="22"/>
              </w:rPr>
              <w:t xml:space="preserve"> </w:t>
            </w:r>
            <w:r w:rsidRPr="00F54F72">
              <w:rPr>
                <w:sz w:val="22"/>
                <w:szCs w:val="22"/>
              </w:rPr>
              <w:t xml:space="preserve">a nedokládat k nim faktury, paragony a další účetní doklady. </w:t>
            </w:r>
          </w:p>
          <w:p w:rsidR="00B14685" w:rsidRPr="00B14685" w:rsidRDefault="00625CFE" w:rsidP="00B14685">
            <w:pPr>
              <w:pStyle w:val="Odstavecseseznamem"/>
              <w:numPr>
                <w:ilvl w:val="0"/>
                <w:numId w:val="52"/>
              </w:numPr>
              <w:suppressAutoHyphens w:val="0"/>
              <w:ind w:left="290" w:hanging="283"/>
              <w:jc w:val="both"/>
              <w:rPr>
                <w:sz w:val="22"/>
                <w:szCs w:val="22"/>
              </w:rPr>
            </w:pPr>
            <w:r w:rsidRPr="00B14685">
              <w:rPr>
                <w:sz w:val="22"/>
                <w:szCs w:val="22"/>
              </w:rPr>
              <w:t xml:space="preserve">Maximální limit pro začlenění do seznamu účetních dokladů je 10 000 Kč včetně DPH za jeden účetní doklad. </w:t>
            </w:r>
          </w:p>
          <w:p w:rsidR="00625CFE" w:rsidRPr="00B14685" w:rsidRDefault="00625CFE" w:rsidP="00B14685">
            <w:pPr>
              <w:pStyle w:val="Odstavecseseznamem"/>
              <w:numPr>
                <w:ilvl w:val="0"/>
                <w:numId w:val="52"/>
              </w:numPr>
              <w:suppressAutoHyphens w:val="0"/>
              <w:ind w:left="290" w:hanging="283"/>
              <w:jc w:val="both"/>
              <w:rPr>
                <w:sz w:val="22"/>
                <w:szCs w:val="22"/>
              </w:rPr>
            </w:pPr>
            <w:r w:rsidRPr="00B14685">
              <w:rPr>
                <w:sz w:val="22"/>
                <w:szCs w:val="22"/>
              </w:rPr>
              <w:t>Pro tyto výdaje platí povinnost předložit v případě kontroly originály příslušných účetních dokladů.</w:t>
            </w:r>
          </w:p>
        </w:tc>
      </w:tr>
    </w:tbl>
    <w:p w:rsidR="00625CFE" w:rsidRPr="00C47CC2" w:rsidRDefault="00625CFE" w:rsidP="00226158">
      <w:pPr>
        <w:pStyle w:val="Pravidla111"/>
      </w:pPr>
      <w:bookmarkStart w:id="125" w:name="_Toc436900684"/>
      <w:r>
        <w:t>Nezpůsobilé výdaje projektu</w:t>
      </w:r>
      <w:bookmarkEnd w:id="125"/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 w:rsidRPr="00C47CC2">
        <w:t>výdaje bez přímého vztahu k projektu</w:t>
      </w:r>
      <w:r w:rsidR="0075235D">
        <w:t xml:space="preserve"> 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>
        <w:t>výdaje na vedlejší aktivity projektu nad 15</w:t>
      </w:r>
      <w:r w:rsidR="00C77D19">
        <w:t xml:space="preserve"> </w:t>
      </w:r>
      <w:r w:rsidRPr="00226158">
        <w:t>%</w:t>
      </w:r>
      <w:r>
        <w:t xml:space="preserve"> celkových způsobilých výdajů</w:t>
      </w:r>
    </w:p>
    <w:p w:rsidR="00625CFE" w:rsidRPr="00C47CC2" w:rsidRDefault="00625CFE" w:rsidP="00625CFE">
      <w:pPr>
        <w:pStyle w:val="Odstavecseseznamem"/>
        <w:numPr>
          <w:ilvl w:val="0"/>
          <w:numId w:val="9"/>
        </w:numPr>
        <w:jc w:val="both"/>
      </w:pPr>
      <w:r w:rsidRPr="00C34930">
        <w:t>jakýkoli výdaj, který zcela zřetelně nesouvisí s činností spolufinancovanou</w:t>
      </w:r>
      <w:r w:rsidRPr="00C34930">
        <w:br/>
        <w:t>ze strukturálních fondů nebo který není možno doložit písemnými doklady</w:t>
      </w:r>
      <w:r>
        <w:t>,</w:t>
      </w:r>
    </w:p>
    <w:p w:rsidR="00625CFE" w:rsidRPr="00C47CC2" w:rsidRDefault="00625CFE" w:rsidP="00625CFE">
      <w:pPr>
        <w:pStyle w:val="Odstavecseseznamem"/>
        <w:numPr>
          <w:ilvl w:val="0"/>
          <w:numId w:val="9"/>
        </w:numPr>
        <w:jc w:val="both"/>
      </w:pPr>
      <w:r w:rsidRPr="00C47CC2">
        <w:t>výdaje nesplňující principy hospodárnosti, účelnosti a efektivnosti,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 w:rsidRPr="00303B90">
        <w:t xml:space="preserve">náklady na mzdy, platy, náhrady mezd a platů, ostatní osobní náklady, povinné </w:t>
      </w:r>
      <w:r>
        <w:t>pojistné hrazené zaměstnavat</w:t>
      </w:r>
      <w:r w:rsidRPr="00C47CC2">
        <w:t>ele</w:t>
      </w:r>
      <w:r>
        <w:t>m</w:t>
      </w:r>
      <w:r w:rsidRPr="00C47CC2">
        <w:t>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>
        <w:t>cestovní náhrady,</w:t>
      </w:r>
    </w:p>
    <w:p w:rsidR="00625CFE" w:rsidRPr="00C47CC2" w:rsidRDefault="00625CFE" w:rsidP="00625CFE">
      <w:pPr>
        <w:pStyle w:val="Odstavecseseznamem"/>
        <w:numPr>
          <w:ilvl w:val="0"/>
          <w:numId w:val="9"/>
        </w:numPr>
        <w:jc w:val="both"/>
      </w:pPr>
      <w:r w:rsidRPr="00303B90">
        <w:t>provozní a režijní výdaje</w:t>
      </w:r>
      <w:r>
        <w:t>,</w:t>
      </w:r>
    </w:p>
    <w:p w:rsidR="00625CFE" w:rsidRPr="00C47CC2" w:rsidRDefault="00625CFE" w:rsidP="00625CFE">
      <w:pPr>
        <w:pStyle w:val="Odstavecseseznamem"/>
        <w:numPr>
          <w:ilvl w:val="0"/>
          <w:numId w:val="9"/>
        </w:numPr>
        <w:jc w:val="both"/>
      </w:pPr>
      <w:r w:rsidRPr="00C47CC2">
        <w:t>výdaje na nepovinnou publicitu,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>
        <w:t>výdaje spojené s řízením a administrací projektu,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 w:rsidRPr="00C47CC2">
        <w:t>výdaje na doplňující průzkumy, posudky a analýzy nesouvisející s vypracováním studie proveditelnosti,</w:t>
      </w:r>
      <w:r w:rsidR="00C80FBE">
        <w:t xml:space="preserve"> </w:t>
      </w:r>
      <w:r>
        <w:t>výdaje na nákup nemovitostí,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>
        <w:t>výdaje na uzavření kupní smlouvy, popř. smlouvy o smlouvě budoucí kupní, k nákupu nemovitosti, výdaje na vyhotovení znaleckého posudku, poplatky za zápis do katastru nemovitostí,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>
        <w:t xml:space="preserve">DPH s nárokem na odpočet nebo její část, pokud žadatel má nárok na odpočet DPH ve smyslu zákona č. 235/2004 Sb., o dani z přidané hodnoty, 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 w:rsidRPr="00C47CC2">
        <w:t>jiné daně,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>
        <w:t>úroky z úvěrů, půjček, splátky úvěrů a půjček,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>
        <w:t>pokuty,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>
        <w:t>manka a škody,</w:t>
      </w:r>
    </w:p>
    <w:p w:rsidR="00625CFE" w:rsidRPr="00C47CC2" w:rsidRDefault="00625CFE" w:rsidP="00625CFE">
      <w:pPr>
        <w:pStyle w:val="Odstavecseseznamem"/>
        <w:numPr>
          <w:ilvl w:val="0"/>
          <w:numId w:val="9"/>
        </w:numPr>
        <w:jc w:val="both"/>
      </w:pPr>
      <w:r w:rsidRPr="00C47CC2">
        <w:t xml:space="preserve">výdaje vzniklé nad </w:t>
      </w:r>
      <w:r w:rsidR="00C77D19">
        <w:t>Stanovení výdajů a Rozhodnutí</w:t>
      </w:r>
      <w:r w:rsidRPr="00C47CC2">
        <w:t>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 w:rsidRPr="00C34930">
        <w:t>dodávky, které nevytvářejí žádnou reálnou hodnotu nebo jejichž hodnota je určena pouze procentem z celkových nákladů projektu</w:t>
      </w:r>
      <w:r>
        <w:t>,</w:t>
      </w:r>
    </w:p>
    <w:p w:rsidR="00625CFE" w:rsidRPr="00C47CC2" w:rsidRDefault="00625CFE" w:rsidP="00625CFE">
      <w:pPr>
        <w:pStyle w:val="Odstavecseseznamem"/>
        <w:numPr>
          <w:ilvl w:val="0"/>
          <w:numId w:val="9"/>
        </w:numPr>
        <w:jc w:val="both"/>
      </w:pPr>
      <w:r w:rsidRPr="00C47CC2">
        <w:t xml:space="preserve">výdaje na záruky, pojištění, bankovní poplatky, </w:t>
      </w:r>
    </w:p>
    <w:p w:rsidR="00625CFE" w:rsidRPr="00C47CC2" w:rsidRDefault="00625CFE" w:rsidP="00625CFE">
      <w:pPr>
        <w:pStyle w:val="Odstavecseseznamem"/>
        <w:numPr>
          <w:ilvl w:val="0"/>
          <w:numId w:val="9"/>
        </w:numPr>
        <w:jc w:val="both"/>
      </w:pPr>
      <w:r w:rsidRPr="00C47CC2">
        <w:t>splátky půjček a úvěrů,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 w:rsidRPr="00C47CC2">
        <w:t>sankce a penále,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>
        <w:t>kurzové ztráty,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 w:rsidRPr="00303B90">
        <w:lastRenderedPageBreak/>
        <w:t>rezervy na možné budoucí ztráty a dluhy</w:t>
      </w:r>
      <w:r>
        <w:t>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>
        <w:t>provize,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 w:rsidRPr="00C47CC2">
        <w:t>celní, správní a ostatní poplatky</w:t>
      </w:r>
      <w:r>
        <w:t>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 w:rsidRPr="00303B90">
        <w:t>výdaje na právní spory vzniklé v souvislosti s projektem, např. výdaje na uhrazení soudního poplatku, na pořízení důkazů, na právní zastoupení v případě sporu</w:t>
      </w:r>
      <w:r>
        <w:t>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 w:rsidRPr="00303B90">
        <w:t>výdaje, které jsou součástí likvidace společnosti, nedobytné pohledávky a jiné</w:t>
      </w:r>
      <w:r>
        <w:t>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>
        <w:t xml:space="preserve">odpisy </w:t>
      </w:r>
      <w:r w:rsidRPr="00C34930">
        <w:t>dlouhodobého hmotného a nehmotného majetku</w:t>
      </w:r>
      <w:r>
        <w:t>,</w:t>
      </w:r>
    </w:p>
    <w:p w:rsidR="00625CFE" w:rsidRPr="00C47CC2" w:rsidRDefault="00625CFE" w:rsidP="00625CFE">
      <w:pPr>
        <w:pStyle w:val="Odstavecseseznamem"/>
        <w:numPr>
          <w:ilvl w:val="0"/>
          <w:numId w:val="9"/>
        </w:numPr>
        <w:jc w:val="both"/>
      </w:pPr>
      <w:r w:rsidRPr="00C34930">
        <w:t>výdaje odpovídající svým vymezením účetní kategorii mimořádných nákladů</w:t>
      </w:r>
      <w:r>
        <w:t>,</w:t>
      </w:r>
    </w:p>
    <w:p w:rsidR="00625CFE" w:rsidRDefault="00625CFE" w:rsidP="00625CFE">
      <w:pPr>
        <w:pStyle w:val="Odstavecseseznamem"/>
        <w:numPr>
          <w:ilvl w:val="0"/>
          <w:numId w:val="9"/>
        </w:numPr>
        <w:jc w:val="both"/>
      </w:pPr>
      <w:r>
        <w:t xml:space="preserve">a další výdaje, </w:t>
      </w:r>
      <w:r w:rsidRPr="00C34930">
        <w:t>u kterých nejsou dodrženy podmínky pro způsobilost výdajů uvedené v</w:t>
      </w:r>
      <w:r>
        <w:t> těchto Pravidlech</w:t>
      </w:r>
      <w:r w:rsidRPr="00C34930">
        <w:t>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178EF" w:rsidRPr="00EF2C2C" w:rsidTr="00B178EF">
        <w:trPr>
          <w:trHeight w:val="929"/>
        </w:trPr>
        <w:tc>
          <w:tcPr>
            <w:tcW w:w="9322" w:type="dxa"/>
          </w:tcPr>
          <w:p w:rsidR="00B178EF" w:rsidRPr="00BC24D2" w:rsidRDefault="00B178EF" w:rsidP="00B178EF">
            <w:pPr>
              <w:jc w:val="both"/>
              <w:rPr>
                <w:rFonts w:cs="Arial"/>
                <w:b/>
                <w:lang w:val="cs-CZ"/>
              </w:rPr>
            </w:pPr>
            <w:r w:rsidRPr="00B178EF">
              <w:rPr>
                <w:rFonts w:cs="Arial"/>
                <w:b/>
              </w:rPr>
              <w:t>UPŘESNĚNÍ</w:t>
            </w:r>
          </w:p>
          <w:p w:rsidR="009A7CB8" w:rsidRPr="009A7CB8" w:rsidRDefault="009A7CB8" w:rsidP="009A7CB8">
            <w:pPr>
              <w:jc w:val="both"/>
              <w:rPr>
                <w:lang w:val="cs-CZ"/>
              </w:rPr>
            </w:pPr>
            <w:r w:rsidRPr="009A7CB8">
              <w:rPr>
                <w:lang w:val="cs-CZ"/>
              </w:rPr>
              <w:t xml:space="preserve">Uvedená informace o zárukách se vztahuje na záruky bankovní. V případě, že příjemce uplatní výdaj na záruku za jakost dodaného plnění ve smyslu § 2113 a násl. zákona </w:t>
            </w:r>
            <w:r>
              <w:rPr>
                <w:lang w:val="cs-CZ"/>
              </w:rPr>
              <w:br/>
            </w:r>
            <w:r w:rsidRPr="009A7CB8">
              <w:rPr>
                <w:lang w:val="cs-CZ"/>
              </w:rPr>
              <w:t>č. 89/2012 Sb., občanského zákoníku, jedná se o výdaj způsobilý, pokud jsou splněny všechny ostatní podmínky způsobilosti uvedené v Obecných pravidlech, jako je soulad se zákonem o veřejných zakázkách, přímá souvislost výdaje s projektem, jeho efektivnost apod. S ohledem na to je tedy pro účely způsobilosti záruky za jakost nutné dodržet následující podmínky:</w:t>
            </w:r>
          </w:p>
          <w:p w:rsidR="009A7CB8" w:rsidRPr="009A7CB8" w:rsidRDefault="009A7CB8" w:rsidP="009A7CB8">
            <w:pPr>
              <w:pStyle w:val="Odstavecseseznamem"/>
              <w:numPr>
                <w:ilvl w:val="0"/>
                <w:numId w:val="67"/>
              </w:numPr>
              <w:jc w:val="both"/>
              <w:rPr>
                <w:lang w:val="cs-CZ"/>
              </w:rPr>
            </w:pPr>
            <w:r w:rsidRPr="009A7CB8">
              <w:rPr>
                <w:lang w:val="cs-CZ"/>
              </w:rPr>
              <w:t>Záruka za jakost je způsobilá, pokud se ve vztahu k danému plnění jedná o záruku standardní (tj. svým rozsahem a délkou nesmí záruka výrazně vybočovat ze standardů běžně užívaných v daném segmentu trhu pro dané plnění).</w:t>
            </w:r>
          </w:p>
          <w:p w:rsidR="009A7CB8" w:rsidRPr="009A7CB8" w:rsidRDefault="009A7CB8" w:rsidP="009A7CB8">
            <w:pPr>
              <w:pStyle w:val="Odstavecseseznamem"/>
              <w:numPr>
                <w:ilvl w:val="0"/>
                <w:numId w:val="67"/>
              </w:numPr>
              <w:jc w:val="both"/>
              <w:rPr>
                <w:lang w:val="cs-CZ"/>
              </w:rPr>
            </w:pPr>
            <w:r w:rsidRPr="009A7CB8">
              <w:rPr>
                <w:lang w:val="cs-CZ"/>
              </w:rPr>
              <w:t xml:space="preserve">Záruční doba záruky za jakost musí zohledňovat reálnou životnost dodaných komponent a nesmí ji přesahovat. </w:t>
            </w:r>
          </w:p>
          <w:p w:rsidR="009A7CB8" w:rsidRPr="009A7CB8" w:rsidRDefault="009A7CB8" w:rsidP="009A7CB8">
            <w:pPr>
              <w:pStyle w:val="Odstavecseseznamem"/>
              <w:numPr>
                <w:ilvl w:val="0"/>
                <w:numId w:val="67"/>
              </w:numPr>
              <w:jc w:val="both"/>
              <w:rPr>
                <w:lang w:val="cs-CZ"/>
              </w:rPr>
            </w:pPr>
            <w:r w:rsidRPr="009A7CB8">
              <w:rPr>
                <w:lang w:val="cs-CZ"/>
              </w:rPr>
              <w:t xml:space="preserve">Záruku za jakost vztahující se na garanci zprovoznění nefunkčního systému (tj. zprovoznění typu </w:t>
            </w:r>
            <w:proofErr w:type="spellStart"/>
            <w:r w:rsidRPr="009A7CB8">
              <w:rPr>
                <w:lang w:val="cs-CZ"/>
              </w:rPr>
              <w:t>Next</w:t>
            </w:r>
            <w:proofErr w:type="spellEnd"/>
            <w:r w:rsidRPr="009A7CB8">
              <w:rPr>
                <w:lang w:val="cs-CZ"/>
              </w:rPr>
              <w:t xml:space="preserve"> Business </w:t>
            </w:r>
            <w:proofErr w:type="spellStart"/>
            <w:r w:rsidRPr="009A7CB8">
              <w:rPr>
                <w:lang w:val="cs-CZ"/>
              </w:rPr>
              <w:t>Day</w:t>
            </w:r>
            <w:proofErr w:type="spellEnd"/>
            <w:r w:rsidRPr="009A7CB8">
              <w:rPr>
                <w:lang w:val="cs-CZ"/>
              </w:rPr>
              <w:t xml:space="preserve"> on-</w:t>
            </w:r>
            <w:proofErr w:type="spellStart"/>
            <w:r w:rsidRPr="009A7CB8">
              <w:rPr>
                <w:lang w:val="cs-CZ"/>
              </w:rPr>
              <w:t>site</w:t>
            </w:r>
            <w:proofErr w:type="spellEnd"/>
            <w:r w:rsidRPr="009A7CB8">
              <w:rPr>
                <w:lang w:val="cs-CZ"/>
              </w:rPr>
              <w:t xml:space="preserve"> a obdobné) lze považovat za způsobilou, pokud odpovídá běžným záručním podmínkám obdobných systémů v daném segmentu trhu a je úměrná požadavkům na funkčnost systémového řešení a přípustnou dobu jeho výpadku.</w:t>
            </w:r>
          </w:p>
          <w:p w:rsidR="009A7CB8" w:rsidRPr="009A7CB8" w:rsidRDefault="009A7CB8" w:rsidP="009A7CB8">
            <w:pPr>
              <w:pStyle w:val="Odstavecseseznamem"/>
              <w:numPr>
                <w:ilvl w:val="0"/>
                <w:numId w:val="67"/>
              </w:numPr>
              <w:jc w:val="both"/>
              <w:rPr>
                <w:lang w:val="cs-CZ"/>
              </w:rPr>
            </w:pPr>
            <w:r w:rsidRPr="009A7CB8">
              <w:rPr>
                <w:lang w:val="cs-CZ"/>
              </w:rPr>
              <w:t>Záruku za jakost splňující standardy uvedené pod písmeny a) – c) není nutné vyčíslovat finančně, je integrální součástí ceny plnění. Pokud je ve smlouvě sjednána záruka za jakost přesahující standardní úroveň dle písmen a) – c) výše, jedná se u výdajů nad rámec těchto standardů o výdaje nezpůsobilé. Je proto nutné takovou část záruky za jakost přesahující standardy ve smlouvě finančně vyčíslit.</w:t>
            </w:r>
          </w:p>
          <w:p w:rsidR="00B178EF" w:rsidRPr="00BC24D2" w:rsidRDefault="009A7CB8" w:rsidP="00BC24D2">
            <w:pPr>
              <w:pStyle w:val="Odstavecseseznamem"/>
              <w:numPr>
                <w:ilvl w:val="0"/>
                <w:numId w:val="67"/>
              </w:numPr>
              <w:jc w:val="both"/>
              <w:rPr>
                <w:b/>
                <w:lang w:val="cs-CZ"/>
              </w:rPr>
            </w:pPr>
            <w:r w:rsidRPr="009A7CB8">
              <w:rPr>
                <w:lang w:val="cs-CZ"/>
              </w:rPr>
              <w:t xml:space="preserve">Výdaje na jakýkoli záruční (tj. poskytovaný souběžně v záruční době záruky za jakost) a pozáruční (tj. poskytovaný po uplynutí záruční doby záruky za jakost) servis, včetně dalších provozních výdajů typu technická podpora, helpdesk, </w:t>
            </w:r>
            <w:proofErr w:type="spellStart"/>
            <w:r w:rsidRPr="009A7CB8">
              <w:rPr>
                <w:lang w:val="cs-CZ"/>
              </w:rPr>
              <w:t>maintenance</w:t>
            </w:r>
            <w:proofErr w:type="spellEnd"/>
            <w:r w:rsidRPr="009A7CB8">
              <w:rPr>
                <w:lang w:val="cs-CZ"/>
              </w:rPr>
              <w:t>/</w:t>
            </w:r>
            <w:proofErr w:type="spellStart"/>
            <w:r w:rsidRPr="009A7CB8">
              <w:rPr>
                <w:lang w:val="cs-CZ"/>
              </w:rPr>
              <w:t>subscription</w:t>
            </w:r>
            <w:proofErr w:type="spellEnd"/>
            <w:r w:rsidRPr="009A7CB8">
              <w:rPr>
                <w:lang w:val="cs-CZ"/>
              </w:rPr>
              <w:t>, upgrade a update, jsou výdaje nezpůsobilé.</w:t>
            </w:r>
          </w:p>
        </w:tc>
      </w:tr>
    </w:tbl>
    <w:p w:rsidR="00384CA1" w:rsidRDefault="00632565" w:rsidP="00226158">
      <w:pPr>
        <w:pStyle w:val="Pravidla11"/>
        <w:numPr>
          <w:ilvl w:val="1"/>
          <w:numId w:val="1"/>
        </w:numPr>
      </w:pPr>
      <w:bookmarkStart w:id="126" w:name="_Toc436900685"/>
      <w:r>
        <w:t>I</w:t>
      </w:r>
      <w:r w:rsidR="00E131E7">
        <w:t>ndikátory</w:t>
      </w:r>
      <w:bookmarkEnd w:id="126"/>
    </w:p>
    <w:p w:rsidR="00FE511F" w:rsidRDefault="00FE511F" w:rsidP="009A7CB8">
      <w:pPr>
        <w:jc w:val="both"/>
        <w:rPr>
          <w:rFonts w:cs="Arial"/>
        </w:rPr>
      </w:pPr>
      <w:r w:rsidRPr="00EF2C2C">
        <w:rPr>
          <w:rFonts w:cs="Arial"/>
        </w:rPr>
        <w:t>Žadatel je povinen se zavázat k výběru indikátoru pro zvolenou aktivitu. Výběr indikátorů je součástí podání žádosti v systému MS2014+. K indikátoru musí být v žádosti vyplněna tato datová pole:</w:t>
      </w:r>
    </w:p>
    <w:p w:rsidR="00532CC7" w:rsidRPr="00532CC7" w:rsidRDefault="00532CC7" w:rsidP="00BC24D2">
      <w:pPr>
        <w:pStyle w:val="Odstavecseseznamem"/>
        <w:numPr>
          <w:ilvl w:val="0"/>
          <w:numId w:val="68"/>
        </w:numPr>
        <w:jc w:val="both"/>
        <w:rPr>
          <w:rFonts w:cs="Arial"/>
        </w:rPr>
      </w:pPr>
      <w:r w:rsidRPr="00532CC7">
        <w:rPr>
          <w:b/>
        </w:rPr>
        <w:lastRenderedPageBreak/>
        <w:t>Výchozí hodnota</w:t>
      </w:r>
      <w:r w:rsidRPr="002965BE">
        <w:t xml:space="preserve"> a datum, ke kterému byla hodnota stanovena</w:t>
      </w:r>
      <w:r>
        <w:t xml:space="preserve"> (v případě výstupových indikátorů vždy 0)</w:t>
      </w:r>
      <w:r w:rsidR="006E514B">
        <w:t>.</w:t>
      </w:r>
    </w:p>
    <w:p w:rsidR="00FE511F" w:rsidRPr="00FB5929" w:rsidRDefault="002C4F3F" w:rsidP="00532CC7">
      <w:pPr>
        <w:pStyle w:val="Odstavecseseznamem"/>
        <w:numPr>
          <w:ilvl w:val="0"/>
          <w:numId w:val="34"/>
        </w:numPr>
        <w:jc w:val="both"/>
        <w:rPr>
          <w:rFonts w:asciiTheme="majorHAnsi" w:hAnsiTheme="majorHAnsi" w:cs="Arial"/>
        </w:rPr>
      </w:pPr>
      <w:r w:rsidRPr="0005147E">
        <w:rPr>
          <w:rFonts w:asciiTheme="majorHAnsi" w:hAnsiTheme="majorHAnsi" w:cs="Arial"/>
          <w:b/>
        </w:rPr>
        <w:t>Cílová hodnota</w:t>
      </w:r>
      <w:r w:rsidRPr="0005147E">
        <w:rPr>
          <w:rFonts w:asciiTheme="majorHAnsi" w:hAnsiTheme="majorHAnsi" w:cs="Arial"/>
        </w:rPr>
        <w:t xml:space="preserve">, kterou se žadatel v projektu zavazuje dosáhnout a </w:t>
      </w:r>
      <w:r w:rsidRPr="009276E4">
        <w:rPr>
          <w:rFonts w:asciiTheme="majorHAnsi" w:hAnsiTheme="majorHAnsi" w:cs="Arial"/>
        </w:rPr>
        <w:t>datum</w:t>
      </w:r>
      <w:r w:rsidRPr="007651C5">
        <w:rPr>
          <w:rFonts w:asciiTheme="majorHAnsi" w:hAnsiTheme="majorHAnsi" w:cs="Arial"/>
        </w:rPr>
        <w:t>, ke kterému ji musí naplnit</w:t>
      </w:r>
      <w:r w:rsidR="00532CC7">
        <w:rPr>
          <w:rFonts w:asciiTheme="majorHAnsi" w:hAnsiTheme="majorHAnsi" w:cs="Arial"/>
        </w:rPr>
        <w:t xml:space="preserve"> a</w:t>
      </w:r>
      <w:r w:rsidR="00532CC7">
        <w:rPr>
          <w:rFonts w:asciiTheme="majorHAnsi" w:hAnsiTheme="majorHAnsi" w:cs="Arial"/>
          <w:b/>
        </w:rPr>
        <w:t xml:space="preserve"> </w:t>
      </w:r>
      <w:r w:rsidR="00532CC7">
        <w:rPr>
          <w:rFonts w:asciiTheme="majorHAnsi" w:hAnsiTheme="majorHAnsi" w:cs="Arial"/>
        </w:rPr>
        <w:t>d</w:t>
      </w:r>
      <w:r w:rsidRPr="00BC24D2">
        <w:rPr>
          <w:rFonts w:asciiTheme="majorHAnsi" w:hAnsiTheme="majorHAnsi" w:cs="Arial"/>
        </w:rPr>
        <w:t>atum</w:t>
      </w:r>
      <w:r w:rsidRPr="00532CC7">
        <w:rPr>
          <w:rFonts w:asciiTheme="majorHAnsi" w:hAnsiTheme="majorHAnsi" w:cs="Arial"/>
          <w:b/>
        </w:rPr>
        <w:t xml:space="preserve">, </w:t>
      </w:r>
      <w:r w:rsidRPr="00532CC7">
        <w:rPr>
          <w:rFonts w:asciiTheme="majorHAnsi" w:hAnsiTheme="majorHAnsi" w:cs="Arial"/>
        </w:rPr>
        <w:t xml:space="preserve">ke kterému musí žadatel cílovou hodnotu naplnit. </w:t>
      </w:r>
      <w:r w:rsidR="00FE511F" w:rsidRPr="00CB7A97">
        <w:rPr>
          <w:rFonts w:cs="Arial"/>
        </w:rPr>
        <w:t xml:space="preserve"> </w:t>
      </w:r>
    </w:p>
    <w:p w:rsidR="00FE511F" w:rsidRPr="00EF2C2C" w:rsidRDefault="00FE511F" w:rsidP="009A7CB8">
      <w:pPr>
        <w:jc w:val="both"/>
        <w:rPr>
          <w:rFonts w:cs="Arial"/>
        </w:rPr>
      </w:pPr>
      <w:r w:rsidRPr="00EF2C2C">
        <w:rPr>
          <w:rFonts w:cs="Arial"/>
        </w:rPr>
        <w:t>Nenaplnění vykazovaného indikátoru k  datu uvedeném</w:t>
      </w:r>
      <w:r w:rsidR="00E7334A">
        <w:rPr>
          <w:rFonts w:cs="Arial"/>
        </w:rPr>
        <w:t>u</w:t>
      </w:r>
      <w:r w:rsidRPr="00EF2C2C">
        <w:rPr>
          <w:rFonts w:cs="Arial"/>
        </w:rPr>
        <w:t xml:space="preserve"> v</w:t>
      </w:r>
      <w:r w:rsidR="00E7334A">
        <w:rPr>
          <w:rFonts w:cs="Arial"/>
        </w:rPr>
        <w:t xml:space="preserve">e Stanovení výdajů </w:t>
      </w:r>
      <w:r w:rsidRPr="00EF2C2C">
        <w:rPr>
          <w:rFonts w:cs="Arial"/>
        </w:rPr>
        <w:t xml:space="preserve">může vést ke krácení nebo nevyplacení dotace. Jeho neudržení po dobu udržitelnosti může mít charakter porušení rozpočtové kázně s následkem finanční sankce. Sankce jsou stanoveny </w:t>
      </w:r>
      <w:r w:rsidR="00E7334A">
        <w:rPr>
          <w:rFonts w:cs="Arial"/>
        </w:rPr>
        <w:t xml:space="preserve">v Krácení </w:t>
      </w:r>
      <w:r w:rsidR="00E7334A" w:rsidRPr="00EF2C2C">
        <w:rPr>
          <w:rFonts w:cs="Arial"/>
        </w:rPr>
        <w:t>peněžních prostředků při porušení Podmínek Stanovení výdajů</w:t>
      </w:r>
      <w:r w:rsidR="002C4F3F">
        <w:rPr>
          <w:rFonts w:cs="Arial"/>
        </w:rPr>
        <w:t>.</w:t>
      </w:r>
    </w:p>
    <w:p w:rsidR="002C4F3F" w:rsidRDefault="002C4F3F" w:rsidP="009A7CB8">
      <w:pPr>
        <w:jc w:val="both"/>
        <w:rPr>
          <w:rFonts w:cs="Arial"/>
        </w:rPr>
      </w:pPr>
      <w:r w:rsidRPr="00E72EA0">
        <w:rPr>
          <w:rFonts w:cs="Arial"/>
        </w:rPr>
        <w:t xml:space="preserve">Vykazovat plnění indikátoru bude příjemce </w:t>
      </w:r>
      <w:r>
        <w:rPr>
          <w:rFonts w:cs="Arial"/>
        </w:rPr>
        <w:t>ve Z</w:t>
      </w:r>
      <w:r w:rsidRPr="00E72EA0">
        <w:rPr>
          <w:rFonts w:cs="Arial"/>
        </w:rPr>
        <w:t>právách o realizaci projektu a</w:t>
      </w:r>
      <w:r>
        <w:rPr>
          <w:rFonts w:cs="Arial"/>
        </w:rPr>
        <w:t xml:space="preserve"> udržení hodnoty indikátor</w:t>
      </w:r>
      <w:r w:rsidR="00E7334A">
        <w:rPr>
          <w:rFonts w:cs="Arial"/>
        </w:rPr>
        <w:t>u</w:t>
      </w:r>
      <w:r>
        <w:rPr>
          <w:rFonts w:cs="Arial"/>
        </w:rPr>
        <w:t xml:space="preserve"> ve</w:t>
      </w:r>
      <w:r w:rsidRPr="00E72EA0">
        <w:rPr>
          <w:rFonts w:cs="Arial"/>
        </w:rPr>
        <w:t xml:space="preserve"> </w:t>
      </w:r>
      <w:r>
        <w:rPr>
          <w:rFonts w:cs="Arial"/>
        </w:rPr>
        <w:t>Z</w:t>
      </w:r>
      <w:r w:rsidRPr="00E72EA0">
        <w:rPr>
          <w:rFonts w:cs="Arial"/>
        </w:rPr>
        <w:t>p</w:t>
      </w:r>
      <w:r>
        <w:rPr>
          <w:rFonts w:cs="Arial"/>
        </w:rPr>
        <w:t>rávách o udržitelnosti projektu v datovém poli dosažená hodnota.</w:t>
      </w:r>
    </w:p>
    <w:p w:rsidR="00FE511F" w:rsidRDefault="00FE511F" w:rsidP="009A7CB8">
      <w:pPr>
        <w:jc w:val="both"/>
        <w:rPr>
          <w:rFonts w:cs="Arial"/>
        </w:rPr>
      </w:pPr>
      <w:r w:rsidRPr="00EF2C2C">
        <w:rPr>
          <w:rFonts w:cs="Arial"/>
        </w:rPr>
        <w:t>Pokud by během realizace projektu nastaly změny v projektu, které ovlivní výslednou hodnotu indikátoru, postupuje příjemce v souladu s kapitolou 16 Obecných pravidel.</w:t>
      </w:r>
    </w:p>
    <w:p w:rsidR="002C4F3F" w:rsidRPr="00226158" w:rsidRDefault="00FE511F" w:rsidP="009A7CB8">
      <w:pPr>
        <w:jc w:val="both"/>
        <w:rPr>
          <w:rFonts w:cs="Arial"/>
          <w:b/>
        </w:rPr>
      </w:pPr>
      <w:r w:rsidRPr="00226158">
        <w:rPr>
          <w:rFonts w:cs="Arial"/>
          <w:b/>
        </w:rPr>
        <w:t>Podrobné informace k</w:t>
      </w:r>
      <w:r w:rsidR="002A3170" w:rsidRPr="00226158">
        <w:rPr>
          <w:rFonts w:cs="Arial"/>
          <w:b/>
        </w:rPr>
        <w:t xml:space="preserve"> indikátor</w:t>
      </w:r>
      <w:r w:rsidR="00EB0FF6">
        <w:rPr>
          <w:rFonts w:cs="Arial"/>
          <w:b/>
        </w:rPr>
        <w:t>ům</w:t>
      </w:r>
      <w:r w:rsidR="002A3170" w:rsidRPr="00226158">
        <w:rPr>
          <w:rFonts w:cs="Arial"/>
          <w:b/>
        </w:rPr>
        <w:t xml:space="preserve"> a závazná pravidla je</w:t>
      </w:r>
      <w:r w:rsidR="00EB0FF6">
        <w:rPr>
          <w:rFonts w:cs="Arial"/>
          <w:b/>
        </w:rPr>
        <w:t>jich</w:t>
      </w:r>
      <w:r w:rsidR="002A3170" w:rsidRPr="00226158">
        <w:rPr>
          <w:rFonts w:cs="Arial"/>
          <w:b/>
        </w:rPr>
        <w:t xml:space="preserve"> vykazování a výpočtu obsahuj</w:t>
      </w:r>
      <w:r w:rsidR="00EB0FF6">
        <w:rPr>
          <w:rFonts w:cs="Arial"/>
          <w:b/>
        </w:rPr>
        <w:t>e</w:t>
      </w:r>
      <w:r w:rsidR="009A7CB8">
        <w:rPr>
          <w:rFonts w:cs="Arial"/>
          <w:b/>
        </w:rPr>
        <w:t xml:space="preserve"> M</w:t>
      </w:r>
      <w:r w:rsidR="002A3170" w:rsidRPr="00226158">
        <w:rPr>
          <w:rFonts w:cs="Arial"/>
          <w:b/>
        </w:rPr>
        <w:t>etodick</w:t>
      </w:r>
      <w:r w:rsidR="00EB0FF6">
        <w:rPr>
          <w:rFonts w:cs="Arial"/>
          <w:b/>
        </w:rPr>
        <w:t>ý</w:t>
      </w:r>
      <w:r w:rsidR="002A3170" w:rsidRPr="00226158">
        <w:rPr>
          <w:rFonts w:cs="Arial"/>
          <w:b/>
        </w:rPr>
        <w:t xml:space="preserve"> list indikátor</w:t>
      </w:r>
      <w:r w:rsidR="00EB0FF6">
        <w:rPr>
          <w:rFonts w:cs="Arial"/>
          <w:b/>
        </w:rPr>
        <w:t>ů</w:t>
      </w:r>
      <w:r w:rsidRPr="00226158">
        <w:rPr>
          <w:rFonts w:cs="Arial"/>
          <w:b/>
        </w:rPr>
        <w:t xml:space="preserve"> v příloze č. 5 těchto </w:t>
      </w:r>
      <w:r w:rsidR="001047A5" w:rsidRPr="00226158">
        <w:rPr>
          <w:rFonts w:cs="Arial"/>
          <w:b/>
        </w:rPr>
        <w:t>P</w:t>
      </w:r>
      <w:r w:rsidRPr="00226158">
        <w:rPr>
          <w:rFonts w:cs="Arial"/>
          <w:b/>
        </w:rPr>
        <w:t>ravidel</w:t>
      </w:r>
    </w:p>
    <w:p w:rsidR="00F462D5" w:rsidRPr="00671E54" w:rsidRDefault="00F462D5" w:rsidP="009A7CB8">
      <w:pPr>
        <w:jc w:val="both"/>
        <w:rPr>
          <w:rFonts w:cs="Arial"/>
          <w:b/>
        </w:rPr>
      </w:pPr>
      <w:r w:rsidRPr="00671E54">
        <w:rPr>
          <w:rFonts w:cs="Arial"/>
          <w:b/>
        </w:rPr>
        <w:t>Indikátor výstupu</w:t>
      </w:r>
    </w:p>
    <w:p w:rsidR="00A00D8A" w:rsidRPr="00EF2C2C" w:rsidRDefault="00A00D8A" w:rsidP="009A7CB8">
      <w:pPr>
        <w:jc w:val="both"/>
        <w:rPr>
          <w:rFonts w:cs="Arial"/>
          <w:b/>
        </w:rPr>
      </w:pPr>
      <w:r w:rsidRPr="00EF2C2C">
        <w:rPr>
          <w:rFonts w:cs="Arial"/>
          <w:b/>
        </w:rPr>
        <w:t>3 05 00 Počet pořízených informačních systémů</w:t>
      </w:r>
    </w:p>
    <w:p w:rsidR="00A00D8A" w:rsidRDefault="00A00D8A" w:rsidP="00BC24D2">
      <w:pPr>
        <w:jc w:val="both"/>
      </w:pPr>
      <w:bookmarkStart w:id="127" w:name="_Toc413143897"/>
      <w:bookmarkEnd w:id="127"/>
      <w:r w:rsidRPr="00A00D8A">
        <w:rPr>
          <w:rFonts w:cs="Arial"/>
        </w:rPr>
        <w:t>Povinný k výběru a naplnění pro všechny projekty výzvy</w:t>
      </w:r>
      <w:r w:rsidR="00532CC7">
        <w:rPr>
          <w:rFonts w:cs="Arial"/>
        </w:rPr>
        <w:t xml:space="preserve">. Výchozí hodnota je vždy 0. </w:t>
      </w:r>
      <w:r w:rsidR="00532CC7">
        <w:t>Žadatel v žádosti o podporu vyplňuje cílovou hodnotu a datum, ke kterému se zavazuje ji naplnit. K naplnění cílové hodnoty indikátoru musí dojít nejpozději k datu ukončení realizace projektu.</w:t>
      </w:r>
    </w:p>
    <w:p w:rsidR="00532CC7" w:rsidRPr="00532CC7" w:rsidRDefault="00532CC7" w:rsidP="00532CC7">
      <w:pPr>
        <w:spacing w:before="120" w:after="120"/>
        <w:jc w:val="both"/>
      </w:pPr>
    </w:p>
    <w:p w:rsidR="00A00D8A" w:rsidRPr="00671E54" w:rsidRDefault="00A00D8A" w:rsidP="009A7CB8">
      <w:pPr>
        <w:jc w:val="both"/>
        <w:rPr>
          <w:rFonts w:cs="Arial"/>
          <w:b/>
        </w:rPr>
      </w:pPr>
      <w:r w:rsidRPr="00671E54">
        <w:rPr>
          <w:rFonts w:cs="Arial"/>
          <w:b/>
        </w:rPr>
        <w:t>Indikátor výs</w:t>
      </w:r>
      <w:r>
        <w:rPr>
          <w:rFonts w:cs="Arial"/>
          <w:b/>
        </w:rPr>
        <w:t>ledku</w:t>
      </w:r>
    </w:p>
    <w:p w:rsidR="00A00D8A" w:rsidRPr="00EF2C2C" w:rsidRDefault="00A00D8A" w:rsidP="009A7CB8">
      <w:pPr>
        <w:jc w:val="both"/>
        <w:rPr>
          <w:rFonts w:cs="Arial"/>
          <w:b/>
        </w:rPr>
      </w:pPr>
      <w:r w:rsidRPr="00EF2C2C">
        <w:rPr>
          <w:rFonts w:cs="Arial"/>
          <w:b/>
        </w:rPr>
        <w:t>3 05 15 Nová funkcionalita informačního systému</w:t>
      </w:r>
    </w:p>
    <w:p w:rsidR="00532CC7" w:rsidRDefault="00A00D8A" w:rsidP="00532CC7">
      <w:pPr>
        <w:jc w:val="both"/>
      </w:pPr>
      <w:r w:rsidRPr="00EF2C2C">
        <w:rPr>
          <w:rFonts w:cs="Arial"/>
        </w:rPr>
        <w:t>Povinný k výběru a naplnění pro všechny projekty výzvy.</w:t>
      </w:r>
      <w:r w:rsidR="00532CC7">
        <w:rPr>
          <w:rFonts w:cs="Arial"/>
        </w:rPr>
        <w:t xml:space="preserve"> </w:t>
      </w:r>
      <w:r w:rsidR="00532CC7">
        <w:t>Žadatel v žádosti o podporu vyplňuje výchozí hodnotu (k datu zahájení realizace projektu) a cílovou hodnotu a datum, ke kterému se zavazuje ji naplnit. K naplnění cílové hodnoty indikátoru musí dojít nejpozději k datu ukončení realizace projektu.</w:t>
      </w:r>
    </w:p>
    <w:p w:rsidR="00A00D8A" w:rsidRPr="00A00D8A" w:rsidRDefault="00A00D8A" w:rsidP="009A7CB8">
      <w:pPr>
        <w:jc w:val="both"/>
        <w:rPr>
          <w:rFonts w:cs="Arial"/>
        </w:rPr>
      </w:pPr>
      <w:r w:rsidRPr="00EF2C2C">
        <w:rPr>
          <w:rFonts w:cs="Arial"/>
        </w:rPr>
        <w:t>Seznam uznávaných nových funkcionalit a podmínky uznání stávající nebo nové funkcionality je uveden v kapitole 2.2 těchto Pravidel.</w:t>
      </w:r>
    </w:p>
    <w:p w:rsidR="00384CA1" w:rsidRDefault="00E131E7" w:rsidP="00226158">
      <w:pPr>
        <w:pStyle w:val="Pravidla11"/>
        <w:numPr>
          <w:ilvl w:val="1"/>
          <w:numId w:val="1"/>
        </w:numPr>
      </w:pPr>
      <w:bookmarkStart w:id="128" w:name="_Toc436900686"/>
      <w:r>
        <w:t>Místo realizace projektů</w:t>
      </w:r>
      <w:bookmarkEnd w:id="128"/>
    </w:p>
    <w:p w:rsidR="00CE3A28" w:rsidRPr="00C47CC2" w:rsidRDefault="00CE3A28" w:rsidP="004C1D41">
      <w:pPr>
        <w:jc w:val="both"/>
      </w:pPr>
      <w:bookmarkStart w:id="129" w:name="_Toc413143898"/>
      <w:bookmarkEnd w:id="129"/>
      <w:r w:rsidRPr="00C47CC2">
        <w:t xml:space="preserve">Projekty </w:t>
      </w:r>
      <w:r w:rsidR="00A00D8A">
        <w:t xml:space="preserve">budou </w:t>
      </w:r>
      <w:r w:rsidRPr="00C47CC2">
        <w:t>realizovány na území celé ČR včetně území hl. m. Prahy.</w:t>
      </w:r>
    </w:p>
    <w:p w:rsidR="00384CA1" w:rsidRDefault="00E131E7" w:rsidP="00226158">
      <w:pPr>
        <w:pStyle w:val="Pravidla11"/>
        <w:numPr>
          <w:ilvl w:val="1"/>
          <w:numId w:val="1"/>
        </w:numPr>
      </w:pPr>
      <w:bookmarkStart w:id="130" w:name="_Toc436900687"/>
      <w:r>
        <w:t>Projekty generující příjmy</w:t>
      </w:r>
      <w:bookmarkEnd w:id="130"/>
    </w:p>
    <w:p w:rsidR="0044627B" w:rsidRPr="00D666BC" w:rsidRDefault="0044627B" w:rsidP="0044627B">
      <w:pPr>
        <w:jc w:val="both"/>
        <w:rPr>
          <w:color w:val="000000" w:themeColor="text1"/>
        </w:rPr>
      </w:pPr>
      <w:bookmarkStart w:id="131" w:name="_Toc413143899"/>
      <w:bookmarkEnd w:id="131"/>
      <w:r w:rsidRPr="00D666BC">
        <w:rPr>
          <w:color w:val="000000" w:themeColor="text1"/>
        </w:rPr>
        <w:t xml:space="preserve">Podporovány budou projekty, které negenerují příjmy podle čl. 61 Obecného nařízení.  </w:t>
      </w:r>
    </w:p>
    <w:p w:rsidR="0044627B" w:rsidRPr="00D666BC" w:rsidRDefault="0044627B" w:rsidP="0044627B">
      <w:pPr>
        <w:jc w:val="both"/>
        <w:rPr>
          <w:color w:val="000000" w:themeColor="text1"/>
        </w:rPr>
      </w:pPr>
      <w:r w:rsidRPr="00D666BC">
        <w:rPr>
          <w:color w:val="000000" w:themeColor="text1"/>
        </w:rPr>
        <w:lastRenderedPageBreak/>
        <w:t>Projekty mohou generovat příjmy mimo čl. 61 Obecného nařízení</w:t>
      </w:r>
      <w:r w:rsidR="006107E3">
        <w:rPr>
          <w:color w:val="000000" w:themeColor="text1"/>
        </w:rPr>
        <w:t xml:space="preserve">, </w:t>
      </w:r>
      <w:r w:rsidRPr="00D666BC">
        <w:rPr>
          <w:color w:val="000000" w:themeColor="text1"/>
        </w:rPr>
        <w:t>tzv.</w:t>
      </w:r>
      <w:r w:rsidR="006107E3">
        <w:rPr>
          <w:color w:val="000000" w:themeColor="text1"/>
        </w:rPr>
        <w:t xml:space="preserve"> </w:t>
      </w:r>
      <w:r w:rsidRPr="00D666BC">
        <w:rPr>
          <w:color w:val="000000" w:themeColor="text1"/>
        </w:rPr>
        <w:t>jiné</w:t>
      </w:r>
      <w:r w:rsidR="006107E3">
        <w:rPr>
          <w:color w:val="000000" w:themeColor="text1"/>
        </w:rPr>
        <w:t xml:space="preserve"> </w:t>
      </w:r>
      <w:r w:rsidRPr="00D666BC">
        <w:rPr>
          <w:color w:val="000000" w:themeColor="text1"/>
        </w:rPr>
        <w:t>peněžní příjmy. V souladu s čl. 65, odstavcem 8 Obecného nařízení</w:t>
      </w:r>
      <w:r w:rsidR="006107E3">
        <w:rPr>
          <w:color w:val="000000" w:themeColor="text1"/>
        </w:rPr>
        <w:t>,</w:t>
      </w:r>
      <w:r w:rsidRPr="00D666BC">
        <w:rPr>
          <w:color w:val="000000" w:themeColor="text1"/>
        </w:rPr>
        <w:t xml:space="preserve"> je nutné odečíst čisté jiné peněžní příjmy, vytvořené v období realizace projektu, od způsobilých výdajů projektu.</w:t>
      </w:r>
    </w:p>
    <w:p w:rsidR="0044627B" w:rsidRPr="00D666BC" w:rsidRDefault="0044627B" w:rsidP="0044627B">
      <w:pPr>
        <w:jc w:val="both"/>
        <w:rPr>
          <w:color w:val="000000" w:themeColor="text1"/>
        </w:rPr>
      </w:pPr>
      <w:r w:rsidRPr="00D666BC">
        <w:rPr>
          <w:color w:val="000000" w:themeColor="text1"/>
        </w:rPr>
        <w:t>Čisté jiné peněžní příjmy se vypočítají jako rozdíl mezi jinými peněžními příjmy, vytvořenými projektem, a provozními výdaji projektu. Čisté jiné peněžní příjmy se odečítají od způsobilých výdajů projektu. Pokud čisté jiné peněžní příjmy nebyly zohledněny při schválení žádosti o podporu a při vydání </w:t>
      </w:r>
      <w:r w:rsidR="006107E3">
        <w:rPr>
          <w:color w:val="000000" w:themeColor="text1"/>
        </w:rPr>
        <w:t>Stanovení výdajů či Rozhodnutí</w:t>
      </w:r>
      <w:r w:rsidRPr="00D666BC">
        <w:rPr>
          <w:color w:val="000000" w:themeColor="text1"/>
        </w:rPr>
        <w:t>, musí být odečteny nejpozději při předložení Závěrečné žádosti o platbu.</w:t>
      </w:r>
    </w:p>
    <w:p w:rsidR="0044627B" w:rsidRPr="00D666BC" w:rsidRDefault="0044627B" w:rsidP="0044627B">
      <w:pPr>
        <w:jc w:val="both"/>
        <w:rPr>
          <w:color w:val="000000" w:themeColor="text1"/>
        </w:rPr>
      </w:pPr>
      <w:r w:rsidRPr="00D666BC">
        <w:rPr>
          <w:color w:val="000000" w:themeColor="text1"/>
        </w:rPr>
        <w:t xml:space="preserve">Pokud žadatel předpokládá jiné peněžní příjmy, provede výpočet čistých jiných peněžních příjmů podle přílohy č. </w:t>
      </w:r>
      <w:r w:rsidR="009E23FD">
        <w:rPr>
          <w:color w:val="000000" w:themeColor="text1"/>
        </w:rPr>
        <w:t>9</w:t>
      </w:r>
      <w:r w:rsidR="009E23FD" w:rsidRPr="00D666BC">
        <w:rPr>
          <w:color w:val="000000" w:themeColor="text1"/>
        </w:rPr>
        <w:t xml:space="preserve"> </w:t>
      </w:r>
      <w:r w:rsidR="006107E3">
        <w:rPr>
          <w:color w:val="000000" w:themeColor="text1"/>
        </w:rPr>
        <w:t xml:space="preserve">těchto </w:t>
      </w:r>
      <w:r w:rsidRPr="00D666BC">
        <w:rPr>
          <w:color w:val="000000" w:themeColor="text1"/>
        </w:rPr>
        <w:t>Pravidel a výslednou hodnotu uvede v žádosti o podporu v MS2014+. Formulář je povinnou přílohou k žádosti o podporu.</w:t>
      </w:r>
    </w:p>
    <w:p w:rsidR="0044627B" w:rsidRDefault="0044627B" w:rsidP="00671E54">
      <w:pPr>
        <w:jc w:val="both"/>
      </w:pPr>
      <w:r w:rsidRPr="00D666BC">
        <w:rPr>
          <w:color w:val="000000" w:themeColor="text1"/>
        </w:rPr>
        <w:t xml:space="preserve">V případě, že jiné peněžní příjmy nebyly v době podání žádosti předpokládány, ale vznikly v průběhu realizace, příjemce to oznámí prostřednictvím </w:t>
      </w:r>
      <w:r w:rsidR="006107E3">
        <w:rPr>
          <w:color w:val="000000" w:themeColor="text1"/>
        </w:rPr>
        <w:t>Ž</w:t>
      </w:r>
      <w:r w:rsidRPr="00D666BC">
        <w:rPr>
          <w:color w:val="000000" w:themeColor="text1"/>
        </w:rPr>
        <w:t xml:space="preserve">ádosti o změnu </w:t>
      </w:r>
      <w:r w:rsidR="006107E3" w:rsidRPr="00D666BC">
        <w:rPr>
          <w:color w:val="000000" w:themeColor="text1"/>
        </w:rPr>
        <w:t>podan</w:t>
      </w:r>
      <w:r w:rsidR="006107E3">
        <w:rPr>
          <w:color w:val="000000" w:themeColor="text1"/>
        </w:rPr>
        <w:t>é</w:t>
      </w:r>
      <w:r w:rsidR="006107E3" w:rsidRPr="00D666BC">
        <w:rPr>
          <w:color w:val="000000" w:themeColor="text1"/>
        </w:rPr>
        <w:t xml:space="preserve"> </w:t>
      </w:r>
      <w:r w:rsidRPr="00D666BC">
        <w:rPr>
          <w:color w:val="000000" w:themeColor="text1"/>
        </w:rPr>
        <w:t>nejpozději v poslední den dané etapy</w:t>
      </w:r>
      <w:r w:rsidR="006107E3">
        <w:rPr>
          <w:color w:val="000000" w:themeColor="text1"/>
        </w:rPr>
        <w:t xml:space="preserve"> (viz kap. 16 Obecných pravidel)</w:t>
      </w:r>
      <w:r w:rsidRPr="00D666BC">
        <w:rPr>
          <w:color w:val="000000" w:themeColor="text1"/>
        </w:rPr>
        <w:t>. Bližší informace k projektům vytvářejícím příjmy mimo čl. 61 jsou uvedeny v kap. 7.7 Obecných pravidel.</w:t>
      </w:r>
    </w:p>
    <w:p w:rsidR="00384CA1" w:rsidRDefault="00E131E7" w:rsidP="00226158">
      <w:pPr>
        <w:pStyle w:val="Pravidla11"/>
        <w:numPr>
          <w:ilvl w:val="1"/>
          <w:numId w:val="1"/>
        </w:numPr>
        <w:jc w:val="both"/>
      </w:pPr>
      <w:bookmarkStart w:id="132" w:name="_Toc436900688"/>
      <w:r>
        <w:t>Přenesená daňová povinnost</w:t>
      </w:r>
      <w:bookmarkEnd w:id="132"/>
    </w:p>
    <w:p w:rsidR="00662C07" w:rsidRPr="00662C07" w:rsidRDefault="00662C07" w:rsidP="00226158">
      <w:pPr>
        <w:jc w:val="both"/>
      </w:pPr>
      <w:r w:rsidRPr="00662C07">
        <w:t>Na projekty v této výzvě se podle zákona č. 235/2004 Sb., o dani z přidané hodnoty a jeho příloh, a nařízení vlády ČR č. 361/2014 Sb., vztahuje režim dočasné přenesené daňové povinnosti. Trvalý režim přenesené daňové povinnosti podle § 92 zákona č. 235/2004 Sb., o dani z přidané hodnoty a jeho příloh se týká zejména stavebních a montážních prací. Více viz kap. 11 Obecných pravidel.</w:t>
      </w:r>
    </w:p>
    <w:p w:rsidR="00662C07" w:rsidRDefault="00662C07" w:rsidP="00226158">
      <w:pPr>
        <w:pStyle w:val="Pravidla11"/>
        <w:numPr>
          <w:ilvl w:val="1"/>
          <w:numId w:val="1"/>
        </w:numPr>
        <w:jc w:val="both"/>
      </w:pPr>
      <w:bookmarkStart w:id="133" w:name="_Toc436900689"/>
      <w:r w:rsidRPr="00662C07">
        <w:t>Dodatečné stavební práce</w:t>
      </w:r>
      <w:bookmarkEnd w:id="133"/>
    </w:p>
    <w:p w:rsidR="00662C07" w:rsidRPr="00662C07" w:rsidRDefault="00662C07" w:rsidP="00226158">
      <w:pPr>
        <w:jc w:val="both"/>
      </w:pPr>
      <w:r w:rsidRPr="00662C07">
        <w:t>Postup v případě dodatečných stavebních prací je popsán v kap. 6 Obecných pravidel.</w:t>
      </w:r>
    </w:p>
    <w:p w:rsidR="00662C07" w:rsidRDefault="00662C07" w:rsidP="00226158">
      <w:pPr>
        <w:pStyle w:val="Pravidla11"/>
        <w:numPr>
          <w:ilvl w:val="1"/>
          <w:numId w:val="1"/>
        </w:numPr>
        <w:jc w:val="both"/>
      </w:pPr>
      <w:bookmarkStart w:id="134" w:name="_Toc436900690"/>
      <w:r w:rsidRPr="00662C07">
        <w:t>Veřejná podpora</w:t>
      </w:r>
      <w:bookmarkEnd w:id="134"/>
    </w:p>
    <w:p w:rsidR="004C1D41" w:rsidRDefault="00662C07" w:rsidP="004C1D41">
      <w:pPr>
        <w:pStyle w:val="Odstavecseseznamem"/>
        <w:ind w:left="0"/>
        <w:jc w:val="both"/>
      </w:pPr>
      <w:bookmarkStart w:id="135" w:name="_Toc425325705"/>
      <w:bookmarkStart w:id="136" w:name="_Toc425348545"/>
      <w:bookmarkStart w:id="137" w:name="_Toc425348621"/>
      <w:bookmarkStart w:id="138" w:name="_Toc413143901"/>
      <w:bookmarkEnd w:id="135"/>
      <w:bookmarkEnd w:id="136"/>
      <w:bookmarkEnd w:id="137"/>
      <w:bookmarkEnd w:id="138"/>
      <w:r w:rsidRPr="00662C07">
        <w:t>Podpořeny budou pouze projekty nezakládající veřejnou podporu ve smyslu čl. 107 odst. 1 Smlouvy o fungování Evropské unie.</w:t>
      </w:r>
    </w:p>
    <w:p w:rsidR="004C1D41" w:rsidRDefault="004C1D41" w:rsidP="004C1D41">
      <w:pPr>
        <w:pStyle w:val="Pravidla1"/>
        <w:pageBreakBefore/>
        <w:numPr>
          <w:ilvl w:val="0"/>
          <w:numId w:val="1"/>
        </w:numPr>
        <w:jc w:val="both"/>
      </w:pPr>
      <w:bookmarkStart w:id="139" w:name="_Toc436900691"/>
      <w:r>
        <w:lastRenderedPageBreak/>
        <w:t>Kontaktní místo pro poskytování informací</w:t>
      </w:r>
      <w:bookmarkEnd w:id="139"/>
    </w:p>
    <w:p w:rsidR="004C1D41" w:rsidRDefault="004C1D41" w:rsidP="004C1D41">
      <w:pPr>
        <w:pStyle w:val="Odstavecseseznamem"/>
        <w:ind w:left="0"/>
        <w:jc w:val="both"/>
        <w:rPr>
          <w:rFonts w:cs="Arial"/>
        </w:rPr>
      </w:pPr>
    </w:p>
    <w:tbl>
      <w:tblPr>
        <w:tblW w:w="908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552"/>
        <w:gridCol w:w="1664"/>
        <w:gridCol w:w="2304"/>
      </w:tblGrid>
      <w:tr w:rsidR="004C1D41" w:rsidRPr="00426302" w:rsidTr="004C1D41">
        <w:trPr>
          <w:tblHeader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1D41" w:rsidRPr="00426302" w:rsidRDefault="009A7CB8" w:rsidP="004C1D41">
            <w:pPr>
              <w:spacing w:before="120" w:after="120"/>
              <w:jc w:val="center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cs-CZ"/>
              </w:rPr>
              <w:t>Oddělení CRR</w:t>
            </w:r>
            <w:r w:rsidRPr="00426302">
              <w:rPr>
                <w:rFonts w:eastAsia="Times New Roman" w:cs="Arial"/>
                <w:b/>
                <w:sz w:val="22"/>
                <w:szCs w:val="22"/>
                <w:lang w:eastAsia="cs-CZ"/>
              </w:rPr>
              <w:t xml:space="preserve"> </w:t>
            </w:r>
            <w:r w:rsidR="004C1D41" w:rsidRPr="00426302">
              <w:rPr>
                <w:rFonts w:eastAsia="Times New Roman" w:cs="Arial"/>
                <w:b/>
                <w:sz w:val="22"/>
                <w:szCs w:val="22"/>
                <w:lang w:eastAsia="cs-CZ"/>
              </w:rPr>
              <w:t>(město)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1D41" w:rsidRPr="00426302" w:rsidRDefault="004C1D41" w:rsidP="004C1D41">
            <w:pPr>
              <w:spacing w:before="120" w:after="120"/>
              <w:jc w:val="center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426302">
              <w:rPr>
                <w:rFonts w:eastAsia="Times New Roman" w:cs="Arial"/>
                <w:b/>
                <w:sz w:val="22"/>
                <w:szCs w:val="22"/>
                <w:lang w:eastAsia="cs-CZ"/>
              </w:rPr>
              <w:t>Kontaktní osoba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1D41" w:rsidRPr="00426302" w:rsidRDefault="004C1D41" w:rsidP="004C1D41">
            <w:pPr>
              <w:spacing w:before="120" w:after="120"/>
              <w:jc w:val="center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426302">
              <w:rPr>
                <w:rFonts w:eastAsia="Times New Roman" w:cs="Arial"/>
                <w:b/>
                <w:sz w:val="22"/>
                <w:szCs w:val="22"/>
                <w:lang w:eastAsia="cs-CZ"/>
              </w:rPr>
              <w:t>Mobil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C1D41" w:rsidRPr="00426302" w:rsidRDefault="004C1D41" w:rsidP="004C1D41">
            <w:pPr>
              <w:spacing w:before="120" w:after="120"/>
              <w:jc w:val="center"/>
              <w:rPr>
                <w:rFonts w:eastAsia="Times New Roman" w:cs="Arial"/>
                <w:b/>
                <w:sz w:val="22"/>
                <w:szCs w:val="22"/>
                <w:lang w:eastAsia="cs-CZ"/>
              </w:rPr>
            </w:pPr>
            <w:r w:rsidRPr="00426302">
              <w:rPr>
                <w:rFonts w:eastAsia="Times New Roman" w:cs="Arial"/>
                <w:b/>
                <w:sz w:val="22"/>
                <w:szCs w:val="22"/>
                <w:lang w:eastAsia="cs-CZ"/>
              </w:rPr>
              <w:t>E-mailová adresa</w:t>
            </w:r>
          </w:p>
        </w:tc>
      </w:tr>
      <w:tr w:rsidR="004C1D41" w:rsidRPr="00426302" w:rsidTr="009A7CB8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C1D41" w:rsidRPr="00426302" w:rsidRDefault="009A7CB8" w:rsidP="009A7CB8">
            <w:pPr>
              <w:spacing w:after="0"/>
              <w:ind w:left="142"/>
              <w:rPr>
                <w:rFonts w:eastAsia="Times New Roman" w:cs="Arial"/>
                <w:sz w:val="22"/>
                <w:szCs w:val="22"/>
                <w:lang w:eastAsia="cs-CZ"/>
              </w:rPr>
            </w:pPr>
            <w:r>
              <w:rPr>
                <w:rFonts w:eastAsia="Times New Roman" w:cs="Arial"/>
                <w:sz w:val="22"/>
                <w:szCs w:val="22"/>
                <w:lang w:eastAsia="cs-CZ"/>
              </w:rPr>
              <w:t xml:space="preserve">Oddělení administrace OSS </w:t>
            </w:r>
            <w:r w:rsidR="004C1D41" w:rsidRPr="00426302">
              <w:rPr>
                <w:rFonts w:eastAsia="Times New Roman" w:cs="Arial"/>
                <w:sz w:val="22"/>
                <w:szCs w:val="22"/>
                <w:lang w:eastAsia="cs-CZ"/>
              </w:rPr>
              <w:t>(Praha)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C1D41" w:rsidRPr="00426302" w:rsidRDefault="004C1D41" w:rsidP="004C1D41">
            <w:pPr>
              <w:spacing w:after="0"/>
              <w:ind w:left="283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426302">
              <w:rPr>
                <w:rFonts w:eastAsia="Times New Roman" w:cs="Arial"/>
                <w:sz w:val="22"/>
                <w:szCs w:val="22"/>
                <w:lang w:eastAsia="cs-CZ"/>
              </w:rPr>
              <w:t>Ing. Bohdan Kadlec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C1D41" w:rsidRPr="00426302" w:rsidRDefault="004C1D41" w:rsidP="004C1D41">
            <w:pPr>
              <w:spacing w:after="0"/>
              <w:rPr>
                <w:rFonts w:eastAsia="Times New Roman" w:cs="Arial"/>
                <w:sz w:val="22"/>
                <w:szCs w:val="22"/>
                <w:lang w:eastAsia="cs-CZ"/>
              </w:rPr>
            </w:pPr>
            <w:r w:rsidRPr="00426302">
              <w:rPr>
                <w:rFonts w:eastAsia="Times New Roman" w:cs="Arial"/>
                <w:sz w:val="22"/>
                <w:szCs w:val="22"/>
                <w:lang w:eastAsia="cs-CZ"/>
              </w:rPr>
              <w:t xml:space="preserve">      735 159 462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C1D41" w:rsidRPr="00426302" w:rsidRDefault="004C1D41" w:rsidP="009A7CB8">
            <w:pPr>
              <w:spacing w:after="0"/>
              <w:ind w:left="22"/>
              <w:jc w:val="center"/>
              <w:rPr>
                <w:rFonts w:eastAsia="Times New Roman" w:cs="Arial"/>
                <w:sz w:val="22"/>
                <w:szCs w:val="22"/>
                <w:lang w:eastAsia="cs-CZ"/>
              </w:rPr>
            </w:pPr>
            <w:proofErr w:type="spellStart"/>
            <w:r w:rsidRPr="00426302">
              <w:rPr>
                <w:rFonts w:eastAsia="Times New Roman" w:cs="Arial"/>
                <w:sz w:val="22"/>
                <w:szCs w:val="22"/>
                <w:lang w:eastAsia="cs-CZ"/>
              </w:rPr>
              <w:t>kadlec</w:t>
            </w:r>
            <w:proofErr w:type="spellEnd"/>
            <w:r w:rsidRPr="00426302">
              <w:rPr>
                <w:rFonts w:eastAsia="Times New Roman" w:cs="Arial"/>
                <w:sz w:val="22"/>
                <w:szCs w:val="22"/>
                <w:lang w:eastAsia="cs-CZ"/>
              </w:rPr>
              <w:t>(</w:t>
            </w:r>
            <w:proofErr w:type="spellStart"/>
            <w:r w:rsidRPr="00426302">
              <w:rPr>
                <w:rFonts w:eastAsia="Times New Roman" w:cs="Arial"/>
                <w:sz w:val="22"/>
                <w:szCs w:val="22"/>
                <w:lang w:eastAsia="cs-CZ"/>
              </w:rPr>
              <w:t>at</w:t>
            </w:r>
            <w:proofErr w:type="spellEnd"/>
            <w:r w:rsidRPr="00426302">
              <w:rPr>
                <w:rFonts w:eastAsia="Times New Roman" w:cs="Arial"/>
                <w:sz w:val="22"/>
                <w:szCs w:val="22"/>
                <w:lang w:eastAsia="cs-CZ"/>
              </w:rPr>
              <w:t>)crr.cz</w:t>
            </w:r>
          </w:p>
        </w:tc>
      </w:tr>
    </w:tbl>
    <w:p w:rsidR="004C1D41" w:rsidRDefault="004C1D41" w:rsidP="004C1D41">
      <w:pPr>
        <w:pStyle w:val="Odstavecseseznamem"/>
        <w:ind w:left="0"/>
        <w:jc w:val="both"/>
        <w:rPr>
          <w:b/>
        </w:rPr>
      </w:pPr>
    </w:p>
    <w:p w:rsidR="004C1D41" w:rsidRPr="00EF2C2C" w:rsidRDefault="004C1D41" w:rsidP="004C1D41">
      <w:pPr>
        <w:pStyle w:val="Odstavecseseznamem"/>
        <w:ind w:left="0"/>
        <w:jc w:val="both"/>
        <w:rPr>
          <w:rStyle w:val="Hypertextovodkaz"/>
          <w:rFonts w:cs="Arial"/>
        </w:rPr>
      </w:pPr>
      <w:r w:rsidRPr="00EF2C2C">
        <w:rPr>
          <w:rFonts w:cs="Arial"/>
        </w:rPr>
        <w:t xml:space="preserve">Aktuální kontakty jsou k dispozici na webových stránkách </w:t>
      </w:r>
      <w:hyperlink r:id="rId15" w:history="1">
        <w:r w:rsidRPr="00EF2C2C">
          <w:rPr>
            <w:rStyle w:val="Hypertextovodkaz"/>
            <w:rFonts w:cs="Arial"/>
            <w:szCs w:val="20"/>
          </w:rPr>
          <w:t>http://www.crr.cz/cs/crr/kontakty-iop-irop</w:t>
        </w:r>
      </w:hyperlink>
      <w:r w:rsidRPr="00EF2C2C">
        <w:rPr>
          <w:rStyle w:val="Hypertextovodkaz"/>
          <w:rFonts w:cs="Arial"/>
        </w:rPr>
        <w:t xml:space="preserve"> </w:t>
      </w:r>
      <w:r w:rsidRPr="00EF2C2C">
        <w:rPr>
          <w:rFonts w:cs="Arial"/>
        </w:rPr>
        <w:t xml:space="preserve"> nebo </w:t>
      </w:r>
      <w:hyperlink r:id="rId16" w:history="1">
        <w:r w:rsidRPr="00EF2C2C">
          <w:rPr>
            <w:rStyle w:val="Hypertextovodkaz"/>
            <w:rFonts w:cs="Arial"/>
          </w:rPr>
          <w:t>http://www.dotaceEu.cz/irop</w:t>
        </w:r>
      </w:hyperlink>
      <w:r w:rsidRPr="00EF2C2C">
        <w:rPr>
          <w:rStyle w:val="Hypertextovodkaz"/>
          <w:rFonts w:cs="Arial"/>
        </w:rPr>
        <w:t>.</w:t>
      </w:r>
    </w:p>
    <w:p w:rsidR="004C1D41" w:rsidRPr="00EF2C2C" w:rsidRDefault="004C1D41" w:rsidP="004C1D41">
      <w:pPr>
        <w:pStyle w:val="Odstavecseseznamem"/>
        <w:ind w:left="0"/>
        <w:jc w:val="both"/>
        <w:rPr>
          <w:rFonts w:cs="Arial"/>
        </w:rPr>
      </w:pPr>
    </w:p>
    <w:p w:rsidR="004C1D41" w:rsidRDefault="00BC4DB8" w:rsidP="004C1D41">
      <w:pPr>
        <w:pStyle w:val="Odstavecseseznamem"/>
        <w:ind w:left="0"/>
        <w:jc w:val="both"/>
        <w:rPr>
          <w:rFonts w:cs="Arial"/>
        </w:rPr>
      </w:pPr>
      <w:r w:rsidRPr="00BC4DB8">
        <w:rPr>
          <w:rFonts w:cs="Arial"/>
        </w:rPr>
        <w:t>Kontakty jsou využitelné do podání žádosti o podporu v MS2014+.</w:t>
      </w:r>
      <w:r>
        <w:rPr>
          <w:rFonts w:cs="Arial"/>
        </w:rPr>
        <w:t xml:space="preserve"> </w:t>
      </w:r>
      <w:r w:rsidR="004C1D41" w:rsidRPr="00EF2C2C">
        <w:rPr>
          <w:rFonts w:cs="Arial"/>
        </w:rPr>
        <w:t>Po předložení žádosti o podporu budou žadateli sdělena formou depeše v MS2014+ jména administrátorů</w:t>
      </w:r>
      <w:r>
        <w:rPr>
          <w:rFonts w:cs="Arial"/>
        </w:rPr>
        <w:t xml:space="preserve"> </w:t>
      </w:r>
      <w:r w:rsidR="004C1D41" w:rsidRPr="00EF2C2C">
        <w:rPr>
          <w:rFonts w:cs="Arial"/>
        </w:rPr>
        <w:t xml:space="preserve">projektu </w:t>
      </w:r>
      <w:r>
        <w:rPr>
          <w:rFonts w:eastAsiaTheme="minorHAnsi" w:cs="Cambria"/>
          <w:color w:val="000000"/>
          <w:lang w:eastAsia="en-US"/>
        </w:rPr>
        <w:t>pro další komunikaci v rámci administrace projektu.</w:t>
      </w:r>
    </w:p>
    <w:p w:rsidR="00384CA1" w:rsidRDefault="00E131E7" w:rsidP="00226158">
      <w:pPr>
        <w:pStyle w:val="Pravidla1"/>
        <w:pageBreakBefore/>
        <w:numPr>
          <w:ilvl w:val="0"/>
          <w:numId w:val="1"/>
        </w:numPr>
        <w:jc w:val="both"/>
      </w:pPr>
      <w:bookmarkStart w:id="140" w:name="_Toc433128969"/>
      <w:bookmarkStart w:id="141" w:name="_Toc433129139"/>
      <w:bookmarkStart w:id="142" w:name="_Toc433128970"/>
      <w:bookmarkStart w:id="143" w:name="_Toc433129140"/>
      <w:bookmarkStart w:id="144" w:name="_Toc433128971"/>
      <w:bookmarkStart w:id="145" w:name="_Toc433129141"/>
      <w:bookmarkStart w:id="146" w:name="_Toc433128775"/>
      <w:bookmarkStart w:id="147" w:name="_Toc433128972"/>
      <w:bookmarkStart w:id="148" w:name="_Toc433129142"/>
      <w:bookmarkStart w:id="149" w:name="_Toc433128206"/>
      <w:bookmarkStart w:id="150" w:name="_Toc433128284"/>
      <w:bookmarkStart w:id="151" w:name="_Toc433128358"/>
      <w:bookmarkStart w:id="152" w:name="_Toc433128778"/>
      <w:bookmarkStart w:id="153" w:name="_Toc433128975"/>
      <w:bookmarkStart w:id="154" w:name="_Toc433129145"/>
      <w:bookmarkStart w:id="155" w:name="_Toc433128779"/>
      <w:bookmarkStart w:id="156" w:name="_Toc433128976"/>
      <w:bookmarkStart w:id="157" w:name="_Toc433129146"/>
      <w:bookmarkStart w:id="158" w:name="_Toc425325707"/>
      <w:bookmarkStart w:id="159" w:name="_Toc425348547"/>
      <w:bookmarkStart w:id="160" w:name="_Toc425348623"/>
      <w:bookmarkStart w:id="161" w:name="_Toc413143902"/>
      <w:bookmarkStart w:id="162" w:name="_Toc433128781"/>
      <w:bookmarkStart w:id="163" w:name="_Toc433128978"/>
      <w:bookmarkStart w:id="164" w:name="_Toc433129148"/>
      <w:bookmarkStart w:id="165" w:name="_Toc433128782"/>
      <w:bookmarkStart w:id="166" w:name="_Toc433128979"/>
      <w:bookmarkStart w:id="167" w:name="_Toc433129149"/>
      <w:bookmarkStart w:id="168" w:name="_Toc433128783"/>
      <w:bookmarkStart w:id="169" w:name="_Toc433128980"/>
      <w:bookmarkStart w:id="170" w:name="_Toc433129150"/>
      <w:bookmarkStart w:id="171" w:name="_Toc433128784"/>
      <w:bookmarkStart w:id="172" w:name="_Toc433128981"/>
      <w:bookmarkStart w:id="173" w:name="_Toc433129151"/>
      <w:bookmarkStart w:id="174" w:name="_Toc433128785"/>
      <w:bookmarkStart w:id="175" w:name="_Toc433128982"/>
      <w:bookmarkStart w:id="176" w:name="_Toc433129152"/>
      <w:bookmarkStart w:id="177" w:name="_Toc433129070"/>
      <w:bookmarkStart w:id="178" w:name="_Toc433129240"/>
      <w:bookmarkStart w:id="179" w:name="_Toc433129072"/>
      <w:bookmarkStart w:id="180" w:name="_Toc433129242"/>
      <w:bookmarkStart w:id="181" w:name="_Toc433129073"/>
      <w:bookmarkStart w:id="182" w:name="_Toc433129243"/>
      <w:bookmarkStart w:id="183" w:name="_Toc433129074"/>
      <w:bookmarkStart w:id="184" w:name="_Toc433129244"/>
      <w:bookmarkStart w:id="185" w:name="_Toc425325709"/>
      <w:bookmarkStart w:id="186" w:name="_Toc425348549"/>
      <w:bookmarkStart w:id="187" w:name="_Toc425348625"/>
      <w:bookmarkStart w:id="188" w:name="_Toc425325710"/>
      <w:bookmarkStart w:id="189" w:name="_Toc425348550"/>
      <w:bookmarkStart w:id="190" w:name="_Toc425348626"/>
      <w:bookmarkStart w:id="191" w:name="_Toc425325711"/>
      <w:bookmarkStart w:id="192" w:name="_Toc425348551"/>
      <w:bookmarkStart w:id="193" w:name="_Toc425348627"/>
      <w:bookmarkStart w:id="194" w:name="_Toc425325712"/>
      <w:bookmarkStart w:id="195" w:name="_Toc425348552"/>
      <w:bookmarkStart w:id="196" w:name="_Toc425348628"/>
      <w:bookmarkStart w:id="197" w:name="_Toc425325713"/>
      <w:bookmarkStart w:id="198" w:name="_Toc425348553"/>
      <w:bookmarkStart w:id="199" w:name="_Toc425348629"/>
      <w:bookmarkStart w:id="200" w:name="_Toc425325714"/>
      <w:bookmarkStart w:id="201" w:name="_Toc425348554"/>
      <w:bookmarkStart w:id="202" w:name="_Toc425348630"/>
      <w:bookmarkStart w:id="203" w:name="_Toc425325715"/>
      <w:bookmarkStart w:id="204" w:name="_Toc425348555"/>
      <w:bookmarkStart w:id="205" w:name="_Toc425348631"/>
      <w:bookmarkStart w:id="206" w:name="_Toc413143903"/>
      <w:bookmarkStart w:id="207" w:name="_Toc436900692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>
        <w:lastRenderedPageBreak/>
        <w:t>Hodnocení a výběr projektů</w:t>
      </w:r>
      <w:bookmarkEnd w:id="206"/>
      <w:bookmarkEnd w:id="207"/>
      <w:r>
        <w:t xml:space="preserve"> </w:t>
      </w:r>
    </w:p>
    <w:p w:rsidR="003B5DA6" w:rsidRDefault="003B5DA6" w:rsidP="00671E54">
      <w:pPr>
        <w:jc w:val="both"/>
        <w:rPr>
          <w:rFonts w:cs="Arial"/>
        </w:rPr>
      </w:pPr>
    </w:p>
    <w:p w:rsidR="00EC6DEA" w:rsidRPr="00EC6DEA" w:rsidRDefault="00CE3A28" w:rsidP="00226158">
      <w:pPr>
        <w:jc w:val="both"/>
      </w:pPr>
      <w:r>
        <w:rPr>
          <w:rFonts w:cs="Arial"/>
        </w:rPr>
        <w:t>Hodnocení žádostí o podporu probíhá průběžně.</w:t>
      </w:r>
      <w:r>
        <w:t xml:space="preserve"> </w:t>
      </w:r>
      <w:r>
        <w:rPr>
          <w:rFonts w:cs="Arial"/>
        </w:rPr>
        <w:t>H</w:t>
      </w:r>
      <w:r w:rsidRPr="00C47CC2">
        <w:rPr>
          <w:rFonts w:cs="Arial"/>
        </w:rPr>
        <w:t xml:space="preserve">odnocení </w:t>
      </w:r>
      <w:r>
        <w:rPr>
          <w:rFonts w:cs="Arial"/>
        </w:rPr>
        <w:t>a výběr</w:t>
      </w:r>
      <w:r w:rsidRPr="00C47CC2">
        <w:rPr>
          <w:rFonts w:cs="Arial"/>
        </w:rPr>
        <w:t xml:space="preserve"> projektů probíhá v souladu s kap. 3 Obecných pravidel.</w:t>
      </w:r>
      <w:bookmarkStart w:id="208" w:name="_Toc425264444"/>
      <w:bookmarkStart w:id="209" w:name="_Toc425325717"/>
      <w:bookmarkStart w:id="210" w:name="_Toc425348557"/>
      <w:bookmarkStart w:id="211" w:name="_Toc425348633"/>
      <w:bookmarkStart w:id="212" w:name="_Toc425349660"/>
      <w:bookmarkStart w:id="213" w:name="_Toc425422661"/>
      <w:bookmarkStart w:id="214" w:name="_Toc425510954"/>
      <w:bookmarkStart w:id="215" w:name="_Toc433110793"/>
      <w:bookmarkStart w:id="216" w:name="_Toc433110933"/>
      <w:bookmarkStart w:id="217" w:name="_Toc433128210"/>
      <w:bookmarkStart w:id="218" w:name="_Toc433128288"/>
      <w:bookmarkStart w:id="219" w:name="_Toc433128362"/>
      <w:bookmarkStart w:id="220" w:name="_Toc433128429"/>
      <w:bookmarkStart w:id="221" w:name="_Toc433128875"/>
      <w:bookmarkStart w:id="222" w:name="_Toc425348558"/>
      <w:bookmarkStart w:id="223" w:name="_Toc425348634"/>
      <w:bookmarkStart w:id="224" w:name="_Toc425349661"/>
      <w:bookmarkStart w:id="225" w:name="_Toc425422662"/>
      <w:bookmarkStart w:id="226" w:name="_Toc425510955"/>
      <w:bookmarkStart w:id="227" w:name="_Toc433110794"/>
      <w:bookmarkStart w:id="228" w:name="_Toc433110934"/>
      <w:bookmarkStart w:id="229" w:name="_Toc433128211"/>
      <w:bookmarkStart w:id="230" w:name="_Toc433128289"/>
      <w:bookmarkStart w:id="231" w:name="_Toc433128363"/>
      <w:bookmarkStart w:id="232" w:name="_Toc433128430"/>
      <w:bookmarkStart w:id="233" w:name="_Toc433128876"/>
      <w:bookmarkStart w:id="234" w:name="_Toc424905628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:rsidR="005E53B6" w:rsidRPr="00671E54" w:rsidRDefault="00CE3A28" w:rsidP="00226158">
      <w:pPr>
        <w:pStyle w:val="Pravidla11"/>
        <w:numPr>
          <w:ilvl w:val="1"/>
          <w:numId w:val="1"/>
        </w:numPr>
      </w:pPr>
      <w:bookmarkStart w:id="235" w:name="_Toc428198363"/>
      <w:bookmarkStart w:id="236" w:name="_Toc436900693"/>
      <w:bookmarkEnd w:id="234"/>
      <w:r w:rsidRPr="00CE3A28">
        <w:t>Hodnocení žádostí o podporu</w:t>
      </w:r>
      <w:bookmarkEnd w:id="235"/>
      <w:bookmarkEnd w:id="236"/>
      <w:r w:rsidRPr="00CE3A28">
        <w:tab/>
      </w:r>
      <w:r w:rsidR="005E53B6" w:rsidRPr="00671E54">
        <w:tab/>
      </w:r>
    </w:p>
    <w:p w:rsidR="00A63442" w:rsidRDefault="00CE3A28" w:rsidP="00226158">
      <w:pPr>
        <w:pStyle w:val="Pravidla111"/>
      </w:pPr>
      <w:bookmarkStart w:id="237" w:name="_Toc428198364"/>
      <w:bookmarkStart w:id="238" w:name="_Toc436900694"/>
      <w:r w:rsidRPr="000E7E86">
        <w:t>Kontrola přijatelnosti a formálních náležitostí projektu</w:t>
      </w:r>
      <w:bookmarkEnd w:id="237"/>
      <w:bookmarkEnd w:id="238"/>
      <w:r w:rsidRPr="000E7E86">
        <w:t xml:space="preserve"> </w:t>
      </w:r>
    </w:p>
    <w:p w:rsidR="00CE3A28" w:rsidRDefault="00CE3A28" w:rsidP="00CE3A28">
      <w:pPr>
        <w:tabs>
          <w:tab w:val="left" w:pos="709"/>
        </w:tabs>
        <w:suppressAutoHyphens w:val="0"/>
        <w:jc w:val="both"/>
      </w:pPr>
      <w:r>
        <w:t>Probíhá podle obecných kritérií přijatelnosti a formálních náležitostí, uvedených v kapitole 3.2 Obecných pravidel, a specifických kritérií přijatelnosti pro specifický cíl 3.2.</w:t>
      </w:r>
    </w:p>
    <w:tbl>
      <w:tblPr>
        <w:tblW w:w="49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670"/>
      </w:tblGrid>
      <w:tr w:rsidR="000E7E86" w:rsidRPr="00BC4DB8" w:rsidTr="00226158">
        <w:trPr>
          <w:trHeight w:val="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7E86" w:rsidRPr="00BC24D2" w:rsidRDefault="000E7E86" w:rsidP="00226158">
            <w:pPr>
              <w:jc w:val="center"/>
              <w:rPr>
                <w:b/>
                <w:sz w:val="22"/>
                <w:szCs w:val="22"/>
              </w:rPr>
            </w:pPr>
            <w:r w:rsidRPr="00BC24D2">
              <w:rPr>
                <w:b/>
                <w:sz w:val="22"/>
                <w:szCs w:val="22"/>
              </w:rPr>
              <w:t>Specifická kritéria přijatelnosti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7E86" w:rsidRPr="00BC24D2" w:rsidRDefault="000E7E86" w:rsidP="0022615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C24D2">
              <w:rPr>
                <w:rFonts w:cs="Arial"/>
                <w:b/>
                <w:sz w:val="22"/>
                <w:szCs w:val="22"/>
              </w:rPr>
              <w:t>Hodnocení (ANO/NE)</w:t>
            </w:r>
          </w:p>
        </w:tc>
      </w:tr>
      <w:tr w:rsidR="000E7E86" w:rsidRPr="00BC4DB8" w:rsidTr="00226158">
        <w:trPr>
          <w:trHeight w:val="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86" w:rsidRPr="00BC4DB8" w:rsidRDefault="000E7E86" w:rsidP="00226158">
            <w:pPr>
              <w:pStyle w:val="Default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4DB8">
              <w:rPr>
                <w:rFonts w:ascii="Cambria" w:hAnsi="Cambria"/>
                <w:sz w:val="22"/>
                <w:szCs w:val="22"/>
              </w:rPr>
              <w:t>Projekt je v souladu se Strategickým rámcem rozvoje veřejné správy České republiky 2014+ a jeho implementačními plány.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E86" w:rsidRPr="009A7C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9A7C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ANO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 xml:space="preserve">Ze souhlasného stanoviska Hlavního architekta </w:t>
            </w:r>
            <w:proofErr w:type="spellStart"/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eGovernmentu</w:t>
            </w:r>
            <w:proofErr w:type="spellEnd"/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 xml:space="preserve"> (popř. studie proveditelnosti v případě projektů územně samosprávných celků pod 15 mil. Kč bez vazby na centrální systémy veřejné správy) vyplývá, že je v souladu se Strategickým rámcem rozvoje veřejné správy ČR pro období 2014–2020 (Strategický rámec), jeho implementační plány a projektovými okruhy.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NE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 xml:space="preserve">Ze souhlasného stanoviska Hlavního architekta </w:t>
            </w:r>
            <w:proofErr w:type="spellStart"/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eGovernmentu</w:t>
            </w:r>
            <w:proofErr w:type="spellEnd"/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/studie proveditelnosti nevyplývá zřejmá vazba na Strategický rámec, jeho implementační plány a projektové okruhy.</w:t>
            </w:r>
          </w:p>
        </w:tc>
      </w:tr>
      <w:tr w:rsidR="000E7E86" w:rsidRPr="00BC4DB8" w:rsidTr="00226158">
        <w:trPr>
          <w:trHeight w:val="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86" w:rsidRPr="00BC4DB8" w:rsidRDefault="000E7E86" w:rsidP="00226158">
            <w:pPr>
              <w:pStyle w:val="Default"/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4DB8">
              <w:rPr>
                <w:rFonts w:ascii="Cambria" w:hAnsi="Cambria"/>
                <w:sz w:val="22"/>
                <w:szCs w:val="22"/>
              </w:rPr>
              <w:t xml:space="preserve">Souhlasné stanovisko Hlavního architekta </w:t>
            </w:r>
            <w:proofErr w:type="spellStart"/>
            <w:r w:rsidRPr="00BC4DB8">
              <w:rPr>
                <w:rFonts w:ascii="Cambria" w:hAnsi="Cambria"/>
                <w:sz w:val="22"/>
                <w:szCs w:val="22"/>
              </w:rPr>
              <w:t>eGovernmentu</w:t>
            </w:r>
            <w:proofErr w:type="spellEnd"/>
            <w:r w:rsidRPr="00BC4DB8">
              <w:rPr>
                <w:rFonts w:ascii="Cambria" w:hAnsi="Cambria"/>
                <w:sz w:val="22"/>
                <w:szCs w:val="22"/>
              </w:rPr>
              <w:t xml:space="preserve"> pro projekty územních samosprávných celků nad 15 </w:t>
            </w:r>
            <w:r w:rsidRPr="009A7CB8">
              <w:rPr>
                <w:rFonts w:ascii="Cambria" w:hAnsi="Cambria"/>
                <w:sz w:val="22"/>
                <w:szCs w:val="22"/>
              </w:rPr>
              <w:t>mil. Kč celkových způsobilých výdajů, pokud se nebudou vázat na centrální systémy veřejné správy, nebo všechny projekty, které se budou vázat centrální syst</w:t>
            </w:r>
            <w:r w:rsidRPr="00BC4DB8">
              <w:rPr>
                <w:rFonts w:ascii="Cambria" w:hAnsi="Cambria"/>
                <w:sz w:val="22"/>
                <w:szCs w:val="22"/>
              </w:rPr>
              <w:t>émy veřejné správy, a pro všechny projekty OSS.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E86" w:rsidRPr="00BC4DB8" w:rsidRDefault="000E7E86" w:rsidP="00226158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ANO</w:t>
            </w:r>
          </w:p>
          <w:p w:rsidR="000E7E86" w:rsidRPr="00BC4DB8" w:rsidRDefault="000E7E86" w:rsidP="00226158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K žádosti bylo předloženo příslušné souhlasné stanovisko podle příjemce, typu projektu a podle velikosti projektu.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NE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K žádosti nebylo předloženo příslušné souhlasné stanovisko podle příjemce, typu projektu a podle velikosti projektu.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i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i/>
                <w:color w:val="000000"/>
                <w:sz w:val="22"/>
                <w:szCs w:val="22"/>
                <w:lang w:eastAsia="en-US"/>
              </w:rPr>
              <w:t>Pozn.: souhlasné stanovisko se nedokládá k projektům obcí, krajů, organizací zakládaných nebo zřizovaných kraji nebo obcemi, a to za podmínky, že se nevážou na centrální systémy veřejné správy a zároveň jejich celkové způsobilé výdaje nepřesahují 15 mil. Kč.</w:t>
            </w:r>
          </w:p>
        </w:tc>
      </w:tr>
      <w:tr w:rsidR="000E7E86" w:rsidRPr="00BC4DB8" w:rsidTr="00226158">
        <w:trPr>
          <w:trHeight w:val="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86" w:rsidRPr="00BC4DB8" w:rsidRDefault="000E7E86" w:rsidP="00226158">
            <w:pPr>
              <w:tabs>
                <w:tab w:val="left" w:pos="5445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 xml:space="preserve">Žadatel má zajištěnou administrativní, finanční a </w:t>
            </w: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lastRenderedPageBreak/>
              <w:t>provozní kapaci</w:t>
            </w:r>
            <w:r w:rsidRPr="009A7C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tu k realizaci a udržitelnosti projektu.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E86" w:rsidRPr="00BC4DB8" w:rsidRDefault="000E7E86" w:rsidP="00226158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lastRenderedPageBreak/>
              <w:t>ANO</w:t>
            </w:r>
          </w:p>
          <w:p w:rsidR="000E7E86" w:rsidRPr="009A7CB8" w:rsidRDefault="000E7E86" w:rsidP="00226158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Žadatel ve studii proveditelnosti a žádosti prokázal, že má zajištěnou administrativní, finanční a provozní kapacitu k </w:t>
            </w:r>
            <w:r w:rsidRPr="009A7C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realizaci a udržitelnosti projektu.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NE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Žadatel ve studii proveditelnosti a žádosti neprokázal, že má zajištěnou administrativní, finanční a provozní kapacitu k realizaci a udržitelnosti projektu.</w:t>
            </w:r>
          </w:p>
        </w:tc>
      </w:tr>
      <w:tr w:rsidR="000E7E86" w:rsidRPr="00BC4DB8" w:rsidTr="00226158">
        <w:trPr>
          <w:trHeight w:val="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86" w:rsidRPr="009A7CB8" w:rsidRDefault="000E7E86" w:rsidP="00226158">
            <w:pPr>
              <w:tabs>
                <w:tab w:val="left" w:pos="5445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lastRenderedPageBreak/>
              <w:t>Výdaje na hlavní aktivity v rozpočtu projektu odpovídají tržním cenám.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E86" w:rsidRPr="00BC4DB8" w:rsidRDefault="000E7E86" w:rsidP="00226158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ANO</w:t>
            </w:r>
          </w:p>
          <w:p w:rsidR="000E7E86" w:rsidRPr="00BC4DB8" w:rsidRDefault="000E7E86" w:rsidP="00226158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Rozpočet projektu odpovídá běžným tržním cenám (kvalitativní posouzení přiměřenosti výsledků s ohledem k rozpočtu projektu).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NE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Rozpočet projektu neodpovídá běžným tržním cenám (kvalitativní posouzení přiměřenosti výsledků s ohledem k rozpočtu projektu).</w:t>
            </w:r>
          </w:p>
        </w:tc>
      </w:tr>
      <w:tr w:rsidR="000E7E86" w:rsidRPr="00BC4DB8" w:rsidTr="00226158">
        <w:trPr>
          <w:trHeight w:val="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86" w:rsidRPr="009A7CB8" w:rsidRDefault="000E7E86" w:rsidP="00226158">
            <w:pPr>
              <w:tabs>
                <w:tab w:val="left" w:pos="5445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Minimálně 85 % způsobilých výdajů projektu je zaměřeno na hlavní aktivity pr</w:t>
            </w:r>
            <w:r w:rsidRPr="009A7C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ojektu.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ANO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Z rozpočtu projektu je zřejmé, že minimálně 85 % způsobilých výdajů je zaměřeno na hlavní aktivitu projektu.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NE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Z rozpočtu je zřejmé, že více než 15 % způsobilých výdajů je zaměřeno na vedlejší aktivity projektu.</w:t>
            </w:r>
          </w:p>
        </w:tc>
      </w:tr>
      <w:tr w:rsidR="000E7E86" w:rsidRPr="00BC4DB8" w:rsidTr="00226158">
        <w:trPr>
          <w:trHeight w:val="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86" w:rsidRPr="009A7CB8" w:rsidRDefault="000E7E86" w:rsidP="00226158">
            <w:pPr>
              <w:tabs>
                <w:tab w:val="left" w:pos="5445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Harmonogram realizace projektu je reálný a proveditelný.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E86" w:rsidRPr="00BC4DB8" w:rsidRDefault="000E7E86" w:rsidP="00226158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ANO</w:t>
            </w:r>
          </w:p>
          <w:p w:rsidR="000E7E86" w:rsidRPr="00BC4DB8" w:rsidRDefault="000E7E86" w:rsidP="00226158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Navrhovaný harmonogram projektu je reálný a proveditelný.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NE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Navrhovaný harmonogram projektu není reálný nebo proveditelný.</w:t>
            </w:r>
          </w:p>
        </w:tc>
      </w:tr>
      <w:tr w:rsidR="000E7E86" w:rsidRPr="00BC4DB8" w:rsidTr="00226158">
        <w:trPr>
          <w:trHeight w:val="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86" w:rsidRPr="009A7CB8" w:rsidRDefault="000E7E86" w:rsidP="00226158">
            <w:pPr>
              <w:tabs>
                <w:tab w:val="left" w:pos="5445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Cílové hodnoty indikátorů odpovídají cílům projektu.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E86" w:rsidRPr="00BC4DB8" w:rsidRDefault="000E7E86" w:rsidP="00A37E84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ANO</w:t>
            </w:r>
          </w:p>
          <w:p w:rsidR="000E7E86" w:rsidRPr="00BC4DB8" w:rsidRDefault="000E7E86" w:rsidP="00A37E84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Cílové hodnoty indikátorů odpovídají cílům projektu.</w:t>
            </w:r>
          </w:p>
          <w:p w:rsidR="00A37E84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NE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Cílové hodnoty indikátorů neodpovídají cílům projektu.</w:t>
            </w:r>
          </w:p>
        </w:tc>
      </w:tr>
      <w:tr w:rsidR="000E7E86" w:rsidRPr="00BC4DB8" w:rsidTr="00226158">
        <w:trPr>
          <w:trHeight w:val="20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86" w:rsidRPr="009A7CB8" w:rsidRDefault="000E7E86" w:rsidP="00226158">
            <w:pPr>
              <w:tabs>
                <w:tab w:val="left" w:pos="5445"/>
              </w:tabs>
              <w:rPr>
                <w:rFonts w:eastAsia="Batang" w:cs="Arial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 xml:space="preserve">V hodnocení </w:t>
            </w:r>
            <w:proofErr w:type="spellStart"/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eCBA</w:t>
            </w:r>
            <w:proofErr w:type="spellEnd"/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/finanční analýze projekt dosáhne minimálně hodnoty ukazatelů, stanovené ve výzvě.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E84" w:rsidRPr="00BC4DB8" w:rsidRDefault="000E7E86" w:rsidP="00226158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ANO</w:t>
            </w:r>
          </w:p>
          <w:p w:rsidR="000E7E86" w:rsidRPr="00BC4DB8" w:rsidRDefault="000E7E86" w:rsidP="00226158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 xml:space="preserve">Projekt dosáhl minimální hodnoty ukazatelů. </w:t>
            </w:r>
          </w:p>
          <w:p w:rsidR="00A37E84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lastRenderedPageBreak/>
              <w:t>NE</w:t>
            </w:r>
          </w:p>
          <w:p w:rsidR="000E7E86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 xml:space="preserve">Projekt nedosáhl minimální hodnoty ukazatelů. </w:t>
            </w:r>
          </w:p>
          <w:p w:rsidR="00A37E84" w:rsidRPr="00BC4D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BC4D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NERELEVANTNÍ</w:t>
            </w:r>
          </w:p>
          <w:p w:rsidR="000E7E86" w:rsidRPr="009A7CB8" w:rsidRDefault="000E7E86" w:rsidP="000E7E86">
            <w:pPr>
              <w:tabs>
                <w:tab w:val="left" w:pos="5445"/>
              </w:tabs>
              <w:rPr>
                <w:rFonts w:eastAsia="Batang" w:cs="Arial"/>
                <w:color w:val="000000"/>
                <w:sz w:val="22"/>
                <w:szCs w:val="22"/>
                <w:lang w:eastAsia="en-US"/>
              </w:rPr>
            </w:pPr>
            <w:r w:rsidRPr="009A7CB8">
              <w:rPr>
                <w:rFonts w:eastAsia="Batang" w:cs="Arial"/>
                <w:color w:val="000000"/>
                <w:sz w:val="22"/>
                <w:szCs w:val="22"/>
                <w:lang w:eastAsia="en-US"/>
              </w:rPr>
              <w:t>Nemusí se provádět.</w:t>
            </w:r>
          </w:p>
        </w:tc>
      </w:tr>
    </w:tbl>
    <w:p w:rsidR="00383C77" w:rsidRDefault="00383C77" w:rsidP="002261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EA1BC1" w:rsidRPr="00EF2C2C" w:rsidTr="00EA1BC1">
        <w:trPr>
          <w:trHeight w:val="929"/>
        </w:trPr>
        <w:tc>
          <w:tcPr>
            <w:tcW w:w="9218" w:type="dxa"/>
          </w:tcPr>
          <w:p w:rsidR="00EA1BC1" w:rsidRPr="00226158" w:rsidRDefault="00EA1BC1" w:rsidP="00EA1BC1">
            <w:pPr>
              <w:spacing w:after="0"/>
              <w:jc w:val="both"/>
              <w:rPr>
                <w:rFonts w:cs="Arial"/>
                <w:b/>
                <w:lang w:val="cs-CZ"/>
              </w:rPr>
            </w:pPr>
            <w:r w:rsidRPr="00F54F72">
              <w:rPr>
                <w:rFonts w:cs="Arial"/>
                <w:b/>
                <w:lang w:val="cs-CZ"/>
              </w:rPr>
              <w:t>UPOZORNĚNÍ</w:t>
            </w:r>
          </w:p>
          <w:p w:rsidR="00EA1BC1" w:rsidRDefault="00EA1BC1" w:rsidP="00EA1BC1">
            <w:pPr>
              <w:spacing w:after="0"/>
              <w:jc w:val="both"/>
              <w:rPr>
                <w:rFonts w:cs="Arial"/>
                <w:lang w:val="cs-CZ"/>
              </w:rPr>
            </w:pPr>
          </w:p>
          <w:p w:rsidR="00EA1BC1" w:rsidRPr="00336263" w:rsidRDefault="00EA1BC1" w:rsidP="00EA1BC1">
            <w:pPr>
              <w:tabs>
                <w:tab w:val="left" w:pos="709"/>
              </w:tabs>
              <w:jc w:val="both"/>
              <w:rPr>
                <w:lang w:val="cs-CZ"/>
              </w:rPr>
            </w:pPr>
            <w:r w:rsidRPr="00336263">
              <w:rPr>
                <w:lang w:val="cs-CZ"/>
              </w:rPr>
              <w:t xml:space="preserve">Sledovanými ukazateli hodnocení CBA jsou ekonomická a finanční čistá současná hodnota vypočítané v rámci ekonomické návratnosti investice a finanční návratnosti investice. Kritérium přijatelnosti „v hodnocení </w:t>
            </w:r>
            <w:proofErr w:type="spellStart"/>
            <w:r w:rsidRPr="00336263">
              <w:rPr>
                <w:lang w:val="cs-CZ"/>
              </w:rPr>
              <w:t>eCBA</w:t>
            </w:r>
            <w:proofErr w:type="spellEnd"/>
            <w:r w:rsidRPr="00336263">
              <w:rPr>
                <w:lang w:val="cs-CZ"/>
              </w:rPr>
              <w:t xml:space="preserve"> projekt dosáhne minimálně hodnoty ukazatelů, stanovené ve výzvě“ je splněno, když finanční čistá současná hodnota je nižší než 0 a ekonomická čistá současná hodnota je vyšší než 0. Projekt může být přijat i v případě, že ekonomická čistá současná hodnota je nižší než 0, pokud žadatel ve studii proveditelnosti dostatečně zdůvodní, proč hodnota vychází záporně a popíše, v čem spočívají přínosy projektu, které nebylo možné kvantitativně vyjádřit.  </w:t>
            </w:r>
          </w:p>
          <w:p w:rsidR="00EA1BC1" w:rsidRPr="00226158" w:rsidRDefault="00EA1BC1" w:rsidP="00EA1BC1">
            <w:pPr>
              <w:spacing w:after="0"/>
              <w:jc w:val="both"/>
              <w:rPr>
                <w:rFonts w:cs="Arial"/>
                <w:b/>
                <w:lang w:val="cs-CZ"/>
              </w:rPr>
            </w:pPr>
            <w:r w:rsidRPr="00336263">
              <w:rPr>
                <w:lang w:val="cs-CZ"/>
              </w:rPr>
              <w:t>Vstupním datům a pravidlům hodnocení CBA (zpracování finanční a ekonomické analýzy) se věnuje příloha č. 17 Obecných pravidel Postup pro zpracování finanční a ekonomické analýzy v MS2014+ a příloha č. 2 těchto Pravidel.</w:t>
            </w:r>
          </w:p>
        </w:tc>
      </w:tr>
    </w:tbl>
    <w:p w:rsidR="00EA1BC1" w:rsidRDefault="00EA1BC1" w:rsidP="00CD0616">
      <w:pPr>
        <w:tabs>
          <w:tab w:val="left" w:pos="284"/>
        </w:tabs>
        <w:rPr>
          <w:rFonts w:asciiTheme="majorHAnsi" w:hAnsiTheme="majorHAnsi" w:cs="Arial"/>
          <w:b/>
        </w:rPr>
      </w:pPr>
    </w:p>
    <w:p w:rsidR="00383C77" w:rsidRPr="001977A0" w:rsidRDefault="005E53B6" w:rsidP="00BC24D2">
      <w:pPr>
        <w:pStyle w:val="Pravidla111"/>
        <w:jc w:val="both"/>
      </w:pPr>
      <w:bookmarkStart w:id="239" w:name="_Toc436900695"/>
      <w:r w:rsidRPr="00A37E84">
        <w:t>Věcné hodnocení projektu</w:t>
      </w:r>
      <w:bookmarkEnd w:id="239"/>
      <w:r w:rsidRPr="00A37E84">
        <w:t xml:space="preserve"> </w:t>
      </w:r>
    </w:p>
    <w:p w:rsidR="00A00705" w:rsidRDefault="00A00705" w:rsidP="00BC24D2">
      <w:pPr>
        <w:jc w:val="both"/>
      </w:pPr>
      <w:r>
        <w:t>P</w:t>
      </w:r>
      <w:r w:rsidR="00BE5E2B">
        <w:t xml:space="preserve">ro </w:t>
      </w:r>
      <w:r>
        <w:t xml:space="preserve">žádosti o podporu ve </w:t>
      </w:r>
      <w:r w:rsidR="00BE5E2B">
        <w:t>specifick</w:t>
      </w:r>
      <w:r>
        <w:t>ém</w:t>
      </w:r>
      <w:r w:rsidR="00BE5E2B">
        <w:t xml:space="preserve"> cíl</w:t>
      </w:r>
      <w:r>
        <w:t>i</w:t>
      </w:r>
      <w:r w:rsidR="00BE5E2B">
        <w:t xml:space="preserve"> 3.</w:t>
      </w:r>
      <w:r w:rsidR="00FD506E">
        <w:t>2</w:t>
      </w:r>
      <w:r>
        <w:t xml:space="preserve"> není věcné hodnocení prováděno.</w:t>
      </w:r>
    </w:p>
    <w:p w:rsidR="00CE3A28" w:rsidRPr="001977A0" w:rsidRDefault="00CE3A28" w:rsidP="00BC24D2">
      <w:pPr>
        <w:pStyle w:val="Pravidla111"/>
        <w:jc w:val="both"/>
      </w:pPr>
      <w:bookmarkStart w:id="240" w:name="_Toc428198366"/>
      <w:bookmarkStart w:id="241" w:name="_Toc436900696"/>
      <w:r w:rsidRPr="00226158">
        <w:t>Ex-ante analýza rizik</w:t>
      </w:r>
      <w:bookmarkEnd w:id="240"/>
      <w:bookmarkEnd w:id="241"/>
    </w:p>
    <w:p w:rsidR="00CE3A28" w:rsidRPr="00CE0A49" w:rsidRDefault="00CE3A28" w:rsidP="00BC24D2">
      <w:pPr>
        <w:jc w:val="both"/>
        <w:rPr>
          <w:rFonts w:cs="Arial"/>
        </w:rPr>
      </w:pPr>
      <w:r w:rsidRPr="00CE0A49">
        <w:rPr>
          <w:rFonts w:cs="Arial"/>
        </w:rPr>
        <w:t>Probíhá podle následujících kritérií pro specifický cíl 3.2.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14"/>
        <w:gridCol w:w="8508"/>
      </w:tblGrid>
      <w:tr w:rsidR="00CE3A28" w:rsidRPr="00BA0184" w:rsidTr="008D3A03">
        <w:tc>
          <w:tcPr>
            <w:tcW w:w="9322" w:type="dxa"/>
            <w:gridSpan w:val="2"/>
            <w:shd w:val="pct25" w:color="auto" w:fill="auto"/>
          </w:tcPr>
          <w:p w:rsidR="00CE3A28" w:rsidRPr="00BA0184" w:rsidRDefault="00CE3A28" w:rsidP="00A37E84">
            <w:pPr>
              <w:pStyle w:val="Odstavecseseznamem"/>
              <w:ind w:left="0"/>
              <w:rPr>
                <w:b/>
                <w:sz w:val="22"/>
                <w:szCs w:val="22"/>
                <w:lang w:val="cs-CZ"/>
              </w:rPr>
            </w:pPr>
            <w:r w:rsidRPr="00BA0184">
              <w:rPr>
                <w:b/>
                <w:sz w:val="22"/>
                <w:szCs w:val="22"/>
                <w:lang w:val="cs-CZ"/>
              </w:rPr>
              <w:t xml:space="preserve">Kritéria ex-ante analýzy rizik </w:t>
            </w:r>
          </w:p>
        </w:tc>
      </w:tr>
      <w:tr w:rsidR="00CE3A28" w:rsidRPr="00BA0184" w:rsidTr="008D3A03">
        <w:tc>
          <w:tcPr>
            <w:tcW w:w="814" w:type="dxa"/>
          </w:tcPr>
          <w:p w:rsidR="00CE3A28" w:rsidRPr="00BA0184" w:rsidRDefault="00CE3A28" w:rsidP="008D3A03">
            <w:pPr>
              <w:spacing w:before="100" w:after="100"/>
              <w:rPr>
                <w:sz w:val="22"/>
                <w:szCs w:val="22"/>
                <w:lang w:val="cs-CZ"/>
              </w:rPr>
            </w:pPr>
            <w:r w:rsidRPr="00BA0184">
              <w:rPr>
                <w:sz w:val="22"/>
                <w:szCs w:val="22"/>
                <w:lang w:val="cs-CZ"/>
              </w:rPr>
              <w:t>1.</w:t>
            </w:r>
          </w:p>
        </w:tc>
        <w:tc>
          <w:tcPr>
            <w:tcW w:w="8508" w:type="dxa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876B8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Obecná kritéria</w:t>
            </w:r>
          </w:p>
        </w:tc>
      </w:tr>
      <w:tr w:rsidR="00CE3A28" w:rsidRPr="00BA0184" w:rsidTr="008D3A03">
        <w:tc>
          <w:tcPr>
            <w:tcW w:w="814" w:type="dxa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BA0184">
              <w:rPr>
                <w:sz w:val="22"/>
                <w:szCs w:val="22"/>
              </w:rPr>
              <w:t>1.1</w:t>
            </w:r>
          </w:p>
        </w:tc>
        <w:tc>
          <w:tcPr>
            <w:tcW w:w="8508" w:type="dxa"/>
            <w:vAlign w:val="bottom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876B8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Riziko nezpůsobilosti výdajů</w:t>
            </w:r>
          </w:p>
        </w:tc>
      </w:tr>
      <w:tr w:rsidR="00CE3A28" w:rsidRPr="00BA0184" w:rsidTr="008D3A03">
        <w:tc>
          <w:tcPr>
            <w:tcW w:w="814" w:type="dxa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BA0184">
              <w:rPr>
                <w:sz w:val="22"/>
                <w:szCs w:val="22"/>
              </w:rPr>
              <w:t>1.2</w:t>
            </w:r>
          </w:p>
        </w:tc>
        <w:tc>
          <w:tcPr>
            <w:tcW w:w="8508" w:type="dxa"/>
            <w:vAlign w:val="bottom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876B8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Riziko dvojího financování</w:t>
            </w:r>
          </w:p>
        </w:tc>
      </w:tr>
      <w:tr w:rsidR="00CE3A28" w:rsidRPr="00BA0184" w:rsidTr="008D3A03">
        <w:tc>
          <w:tcPr>
            <w:tcW w:w="814" w:type="dxa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BA0184">
              <w:rPr>
                <w:sz w:val="22"/>
                <w:szCs w:val="22"/>
              </w:rPr>
              <w:t>1.3</w:t>
            </w:r>
          </w:p>
        </w:tc>
        <w:tc>
          <w:tcPr>
            <w:tcW w:w="8508" w:type="dxa"/>
            <w:vAlign w:val="bottom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876B8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Riziko ve veřejných zakázkách</w:t>
            </w:r>
          </w:p>
        </w:tc>
      </w:tr>
      <w:tr w:rsidR="00CE3A28" w:rsidRPr="00BA0184" w:rsidTr="008D3A03">
        <w:tc>
          <w:tcPr>
            <w:tcW w:w="814" w:type="dxa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BA0184">
              <w:rPr>
                <w:sz w:val="22"/>
                <w:szCs w:val="22"/>
              </w:rPr>
              <w:t>1.4</w:t>
            </w:r>
          </w:p>
        </w:tc>
        <w:tc>
          <w:tcPr>
            <w:tcW w:w="8508" w:type="dxa"/>
            <w:vAlign w:val="bottom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876B8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Riziko v udržitelnosti projektu</w:t>
            </w:r>
          </w:p>
        </w:tc>
      </w:tr>
      <w:tr w:rsidR="00CE3A28" w:rsidRPr="00BA0184" w:rsidTr="008D3A03">
        <w:tc>
          <w:tcPr>
            <w:tcW w:w="814" w:type="dxa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BA0184">
              <w:rPr>
                <w:sz w:val="22"/>
                <w:szCs w:val="22"/>
              </w:rPr>
              <w:t>1.5</w:t>
            </w:r>
          </w:p>
        </w:tc>
        <w:tc>
          <w:tcPr>
            <w:tcW w:w="8508" w:type="dxa"/>
            <w:vAlign w:val="bottom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876B8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Riziko v nedovolené veřejné podpoře</w:t>
            </w:r>
          </w:p>
        </w:tc>
      </w:tr>
      <w:tr w:rsidR="00CE3A28" w:rsidRPr="00BA0184" w:rsidTr="008D3A03">
        <w:tc>
          <w:tcPr>
            <w:tcW w:w="814" w:type="dxa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BA0184">
              <w:rPr>
                <w:sz w:val="22"/>
                <w:szCs w:val="22"/>
              </w:rPr>
              <w:t>1.6</w:t>
            </w:r>
          </w:p>
        </w:tc>
        <w:tc>
          <w:tcPr>
            <w:tcW w:w="8508" w:type="dxa"/>
            <w:vAlign w:val="bottom"/>
          </w:tcPr>
          <w:p w:rsidR="00CE3A28" w:rsidRPr="00876B8B" w:rsidRDefault="00CE3A28" w:rsidP="008D3A03">
            <w:pPr>
              <w:spacing w:before="100" w:after="100"/>
              <w:ind w:left="283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</w:pPr>
            <w:r w:rsidRPr="00876B8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Riziko podvodů a korupčního jednání</w:t>
            </w:r>
          </w:p>
        </w:tc>
      </w:tr>
      <w:tr w:rsidR="006C079F" w:rsidRPr="00BA0184" w:rsidTr="008D3A03">
        <w:tc>
          <w:tcPr>
            <w:tcW w:w="814" w:type="dxa"/>
          </w:tcPr>
          <w:p w:rsidR="006C079F" w:rsidRPr="00BA0184" w:rsidRDefault="006C079F" w:rsidP="008D3A03">
            <w:pPr>
              <w:spacing w:before="100" w:after="10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8508" w:type="dxa"/>
            <w:vAlign w:val="bottom"/>
          </w:tcPr>
          <w:p w:rsidR="006C079F" w:rsidRPr="00876B8B" w:rsidRDefault="006C079F" w:rsidP="008D3A03">
            <w:pPr>
              <w:spacing w:before="100" w:after="100"/>
              <w:ind w:left="283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</w:pPr>
            <w:r w:rsidRPr="006C079F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Riziko realizovatelnosti projektu po věcné a finanční stránce.</w:t>
            </w:r>
          </w:p>
        </w:tc>
      </w:tr>
      <w:tr w:rsidR="0073354E" w:rsidRPr="00BA0184" w:rsidTr="008D3A03">
        <w:tc>
          <w:tcPr>
            <w:tcW w:w="814" w:type="dxa"/>
          </w:tcPr>
          <w:p w:rsidR="0073354E" w:rsidRDefault="0073354E" w:rsidP="008D3A03">
            <w:pPr>
              <w:spacing w:before="100" w:after="10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8508" w:type="dxa"/>
            <w:vAlign w:val="bottom"/>
          </w:tcPr>
          <w:p w:rsidR="0073354E" w:rsidRPr="0073354E" w:rsidRDefault="0073354E" w:rsidP="008D3A03">
            <w:pPr>
              <w:spacing w:before="100" w:after="100"/>
              <w:ind w:left="283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</w:pPr>
            <w:r w:rsidRPr="0073354E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Riziko neočekávaných nebo nedovolených příjmů.</w:t>
            </w:r>
          </w:p>
        </w:tc>
      </w:tr>
      <w:tr w:rsidR="0073354E" w:rsidRPr="00BA0184" w:rsidTr="008D3A03">
        <w:tc>
          <w:tcPr>
            <w:tcW w:w="814" w:type="dxa"/>
          </w:tcPr>
          <w:p w:rsidR="0073354E" w:rsidRDefault="0073354E" w:rsidP="008D3A03">
            <w:pPr>
              <w:spacing w:before="100" w:after="10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8508" w:type="dxa"/>
            <w:vAlign w:val="bottom"/>
          </w:tcPr>
          <w:p w:rsidR="0073354E" w:rsidRPr="0073354E" w:rsidRDefault="0073354E" w:rsidP="008D3A03">
            <w:pPr>
              <w:spacing w:before="100" w:after="100"/>
              <w:ind w:left="283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cs-CZ"/>
              </w:rPr>
            </w:pPr>
            <w:r w:rsidRPr="0073354E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Riziko nehospodárných a neefektivních aktivit a výdajů.</w:t>
            </w:r>
          </w:p>
        </w:tc>
      </w:tr>
      <w:tr w:rsidR="00CE3A28" w:rsidRPr="00BA0184" w:rsidTr="008D3A03">
        <w:tc>
          <w:tcPr>
            <w:tcW w:w="814" w:type="dxa"/>
          </w:tcPr>
          <w:p w:rsidR="00CE3A28" w:rsidRPr="00BA0184" w:rsidRDefault="00CE3A28" w:rsidP="008D3A03">
            <w:pPr>
              <w:spacing w:before="100" w:after="100"/>
              <w:rPr>
                <w:sz w:val="22"/>
                <w:szCs w:val="22"/>
                <w:lang w:val="cs-CZ"/>
              </w:rPr>
            </w:pPr>
            <w:r w:rsidRPr="00BA018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508" w:type="dxa"/>
            <w:vAlign w:val="bottom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876B8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Specifická kritéria</w:t>
            </w:r>
          </w:p>
        </w:tc>
      </w:tr>
      <w:tr w:rsidR="00CE3A28" w:rsidRPr="00BA0184" w:rsidTr="008D3A03">
        <w:tc>
          <w:tcPr>
            <w:tcW w:w="814" w:type="dxa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BA0184">
              <w:rPr>
                <w:sz w:val="22"/>
                <w:szCs w:val="22"/>
              </w:rPr>
              <w:t>2.1</w:t>
            </w:r>
          </w:p>
        </w:tc>
        <w:tc>
          <w:tcPr>
            <w:tcW w:w="8508" w:type="dxa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876B8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Riziko nedosažení výstupů a realizace projektu v předloženém harmonogramu</w:t>
            </w:r>
          </w:p>
        </w:tc>
      </w:tr>
      <w:tr w:rsidR="00CE3A28" w:rsidRPr="00BA0184" w:rsidTr="008D3A03">
        <w:tc>
          <w:tcPr>
            <w:tcW w:w="814" w:type="dxa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BA0184">
              <w:rPr>
                <w:sz w:val="22"/>
                <w:szCs w:val="22"/>
              </w:rPr>
              <w:t>2.2</w:t>
            </w:r>
          </w:p>
        </w:tc>
        <w:tc>
          <w:tcPr>
            <w:tcW w:w="8508" w:type="dxa"/>
          </w:tcPr>
          <w:p w:rsidR="00CE3A28" w:rsidRPr="00BA0184" w:rsidRDefault="00CE3A28" w:rsidP="008D3A03">
            <w:pPr>
              <w:spacing w:before="100" w:after="100"/>
              <w:ind w:left="283"/>
              <w:rPr>
                <w:sz w:val="22"/>
                <w:szCs w:val="22"/>
                <w:lang w:val="cs-CZ"/>
              </w:rPr>
            </w:pPr>
            <w:r w:rsidRPr="00876B8B">
              <w:rPr>
                <w:rFonts w:asciiTheme="majorHAnsi" w:eastAsia="Times New Roman" w:hAnsiTheme="majorHAnsi"/>
                <w:color w:val="000000"/>
                <w:sz w:val="22"/>
                <w:szCs w:val="22"/>
                <w:lang w:val="cs-CZ" w:eastAsia="cs-CZ"/>
              </w:rPr>
              <w:t>Riziko provádění změn v realizaci projektu</w:t>
            </w:r>
          </w:p>
        </w:tc>
      </w:tr>
    </w:tbl>
    <w:p w:rsidR="00CE3A28" w:rsidRPr="001977A0" w:rsidRDefault="00CE3A28" w:rsidP="00226158">
      <w:pPr>
        <w:pStyle w:val="Pravidla111"/>
      </w:pPr>
      <w:bookmarkStart w:id="242" w:name="_Toc428198367"/>
      <w:bookmarkStart w:id="243" w:name="_Toc436900697"/>
      <w:r w:rsidRPr="00226158">
        <w:t>Ex-ante kontrola</w:t>
      </w:r>
      <w:bookmarkEnd w:id="242"/>
      <w:bookmarkEnd w:id="243"/>
      <w:r w:rsidRPr="00226158">
        <w:t xml:space="preserve"> </w:t>
      </w:r>
    </w:p>
    <w:p w:rsidR="00CE3A28" w:rsidRPr="00C47CC2" w:rsidRDefault="00CE3A28" w:rsidP="00226158">
      <w:pPr>
        <w:jc w:val="both"/>
      </w:pPr>
      <w:r w:rsidRPr="00C47CC2">
        <w:t>Probíhá u projektů vybraných na základě výsledků ex-ante analýzy rizik v souladu s kapitolou 3.6 Obecných pravidel.</w:t>
      </w:r>
    </w:p>
    <w:p w:rsidR="00A37E84" w:rsidRPr="002E422B" w:rsidRDefault="00A37E84" w:rsidP="00226158">
      <w:pPr>
        <w:pStyle w:val="Pravidla11"/>
        <w:numPr>
          <w:ilvl w:val="1"/>
          <w:numId w:val="1"/>
        </w:numPr>
      </w:pPr>
      <w:bookmarkStart w:id="244" w:name="_Toc436900698"/>
      <w:r>
        <w:t>Výběr projektů</w:t>
      </w:r>
      <w:bookmarkEnd w:id="244"/>
    </w:p>
    <w:p w:rsidR="00A37E84" w:rsidRPr="001977A0" w:rsidRDefault="00A37E84" w:rsidP="00A37E84">
      <w:pPr>
        <w:pStyle w:val="Pravidla111"/>
      </w:pPr>
      <w:bookmarkStart w:id="245" w:name="_Toc436900699"/>
      <w:r w:rsidRPr="00426302">
        <w:t xml:space="preserve">Výběr projektů a příprava a vydání </w:t>
      </w:r>
      <w:bookmarkEnd w:id="245"/>
      <w:r w:rsidR="00BC4DB8">
        <w:t>Stanovení výdajů</w:t>
      </w:r>
      <w:r w:rsidRPr="00426302">
        <w:t xml:space="preserve">  </w:t>
      </w:r>
    </w:p>
    <w:p w:rsidR="00A37E84" w:rsidRDefault="00A37E84" w:rsidP="00226158">
      <w:pPr>
        <w:jc w:val="both"/>
        <w:rPr>
          <w:rFonts w:cs="Arial"/>
        </w:rPr>
      </w:pPr>
      <w:r>
        <w:t>Probíhá v souladu s kap. 3.7 až 3.9 Obecných pravidel u žádostí, které úspěšně prošly předchozími fázemi hodnocení.</w:t>
      </w:r>
    </w:p>
    <w:p w:rsidR="00A37E84" w:rsidRDefault="00A37E84" w:rsidP="00226158">
      <w:pPr>
        <w:jc w:val="both"/>
        <w:rPr>
          <w:rFonts w:cs="Arial"/>
        </w:rPr>
      </w:pPr>
    </w:p>
    <w:p w:rsidR="00C65C8D" w:rsidRDefault="00C65C8D" w:rsidP="00226158">
      <w:pPr>
        <w:pStyle w:val="Pravidla1"/>
        <w:pageBreakBefore/>
        <w:numPr>
          <w:ilvl w:val="0"/>
          <w:numId w:val="1"/>
        </w:numPr>
        <w:jc w:val="both"/>
      </w:pPr>
      <w:bookmarkStart w:id="246" w:name="_Toc433128219"/>
      <w:bookmarkStart w:id="247" w:name="_Toc433128297"/>
      <w:bookmarkStart w:id="248" w:name="_Toc433128371"/>
      <w:bookmarkStart w:id="249" w:name="_Toc433128438"/>
      <w:bookmarkStart w:id="250" w:name="_Toc433128884"/>
      <w:bookmarkStart w:id="251" w:name="_Toc433129083"/>
      <w:bookmarkStart w:id="252" w:name="_Toc433129253"/>
      <w:bookmarkStart w:id="253" w:name="_Toc433128220"/>
      <w:bookmarkStart w:id="254" w:name="_Toc433128298"/>
      <w:bookmarkStart w:id="255" w:name="_Toc433128372"/>
      <w:bookmarkStart w:id="256" w:name="_Toc433128439"/>
      <w:bookmarkStart w:id="257" w:name="_Toc433128885"/>
      <w:bookmarkStart w:id="258" w:name="_Toc433129084"/>
      <w:bookmarkStart w:id="259" w:name="_Toc433129254"/>
      <w:bookmarkStart w:id="260" w:name="_Toc424905732"/>
      <w:bookmarkStart w:id="261" w:name="_Toc436900700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r w:rsidRPr="005D35E5">
        <w:lastRenderedPageBreak/>
        <w:t>Monitorování projektů</w:t>
      </w:r>
      <w:bookmarkEnd w:id="260"/>
      <w:bookmarkEnd w:id="261"/>
    </w:p>
    <w:p w:rsidR="00C65C8D" w:rsidRDefault="00C65C8D" w:rsidP="00603C40">
      <w:pPr>
        <w:tabs>
          <w:tab w:val="left" w:pos="0"/>
        </w:tabs>
      </w:pPr>
    </w:p>
    <w:p w:rsidR="00D27B52" w:rsidRPr="00EF2C2C" w:rsidRDefault="00D27B52" w:rsidP="00226158">
      <w:pPr>
        <w:tabs>
          <w:tab w:val="left" w:pos="0"/>
        </w:tabs>
        <w:jc w:val="both"/>
        <w:rPr>
          <w:rFonts w:cs="Arial"/>
        </w:rPr>
      </w:pPr>
      <w:bookmarkStart w:id="262" w:name="_Toc428198372"/>
      <w:r w:rsidRPr="00EF2C2C">
        <w:rPr>
          <w:rFonts w:cs="Arial"/>
        </w:rPr>
        <w:t>Monitorování postupu projektů se uskutečňuje prostřednictvím:</w:t>
      </w:r>
    </w:p>
    <w:p w:rsidR="00D27B52" w:rsidRPr="00EF2C2C" w:rsidRDefault="00D27B52" w:rsidP="00226158">
      <w:pPr>
        <w:pStyle w:val="Odstavecseseznamem"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rFonts w:cs="Arial"/>
        </w:rPr>
      </w:pPr>
      <w:r w:rsidRPr="00EF2C2C">
        <w:rPr>
          <w:rFonts w:cs="Arial"/>
        </w:rPr>
        <w:t>Zpráv o realizaci projektu (dále jen Zpráva nebo „</w:t>
      </w:r>
      <w:proofErr w:type="spellStart"/>
      <w:r w:rsidRPr="00EF2C2C">
        <w:rPr>
          <w:rFonts w:cs="Arial"/>
        </w:rPr>
        <w:t>ZoR</w:t>
      </w:r>
      <w:proofErr w:type="spellEnd"/>
      <w:r w:rsidR="00A51F8A">
        <w:rPr>
          <w:rFonts w:cs="Arial"/>
        </w:rPr>
        <w:t xml:space="preserve"> projektu</w:t>
      </w:r>
      <w:r w:rsidRPr="00EF2C2C">
        <w:rPr>
          <w:rFonts w:cs="Arial"/>
        </w:rPr>
        <w:t>“),</w:t>
      </w:r>
    </w:p>
    <w:p w:rsidR="00D27B52" w:rsidRPr="00EF2C2C" w:rsidRDefault="00D27B52" w:rsidP="00226158">
      <w:pPr>
        <w:pStyle w:val="Odstavecseseznamem"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rFonts w:cs="Arial"/>
        </w:rPr>
      </w:pPr>
      <w:r w:rsidRPr="00EF2C2C">
        <w:rPr>
          <w:rFonts w:cs="Arial"/>
        </w:rPr>
        <w:t>Zpráv o udržitelnosti projektu (dále jen Zpráva nebo „</w:t>
      </w:r>
      <w:proofErr w:type="spellStart"/>
      <w:r w:rsidRPr="00EF2C2C">
        <w:rPr>
          <w:rFonts w:cs="Arial"/>
        </w:rPr>
        <w:t>ZoU</w:t>
      </w:r>
      <w:proofErr w:type="spellEnd"/>
      <w:r w:rsidR="00A51F8A">
        <w:rPr>
          <w:rFonts w:cs="Arial"/>
        </w:rPr>
        <w:t xml:space="preserve"> projektu</w:t>
      </w:r>
      <w:r w:rsidRPr="00EF2C2C">
        <w:rPr>
          <w:rFonts w:cs="Arial"/>
        </w:rPr>
        <w:t>“).</w:t>
      </w:r>
    </w:p>
    <w:p w:rsidR="00D27B52" w:rsidRPr="00EF2C2C" w:rsidRDefault="00D27B52" w:rsidP="00226158">
      <w:pPr>
        <w:tabs>
          <w:tab w:val="left" w:pos="0"/>
        </w:tabs>
        <w:jc w:val="both"/>
        <w:rPr>
          <w:rFonts w:cs="Arial"/>
        </w:rPr>
      </w:pPr>
      <w:r w:rsidRPr="00EF2C2C">
        <w:rPr>
          <w:rFonts w:cs="Arial"/>
        </w:rPr>
        <w:t>Předkládání Zpráv probíhá v souladu s kap. 14 Obecných pravidel.</w:t>
      </w:r>
    </w:p>
    <w:p w:rsidR="00D27B52" w:rsidRDefault="00D27B52" w:rsidP="00226158">
      <w:pPr>
        <w:jc w:val="both"/>
        <w:rPr>
          <w:rFonts w:cs="Arial"/>
        </w:rPr>
      </w:pPr>
      <w:r w:rsidRPr="00EF2C2C">
        <w:rPr>
          <w:rFonts w:cs="Arial"/>
        </w:rPr>
        <w:t xml:space="preserve">Spolu s Průběžnou/Závěrečnou </w:t>
      </w:r>
      <w:proofErr w:type="spellStart"/>
      <w:r w:rsidRPr="00EF2C2C">
        <w:rPr>
          <w:rFonts w:cs="Arial"/>
        </w:rPr>
        <w:t>ZoR</w:t>
      </w:r>
      <w:proofErr w:type="spellEnd"/>
      <w:r w:rsidRPr="00EF2C2C">
        <w:rPr>
          <w:rFonts w:cs="Arial"/>
        </w:rPr>
        <w:t xml:space="preserve"> projektu předkládá příjemce také Zjednodušenou žádost o platbu (dále jen „</w:t>
      </w:r>
      <w:proofErr w:type="spellStart"/>
      <w:r w:rsidRPr="00EF2C2C">
        <w:rPr>
          <w:rFonts w:cs="Arial"/>
        </w:rPr>
        <w:t>ZŽoP</w:t>
      </w:r>
      <w:proofErr w:type="spellEnd"/>
      <w:r w:rsidRPr="00EF2C2C">
        <w:rPr>
          <w:rFonts w:cs="Arial"/>
        </w:rPr>
        <w:t>“), viz kapitola 18.5 Obecných pravidel.</w:t>
      </w:r>
    </w:p>
    <w:p w:rsidR="00BC4DB8" w:rsidRDefault="00BC4DB8" w:rsidP="00BC4DB8">
      <w:pPr>
        <w:jc w:val="both"/>
      </w:pPr>
      <w:r>
        <w:t xml:space="preserve">Realizace projektu může být rozdělena na etapy. </w:t>
      </w:r>
      <w:r w:rsidRPr="00E23F3B">
        <w:t>Příjemce je povinen dodržovat etapy stanovené v</w:t>
      </w:r>
      <w:r>
        <w:t> </w:t>
      </w:r>
      <w:r w:rsidRPr="00E23F3B">
        <w:t>žádosti</w:t>
      </w:r>
      <w:r>
        <w:t xml:space="preserve"> o podporu, </w:t>
      </w:r>
      <w:r w:rsidRPr="00CB13B8">
        <w:rPr>
          <w:rFonts w:cs="Arial"/>
        </w:rPr>
        <w:t xml:space="preserve">tj. předkládat na základě stanovených etap průběžné </w:t>
      </w:r>
      <w:proofErr w:type="spellStart"/>
      <w:r>
        <w:rPr>
          <w:rFonts w:cs="Arial"/>
        </w:rPr>
        <w:t>ZoR</w:t>
      </w:r>
      <w:proofErr w:type="spellEnd"/>
      <w:r w:rsidRPr="00CB13B8">
        <w:rPr>
          <w:rFonts w:cs="Arial"/>
        </w:rPr>
        <w:t xml:space="preserve"> projektu</w:t>
      </w:r>
      <w:r>
        <w:rPr>
          <w:rFonts w:cs="Arial"/>
        </w:rPr>
        <w:t>, včetně</w:t>
      </w:r>
      <w:r w:rsidRPr="00CB13B8">
        <w:rPr>
          <w:rFonts w:cs="Arial"/>
        </w:rPr>
        <w:t xml:space="preserve"> </w:t>
      </w:r>
      <w:r>
        <w:rPr>
          <w:rFonts w:cs="Arial"/>
        </w:rPr>
        <w:t>Z</w:t>
      </w:r>
      <w:r w:rsidRPr="00CB13B8">
        <w:rPr>
          <w:rFonts w:cs="Arial"/>
        </w:rPr>
        <w:t xml:space="preserve">jednodušené </w:t>
      </w:r>
      <w:r>
        <w:rPr>
          <w:rFonts w:cs="Arial"/>
        </w:rPr>
        <w:t>ž</w:t>
      </w:r>
      <w:r w:rsidRPr="00CB13B8">
        <w:rPr>
          <w:rFonts w:cs="Arial"/>
        </w:rPr>
        <w:t>ádosti o platbu</w:t>
      </w:r>
      <w:r>
        <w:t>.</w:t>
      </w:r>
      <w:r w:rsidRPr="00E23F3B">
        <w:t xml:space="preserve"> </w:t>
      </w:r>
    </w:p>
    <w:p w:rsidR="00BC4DB8" w:rsidRDefault="00BC4DB8" w:rsidP="00BC4DB8">
      <w:r>
        <w:t>Minimální délka jedné etapy je stanovena na 3 měsíce.</w:t>
      </w:r>
    </w:p>
    <w:p w:rsidR="00BC4DB8" w:rsidRDefault="00BC4DB8" w:rsidP="00226158">
      <w:pPr>
        <w:jc w:val="both"/>
        <w:rPr>
          <w:rFonts w:cs="Arial"/>
        </w:rPr>
      </w:pPr>
    </w:p>
    <w:p w:rsidR="00A37E84" w:rsidRDefault="00A37E84" w:rsidP="00D27B52">
      <w:pPr>
        <w:spacing w:line="276" w:lineRule="auto"/>
        <w:jc w:val="both"/>
        <w:rPr>
          <w:rFonts w:cs="Arial"/>
        </w:rPr>
      </w:pPr>
    </w:p>
    <w:p w:rsidR="00A37E84" w:rsidRDefault="00A37E84" w:rsidP="00D27B52">
      <w:pPr>
        <w:spacing w:line="276" w:lineRule="auto"/>
        <w:jc w:val="both"/>
        <w:rPr>
          <w:rFonts w:cs="Arial"/>
        </w:rPr>
      </w:pPr>
    </w:p>
    <w:p w:rsidR="00D27B52" w:rsidRPr="00EF2C2C" w:rsidRDefault="00D27B52" w:rsidP="00226158">
      <w:pPr>
        <w:pStyle w:val="Pravidla1"/>
        <w:pageBreakBefore/>
        <w:numPr>
          <w:ilvl w:val="0"/>
          <w:numId w:val="1"/>
        </w:numPr>
        <w:jc w:val="both"/>
      </w:pPr>
      <w:bookmarkStart w:id="263" w:name="_Toc433128222"/>
      <w:bookmarkStart w:id="264" w:name="_Toc433128300"/>
      <w:bookmarkStart w:id="265" w:name="_Toc433128374"/>
      <w:bookmarkStart w:id="266" w:name="_Toc433128441"/>
      <w:bookmarkStart w:id="267" w:name="_Toc433128887"/>
      <w:bookmarkStart w:id="268" w:name="_Toc433129086"/>
      <w:bookmarkStart w:id="269" w:name="_Toc433129256"/>
      <w:bookmarkStart w:id="270" w:name="_Toc430262770"/>
      <w:bookmarkStart w:id="271" w:name="_Toc43690070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 w:rsidRPr="00EF2C2C">
        <w:lastRenderedPageBreak/>
        <w:t>Financování</w:t>
      </w:r>
      <w:bookmarkEnd w:id="270"/>
      <w:bookmarkEnd w:id="271"/>
    </w:p>
    <w:p w:rsidR="00D27B52" w:rsidRPr="00EF2C2C" w:rsidRDefault="00D27B52" w:rsidP="00603C40">
      <w:pPr>
        <w:tabs>
          <w:tab w:val="left" w:pos="0"/>
        </w:tabs>
        <w:rPr>
          <w:rFonts w:cs="Arial"/>
        </w:rPr>
      </w:pPr>
    </w:p>
    <w:p w:rsidR="00BC4DB8" w:rsidRDefault="00D27B52" w:rsidP="00226158">
      <w:pPr>
        <w:jc w:val="both"/>
        <w:rPr>
          <w:rFonts w:cs="Arial"/>
        </w:rPr>
      </w:pPr>
      <w:r w:rsidRPr="00EF2C2C">
        <w:rPr>
          <w:rFonts w:cs="Arial"/>
        </w:rPr>
        <w:t xml:space="preserve">Podrobnosti k financování jsou uvedeny v kap. 18 Obecných pravidel. </w:t>
      </w:r>
    </w:p>
    <w:p w:rsidR="00BC4DB8" w:rsidRPr="00BC24D2" w:rsidRDefault="00BC4DB8" w:rsidP="00226158">
      <w:pPr>
        <w:jc w:val="both"/>
        <w:rPr>
          <w:rFonts w:cs="Arial"/>
          <w:b/>
        </w:rPr>
      </w:pPr>
      <w:r w:rsidRPr="00BC24D2">
        <w:rPr>
          <w:rFonts w:cs="Arial"/>
          <w:b/>
        </w:rPr>
        <w:t>Financování projektů</w:t>
      </w:r>
    </w:p>
    <w:p w:rsidR="00D27B52" w:rsidRPr="00744C25" w:rsidRDefault="00D27B52" w:rsidP="00226158">
      <w:pPr>
        <w:jc w:val="both"/>
        <w:rPr>
          <w:rFonts w:cstheme="minorHAnsi"/>
          <w:lang w:eastAsia="ar-SA"/>
        </w:rPr>
      </w:pPr>
      <w:r>
        <w:rPr>
          <w:rFonts w:cs="Arial"/>
        </w:rPr>
        <w:t xml:space="preserve">ŘO IROP stanovil pro tuto výzvu </w:t>
      </w:r>
      <w:r w:rsidRPr="001A61DD">
        <w:rPr>
          <w:rFonts w:cstheme="minorHAnsi"/>
          <w:lang w:eastAsia="ar-SA"/>
        </w:rPr>
        <w:t>ex-post financování</w:t>
      </w:r>
      <w:r w:rsidR="00A37E84">
        <w:rPr>
          <w:rFonts w:cstheme="minorHAnsi"/>
          <w:lang w:eastAsia="ar-SA"/>
        </w:rPr>
        <w:t>.</w:t>
      </w:r>
      <w:r w:rsidRPr="001A61DD">
        <w:rPr>
          <w:rFonts w:cstheme="minorHAnsi"/>
          <w:lang w:eastAsia="ar-SA"/>
        </w:rPr>
        <w:t xml:space="preserve"> </w:t>
      </w:r>
      <w:r w:rsidR="00A37E84">
        <w:t>Př</w:t>
      </w:r>
      <w:r w:rsidRPr="001A61DD">
        <w:t xml:space="preserve">íjemce </w:t>
      </w:r>
      <w:r>
        <w:t>podává</w:t>
      </w:r>
      <w:r w:rsidRPr="001A61DD">
        <w:t xml:space="preserve"> po </w:t>
      </w:r>
      <w:r w:rsidR="00A37E84">
        <w:t>skončení etapy</w:t>
      </w:r>
      <w:r w:rsidR="00BC4DB8">
        <w:t xml:space="preserve"> Zjednodušenou žádost o platbu (dále jen „</w:t>
      </w:r>
      <w:proofErr w:type="spellStart"/>
      <w:r w:rsidRPr="001A61DD">
        <w:t>ZŽoP</w:t>
      </w:r>
      <w:proofErr w:type="spellEnd"/>
      <w:r w:rsidR="00BC4DB8">
        <w:t>“)</w:t>
      </w:r>
      <w:r w:rsidRPr="001A61DD">
        <w:t xml:space="preserve"> a doklady prokazující úhradu vynaložených výdajů</w:t>
      </w:r>
      <w:r w:rsidR="00A37E84">
        <w:t>. F</w:t>
      </w:r>
      <w:r w:rsidRPr="001A61DD">
        <w:t>inanční prostředky příjemce obdrží po schválení žádosti o platbu na ŘO</w:t>
      </w:r>
      <w:r w:rsidR="00A37E84">
        <w:t xml:space="preserve"> IROP.</w:t>
      </w:r>
    </w:p>
    <w:p w:rsidR="00D27B52" w:rsidRPr="00744C25" w:rsidRDefault="00D27B52" w:rsidP="00226158">
      <w:pPr>
        <w:widowControl w:val="0"/>
        <w:tabs>
          <w:tab w:val="left" w:pos="720"/>
        </w:tabs>
        <w:adjustRightInd w:val="0"/>
        <w:spacing w:before="120" w:after="240"/>
        <w:jc w:val="both"/>
        <w:textAlignment w:val="baseline"/>
        <w:rPr>
          <w:rFonts w:cstheme="minorHAnsi"/>
        </w:rPr>
      </w:pPr>
      <w:r w:rsidRPr="00744C25">
        <w:rPr>
          <w:rFonts w:cstheme="minorHAnsi"/>
        </w:rPr>
        <w:t xml:space="preserve">Příjemci typu OSS hradí výdaje na realizaci projektu ze své kapitoly </w:t>
      </w:r>
      <w:r w:rsidR="00BC4DB8">
        <w:rPr>
          <w:rFonts w:cstheme="minorHAnsi"/>
        </w:rPr>
        <w:t>státního rozpočtu</w:t>
      </w:r>
      <w:r w:rsidRPr="00744C25">
        <w:rPr>
          <w:rFonts w:cstheme="minorHAnsi"/>
        </w:rPr>
        <w:t xml:space="preserve">, ve které jsou finanční prostředky na národní spolufinancování a předfinancování prostředků ze zdrojů SF </w:t>
      </w:r>
      <w:proofErr w:type="spellStart"/>
      <w:r w:rsidRPr="00744C25">
        <w:rPr>
          <w:rFonts w:cstheme="minorHAnsi"/>
        </w:rPr>
        <w:t>narozpočtovány</w:t>
      </w:r>
      <w:proofErr w:type="spellEnd"/>
      <w:r w:rsidRPr="00744C25">
        <w:rPr>
          <w:rFonts w:cstheme="minorHAnsi"/>
        </w:rPr>
        <w:t xml:space="preserve">. Podávaná Žádost o platbu je evidovaná na formulářích pro ex – post financování (podrobněji viz </w:t>
      </w:r>
      <w:r w:rsidR="00BC4DB8" w:rsidRPr="00744C25">
        <w:rPr>
          <w:rFonts w:cstheme="minorHAnsi"/>
        </w:rPr>
        <w:t>kapitol</w:t>
      </w:r>
      <w:r w:rsidR="00BC4DB8">
        <w:rPr>
          <w:rFonts w:cstheme="minorHAnsi"/>
        </w:rPr>
        <w:t>a</w:t>
      </w:r>
      <w:r w:rsidR="00BC4DB8" w:rsidRPr="00744C25">
        <w:rPr>
          <w:rFonts w:cstheme="minorHAnsi"/>
        </w:rPr>
        <w:t xml:space="preserve"> </w:t>
      </w:r>
      <w:r w:rsidRPr="00744C25">
        <w:rPr>
          <w:rFonts w:cstheme="minorHAnsi"/>
        </w:rPr>
        <w:t xml:space="preserve">18.7 Obecných pravidel). </w:t>
      </w:r>
      <w:bookmarkStart w:id="272" w:name="_Toc427681606"/>
      <w:bookmarkStart w:id="273" w:name="_Toc428198371"/>
      <w:bookmarkEnd w:id="272"/>
      <w:bookmarkEnd w:id="273"/>
    </w:p>
    <w:p w:rsidR="00D27B52" w:rsidRPr="00EF2C2C" w:rsidRDefault="00D27B52" w:rsidP="00226158">
      <w:pPr>
        <w:pStyle w:val="Pravidla11"/>
        <w:numPr>
          <w:ilvl w:val="1"/>
          <w:numId w:val="1"/>
        </w:numPr>
      </w:pPr>
      <w:bookmarkStart w:id="274" w:name="_Toc430262771"/>
      <w:bookmarkStart w:id="275" w:name="_Toc436900702"/>
      <w:r w:rsidRPr="00EF2C2C">
        <w:t>Zjednodušená žádost o platbu</w:t>
      </w:r>
      <w:bookmarkEnd w:id="274"/>
      <w:bookmarkEnd w:id="275"/>
    </w:p>
    <w:p w:rsidR="00603C40" w:rsidRDefault="00BC4DB8" w:rsidP="00671E54">
      <w:proofErr w:type="spellStart"/>
      <w:r w:rsidRPr="00BC4DB8">
        <w:rPr>
          <w:rFonts w:cs="Arial"/>
        </w:rPr>
        <w:t>ZŽoP</w:t>
      </w:r>
      <w:proofErr w:type="spellEnd"/>
      <w:r w:rsidRPr="00BC4DB8">
        <w:rPr>
          <w:rFonts w:cs="Arial"/>
        </w:rPr>
        <w:t xml:space="preserve"> příjemce podává spolu s Průběžnou/Závěrečnou </w:t>
      </w:r>
      <w:proofErr w:type="spellStart"/>
      <w:r w:rsidRPr="00BC4DB8">
        <w:rPr>
          <w:rFonts w:cs="Arial"/>
        </w:rPr>
        <w:t>ZoR</w:t>
      </w:r>
      <w:proofErr w:type="spellEnd"/>
      <w:r w:rsidRPr="00BC4DB8">
        <w:rPr>
          <w:rFonts w:cs="Arial"/>
        </w:rPr>
        <w:t xml:space="preserve"> projektu. Postup podání </w:t>
      </w:r>
      <w:proofErr w:type="spellStart"/>
      <w:r w:rsidRPr="00BC4DB8">
        <w:rPr>
          <w:rFonts w:cs="Arial"/>
        </w:rPr>
        <w:t>ZŽoP</w:t>
      </w:r>
      <w:proofErr w:type="spellEnd"/>
      <w:r w:rsidRPr="00BC4DB8">
        <w:rPr>
          <w:rFonts w:cs="Arial"/>
        </w:rPr>
        <w:t xml:space="preserve"> je popsán v kapitole 18.5 Obecných pravidel.</w:t>
      </w:r>
      <w:r>
        <w:rPr>
          <w:rFonts w:cs="Arial"/>
        </w:rPr>
        <w:t xml:space="preserve"> </w:t>
      </w:r>
    </w:p>
    <w:p w:rsidR="00603C40" w:rsidRDefault="00603C40" w:rsidP="00671E54"/>
    <w:p w:rsidR="00603C40" w:rsidRDefault="00603C40" w:rsidP="00671E54"/>
    <w:p w:rsidR="00C65C8D" w:rsidRDefault="00C65C8D" w:rsidP="00226158">
      <w:pPr>
        <w:pStyle w:val="Pravidla1"/>
        <w:pageBreakBefore/>
        <w:numPr>
          <w:ilvl w:val="0"/>
          <w:numId w:val="1"/>
        </w:numPr>
        <w:jc w:val="both"/>
      </w:pPr>
      <w:bookmarkStart w:id="276" w:name="_Toc433128226"/>
      <w:bookmarkStart w:id="277" w:name="_Toc433128304"/>
      <w:bookmarkStart w:id="278" w:name="_Toc433128378"/>
      <w:bookmarkStart w:id="279" w:name="_Toc433128445"/>
      <w:bookmarkStart w:id="280" w:name="_Toc433128891"/>
      <w:bookmarkStart w:id="281" w:name="_Toc433129090"/>
      <w:bookmarkStart w:id="282" w:name="_Toc433129260"/>
      <w:bookmarkStart w:id="283" w:name="_Toc424905764"/>
      <w:bookmarkStart w:id="284" w:name="_Toc436900703"/>
      <w:bookmarkEnd w:id="276"/>
      <w:bookmarkEnd w:id="277"/>
      <w:bookmarkEnd w:id="278"/>
      <w:bookmarkEnd w:id="279"/>
      <w:bookmarkEnd w:id="280"/>
      <w:bookmarkEnd w:id="281"/>
      <w:bookmarkEnd w:id="282"/>
      <w:r w:rsidRPr="00A37A8B">
        <w:lastRenderedPageBreak/>
        <w:t>Udržitelnost</w:t>
      </w:r>
      <w:bookmarkEnd w:id="283"/>
      <w:bookmarkEnd w:id="284"/>
    </w:p>
    <w:p w:rsidR="00C65C8D" w:rsidRDefault="00C65C8D" w:rsidP="00662C07"/>
    <w:p w:rsidR="00D27B52" w:rsidRDefault="00D27B52" w:rsidP="00D27B52">
      <w:pPr>
        <w:jc w:val="both"/>
        <w:rPr>
          <w:rFonts w:cs="Arial"/>
        </w:rPr>
      </w:pPr>
      <w:r w:rsidRPr="00246157">
        <w:rPr>
          <w:rFonts w:cs="Arial"/>
        </w:rPr>
        <w:t xml:space="preserve">Udržitelnost je doba, po kterou příjemce musí zachovat výstupy projektu v souladu s čl. 71 obecného nařízení. K udržení výstupů je příjemce zavázán v Podmínkách </w:t>
      </w:r>
      <w:r w:rsidR="00603C40">
        <w:rPr>
          <w:rFonts w:cs="Arial"/>
        </w:rPr>
        <w:t>Stanovení výdajů</w:t>
      </w:r>
      <w:r w:rsidRPr="00246157">
        <w:rPr>
          <w:rFonts w:cs="Arial"/>
        </w:rPr>
        <w:t>.</w:t>
      </w:r>
    </w:p>
    <w:p w:rsidR="00D27B52" w:rsidRDefault="00D27B52" w:rsidP="00D27B52">
      <w:pPr>
        <w:jc w:val="both"/>
        <w:rPr>
          <w:rFonts w:cs="Arial"/>
        </w:rPr>
      </w:pPr>
      <w:r w:rsidRPr="00246157">
        <w:rPr>
          <w:rFonts w:cs="Arial"/>
        </w:rPr>
        <w:t xml:space="preserve">Doba udržitelnosti je stanovená na pět let od provedení poslední platby příjemci ze strany ŘO IROP, tzn. od data nastavení centrálního stavu „Projekt finančně ukončen ze strany ŘO“ v MS2014+. </w:t>
      </w:r>
      <w:r w:rsidR="00B30682">
        <w:rPr>
          <w:rFonts w:cs="Arial"/>
        </w:rPr>
        <w:t>Tento stav</w:t>
      </w:r>
      <w:r w:rsidRPr="00246157">
        <w:rPr>
          <w:rFonts w:cs="Arial"/>
        </w:rPr>
        <w:t xml:space="preserve"> bude nastaven po schválení závěrečné </w:t>
      </w:r>
      <w:proofErr w:type="spellStart"/>
      <w:r w:rsidRPr="00246157">
        <w:rPr>
          <w:rFonts w:cs="Arial"/>
        </w:rPr>
        <w:t>ŽoP</w:t>
      </w:r>
      <w:proofErr w:type="spellEnd"/>
      <w:r w:rsidRPr="00246157">
        <w:rPr>
          <w:rFonts w:cs="Arial"/>
        </w:rPr>
        <w:t xml:space="preserve"> ve </w:t>
      </w:r>
      <w:r w:rsidR="00D16DE8">
        <w:rPr>
          <w:rFonts w:cs="Arial"/>
        </w:rPr>
        <w:br/>
      </w:r>
      <w:r w:rsidRPr="00246157">
        <w:rPr>
          <w:rFonts w:cs="Arial"/>
        </w:rPr>
        <w:t>2. stupni. O zahájení doby udržitelnosti je příjemce informován CRR.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16DE8" w:rsidRPr="00EF2C2C" w:rsidTr="00BC24D2">
        <w:trPr>
          <w:trHeight w:val="929"/>
        </w:trPr>
        <w:tc>
          <w:tcPr>
            <w:tcW w:w="9322" w:type="dxa"/>
          </w:tcPr>
          <w:p w:rsidR="00D16DE8" w:rsidRPr="00226158" w:rsidRDefault="00D16DE8" w:rsidP="0096517E">
            <w:pPr>
              <w:spacing w:after="0"/>
              <w:jc w:val="both"/>
              <w:rPr>
                <w:rFonts w:cs="Arial"/>
                <w:b/>
                <w:lang w:val="cs-CZ"/>
              </w:rPr>
            </w:pPr>
            <w:r w:rsidRPr="00F54F72">
              <w:rPr>
                <w:rFonts w:cs="Arial"/>
                <w:b/>
                <w:lang w:val="cs-CZ"/>
              </w:rPr>
              <w:t>UPOZORNĚNÍ</w:t>
            </w:r>
          </w:p>
          <w:p w:rsidR="00D16DE8" w:rsidRDefault="00D16DE8" w:rsidP="0096517E">
            <w:pPr>
              <w:spacing w:after="0"/>
              <w:jc w:val="both"/>
              <w:rPr>
                <w:rFonts w:cs="Arial"/>
                <w:lang w:val="cs-CZ"/>
              </w:rPr>
            </w:pPr>
          </w:p>
          <w:p w:rsidR="00D16DE8" w:rsidRPr="00336263" w:rsidRDefault="00D16DE8" w:rsidP="00D16DE8">
            <w:pPr>
              <w:spacing w:after="0"/>
              <w:jc w:val="both"/>
              <w:rPr>
                <w:rFonts w:cs="Arial"/>
                <w:lang w:val="cs-CZ"/>
              </w:rPr>
            </w:pPr>
            <w:r w:rsidRPr="00336263">
              <w:rPr>
                <w:rFonts w:cs="Arial"/>
                <w:lang w:val="cs-CZ"/>
              </w:rPr>
              <w:t xml:space="preserve">Povinnosti příjemce v době udržitelnosti jsou definovány v kap. 20 Obecných pravidel. </w:t>
            </w:r>
          </w:p>
          <w:p w:rsidR="00D16DE8" w:rsidRPr="00336263" w:rsidRDefault="00D16DE8" w:rsidP="00D16DE8">
            <w:pPr>
              <w:spacing w:after="0"/>
              <w:jc w:val="both"/>
              <w:rPr>
                <w:rFonts w:cs="Arial"/>
                <w:lang w:val="cs-CZ"/>
              </w:rPr>
            </w:pPr>
          </w:p>
          <w:p w:rsidR="00D16DE8" w:rsidRPr="00336263" w:rsidRDefault="00D16DE8" w:rsidP="00D16DE8">
            <w:pPr>
              <w:spacing w:after="0"/>
              <w:jc w:val="both"/>
              <w:rPr>
                <w:rFonts w:cs="Arial"/>
                <w:lang w:val="cs-CZ"/>
              </w:rPr>
            </w:pPr>
            <w:r w:rsidRPr="00336263">
              <w:rPr>
                <w:rFonts w:cs="Arial"/>
                <w:lang w:val="cs-CZ"/>
              </w:rPr>
              <w:t>V rámci výzvy č. 17 je příjemce po celou dobu udržitelnosti zároveň povinen:</w:t>
            </w:r>
          </w:p>
          <w:p w:rsidR="00D16DE8" w:rsidRPr="00336263" w:rsidRDefault="00D16DE8" w:rsidP="00BC24D2">
            <w:pPr>
              <w:pStyle w:val="Odstavecseseznamem"/>
              <w:numPr>
                <w:ilvl w:val="0"/>
                <w:numId w:val="63"/>
              </w:numPr>
              <w:spacing w:after="0"/>
              <w:jc w:val="both"/>
              <w:rPr>
                <w:rFonts w:cs="Arial"/>
                <w:lang w:val="cs-CZ"/>
              </w:rPr>
            </w:pPr>
            <w:r w:rsidRPr="00336263">
              <w:rPr>
                <w:rFonts w:cs="Arial"/>
                <w:lang w:val="cs-CZ"/>
              </w:rPr>
              <w:t>zajistit, aby pořízený in</w:t>
            </w:r>
            <w:bookmarkStart w:id="285" w:name="_GoBack"/>
            <w:bookmarkEnd w:id="285"/>
            <w:r w:rsidRPr="00336263">
              <w:rPr>
                <w:rFonts w:cs="Arial"/>
                <w:lang w:val="cs-CZ"/>
              </w:rPr>
              <w:t>formační systém a jeho funkcionality sloužily svému účelu a umožňovaly bezproblémový výkon agend s tímto účelem spjatých, a to zejména se zohledněním maximálně přípustné doby odstávky systému či akceptovatelného výpadku,</w:t>
            </w:r>
          </w:p>
          <w:p w:rsidR="00D16DE8" w:rsidRPr="00BC24D2" w:rsidRDefault="00D16DE8" w:rsidP="00BC24D2">
            <w:pPr>
              <w:pStyle w:val="Odstavecseseznamem"/>
              <w:numPr>
                <w:ilvl w:val="0"/>
                <w:numId w:val="63"/>
              </w:numPr>
              <w:spacing w:after="0"/>
              <w:jc w:val="both"/>
              <w:rPr>
                <w:rFonts w:cs="Arial"/>
                <w:b/>
                <w:lang w:val="cs-CZ"/>
              </w:rPr>
            </w:pPr>
            <w:r w:rsidRPr="00336263">
              <w:rPr>
                <w:rFonts w:cs="Arial"/>
                <w:lang w:val="cs-CZ"/>
              </w:rPr>
              <w:t>zajistit financování veškerých výdajů spojených s provozem a údržbou informačního systému.</w:t>
            </w:r>
          </w:p>
        </w:tc>
      </w:tr>
    </w:tbl>
    <w:p w:rsidR="00D27B52" w:rsidRPr="009A7CB8" w:rsidRDefault="00D27B52" w:rsidP="00BC24D2">
      <w:pPr>
        <w:suppressAutoHyphens w:val="0"/>
        <w:jc w:val="both"/>
        <w:rPr>
          <w:rFonts w:cs="Arial"/>
        </w:rPr>
      </w:pPr>
    </w:p>
    <w:p w:rsidR="00D27B52" w:rsidRPr="00EF2C2C" w:rsidRDefault="00D27B52" w:rsidP="00D2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EF2C2C">
        <w:rPr>
          <w:rFonts w:cs="Arial"/>
          <w:b/>
        </w:rPr>
        <w:t xml:space="preserve">DOPORUČENÍ </w:t>
      </w:r>
    </w:p>
    <w:p w:rsidR="00C65C8D" w:rsidRDefault="00D27B52" w:rsidP="0022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F2C2C">
        <w:rPr>
          <w:rFonts w:cs="Arial"/>
        </w:rPr>
        <w:t xml:space="preserve">Doporučujeme příjemcům sjednat si pojištění majetku pořízeného z dotace IROP. Pojištění je vhodné zejména pro případ, kdy v průběhu realizace projektu nebo v období </w:t>
      </w:r>
      <w:r>
        <w:rPr>
          <w:rFonts w:cs="Arial"/>
        </w:rPr>
        <w:t>udržitelnosti</w:t>
      </w:r>
      <w:r w:rsidRPr="00EF2C2C">
        <w:rPr>
          <w:rFonts w:cs="Arial"/>
        </w:rPr>
        <w:t xml:space="preserve"> dojde ke zničení nebo poškození majetku pořízeného z dotace. Příjemce nebude schopen naplnit účel projektu a zachovat po stanovené období výsledky realizace projektu a bude povinen vyplacenou dotaci vrátit. Pojištění majetku není povinné a výdaje na něj nejsou způsobilé.</w:t>
      </w:r>
    </w:p>
    <w:p w:rsidR="00603C40" w:rsidRDefault="00603C40" w:rsidP="00226158"/>
    <w:p w:rsidR="00603C40" w:rsidRDefault="00603C40">
      <w:pPr>
        <w:suppressAutoHyphens w:val="0"/>
        <w:spacing w:after="0" w:line="276" w:lineRule="auto"/>
        <w:rPr>
          <w:rFonts w:ascii="Times New Roman" w:hAnsi="Times New Roman"/>
          <w:b/>
          <w:bCs/>
          <w:color w:val="000000"/>
          <w:sz w:val="36"/>
          <w:szCs w:val="28"/>
        </w:rPr>
      </w:pPr>
      <w:r>
        <w:br w:type="page"/>
      </w:r>
    </w:p>
    <w:p w:rsidR="00A3246B" w:rsidRDefault="00E25E50" w:rsidP="00226158">
      <w:pPr>
        <w:pStyle w:val="Pravidla1"/>
        <w:pageBreakBefore/>
        <w:numPr>
          <w:ilvl w:val="0"/>
          <w:numId w:val="1"/>
        </w:numPr>
        <w:jc w:val="both"/>
      </w:pPr>
      <w:bookmarkStart w:id="286" w:name="_Toc436900704"/>
      <w:r>
        <w:lastRenderedPageBreak/>
        <w:t>Seznam</w:t>
      </w:r>
      <w:r w:rsidR="00060A8F">
        <w:t xml:space="preserve"> zkratek </w:t>
      </w:r>
      <w:bookmarkEnd w:id="286"/>
    </w:p>
    <w:p w:rsidR="00060A8F" w:rsidRDefault="00060A8F" w:rsidP="00226158"/>
    <w:p w:rsidR="00B178EF" w:rsidRDefault="00B178EF" w:rsidP="00603C40">
      <w:r>
        <w:t>CBA</w:t>
      </w:r>
      <w:r>
        <w:tab/>
      </w:r>
      <w:r>
        <w:tab/>
      </w:r>
      <w:r>
        <w:tab/>
      </w:r>
      <w:proofErr w:type="spellStart"/>
      <w:proofErr w:type="gramStart"/>
      <w:r w:rsidRPr="00B178EF">
        <w:t>Cost</w:t>
      </w:r>
      <w:proofErr w:type="spellEnd"/>
      <w:proofErr w:type="gramEnd"/>
      <w:r w:rsidRPr="00B178EF">
        <w:t>–</w:t>
      </w:r>
      <w:proofErr w:type="gramStart"/>
      <w:r w:rsidRPr="00B178EF">
        <w:t>Benefit</w:t>
      </w:r>
      <w:proofErr w:type="gramEnd"/>
      <w:r w:rsidRPr="00B178EF">
        <w:t xml:space="preserve"> </w:t>
      </w:r>
      <w:proofErr w:type="spellStart"/>
      <w:r w:rsidRPr="00B178EF">
        <w:t>Analysis</w:t>
      </w:r>
      <w:proofErr w:type="spellEnd"/>
      <w:r w:rsidRPr="00B178EF">
        <w:t xml:space="preserve"> (Analýza nákladů a přínosů)</w:t>
      </w:r>
    </w:p>
    <w:p w:rsidR="00603C40" w:rsidRDefault="00603C40" w:rsidP="00603C40">
      <w:r>
        <w:t>CRR</w:t>
      </w:r>
      <w:r>
        <w:tab/>
      </w:r>
      <w:r>
        <w:tab/>
      </w:r>
      <w:r>
        <w:tab/>
        <w:t>Centrum pro regionální rozvoj České republiky</w:t>
      </w:r>
    </w:p>
    <w:p w:rsidR="00603C40" w:rsidRDefault="00603C40" w:rsidP="00603C40">
      <w:r>
        <w:t>DPH</w:t>
      </w:r>
      <w:r>
        <w:tab/>
      </w:r>
      <w:r>
        <w:tab/>
      </w:r>
      <w:r>
        <w:tab/>
        <w:t>Daň z přidané hodnoty</w:t>
      </w:r>
    </w:p>
    <w:p w:rsidR="009A7CB8" w:rsidRDefault="009A7CB8" w:rsidP="00603C40">
      <w:r>
        <w:t>HW</w:t>
      </w:r>
      <w:r>
        <w:tab/>
      </w:r>
      <w:r>
        <w:tab/>
      </w:r>
      <w:r>
        <w:tab/>
        <w:t>Hardware</w:t>
      </w:r>
    </w:p>
    <w:p w:rsidR="00603C40" w:rsidRDefault="00603C40" w:rsidP="00603C40">
      <w:r>
        <w:t>IROP</w:t>
      </w:r>
      <w:r>
        <w:tab/>
      </w:r>
      <w:r>
        <w:tab/>
      </w:r>
      <w:r>
        <w:tab/>
        <w:t>Integrovaný regionální operační program</w:t>
      </w:r>
    </w:p>
    <w:p w:rsidR="00603C40" w:rsidRDefault="00603C40" w:rsidP="00226158">
      <w:pPr>
        <w:ind w:left="2124" w:hanging="2124"/>
      </w:pPr>
      <w:r>
        <w:t>MS2014+</w:t>
      </w:r>
      <w:r>
        <w:tab/>
        <w:t>Informační a monitorovací systém pro programové období 2014–2020</w:t>
      </w:r>
    </w:p>
    <w:p w:rsidR="00603C40" w:rsidRDefault="00603C40" w:rsidP="00603C40">
      <w:r>
        <w:t>OSS</w:t>
      </w:r>
      <w:r>
        <w:tab/>
      </w:r>
      <w:r>
        <w:tab/>
      </w:r>
      <w:r>
        <w:tab/>
        <w:t>Organizační složka státu</w:t>
      </w:r>
    </w:p>
    <w:p w:rsidR="00603C40" w:rsidRDefault="00603C40" w:rsidP="00603C40">
      <w:r>
        <w:t>ŘO</w:t>
      </w:r>
      <w:r>
        <w:tab/>
      </w:r>
      <w:r>
        <w:tab/>
      </w:r>
      <w:r>
        <w:tab/>
        <w:t>Řídicí orgán</w:t>
      </w:r>
    </w:p>
    <w:p w:rsidR="009A7CB8" w:rsidRDefault="009A7CB8" w:rsidP="00603C40">
      <w:r>
        <w:t>SW</w:t>
      </w:r>
      <w:r>
        <w:tab/>
      </w:r>
      <w:r>
        <w:tab/>
      </w:r>
      <w:r>
        <w:tab/>
        <w:t>Software</w:t>
      </w:r>
    </w:p>
    <w:p w:rsidR="00603C40" w:rsidRDefault="00603C40" w:rsidP="00603C40">
      <w:proofErr w:type="spellStart"/>
      <w:r>
        <w:t>ZoR</w:t>
      </w:r>
      <w:proofErr w:type="spellEnd"/>
      <w:r>
        <w:t xml:space="preserve"> projektu</w:t>
      </w:r>
      <w:r>
        <w:tab/>
      </w:r>
      <w:r>
        <w:tab/>
        <w:t>Zpráva o realizaci projektu</w:t>
      </w:r>
    </w:p>
    <w:p w:rsidR="00603C40" w:rsidRDefault="00603C40" w:rsidP="00603C40">
      <w:proofErr w:type="spellStart"/>
      <w:r>
        <w:t>ZoU</w:t>
      </w:r>
      <w:proofErr w:type="spellEnd"/>
      <w:r>
        <w:t xml:space="preserve"> projektu</w:t>
      </w:r>
      <w:r>
        <w:tab/>
      </w:r>
      <w:r>
        <w:tab/>
        <w:t>Zpráva o udržitelnosti projektu</w:t>
      </w:r>
    </w:p>
    <w:p w:rsidR="00603C40" w:rsidRDefault="00603C40" w:rsidP="00226158">
      <w:proofErr w:type="spellStart"/>
      <w:r>
        <w:t>ZŽoP</w:t>
      </w:r>
      <w:proofErr w:type="spellEnd"/>
      <w:r>
        <w:tab/>
      </w:r>
      <w:r>
        <w:tab/>
      </w:r>
      <w:r>
        <w:tab/>
        <w:t>Zjednodušená žádost o platbu</w:t>
      </w:r>
    </w:p>
    <w:p w:rsidR="00E25E50" w:rsidRDefault="00E25E50" w:rsidP="00226158"/>
    <w:p w:rsidR="00603C40" w:rsidRDefault="00603C40" w:rsidP="00226158"/>
    <w:p w:rsidR="00603C40" w:rsidRDefault="00603C40" w:rsidP="00226158"/>
    <w:p w:rsidR="00603C40" w:rsidRDefault="00603C40" w:rsidP="00226158"/>
    <w:p w:rsidR="00E25E50" w:rsidRPr="00A3246B" w:rsidRDefault="00E25E50" w:rsidP="009A7CB8">
      <w:pPr>
        <w:pStyle w:val="Pravidla1"/>
        <w:pageBreakBefore/>
        <w:numPr>
          <w:ilvl w:val="0"/>
          <w:numId w:val="1"/>
        </w:numPr>
        <w:jc w:val="both"/>
      </w:pPr>
      <w:bookmarkStart w:id="287" w:name="_Toc433128229"/>
      <w:bookmarkStart w:id="288" w:name="_Toc433128307"/>
      <w:bookmarkStart w:id="289" w:name="_Toc433128381"/>
      <w:bookmarkStart w:id="290" w:name="_Toc433128448"/>
      <w:bookmarkStart w:id="291" w:name="_Toc433128894"/>
      <w:bookmarkStart w:id="292" w:name="_Toc433129093"/>
      <w:bookmarkStart w:id="293" w:name="_Toc433129263"/>
      <w:bookmarkStart w:id="294" w:name="_Toc433128230"/>
      <w:bookmarkStart w:id="295" w:name="_Toc433128308"/>
      <w:bookmarkStart w:id="296" w:name="_Toc433128382"/>
      <w:bookmarkStart w:id="297" w:name="_Toc433128449"/>
      <w:bookmarkStart w:id="298" w:name="_Toc433128895"/>
      <w:bookmarkStart w:id="299" w:name="_Toc433129094"/>
      <w:bookmarkStart w:id="300" w:name="_Toc433129264"/>
      <w:bookmarkStart w:id="301" w:name="_Toc433128231"/>
      <w:bookmarkStart w:id="302" w:name="_Toc433128309"/>
      <w:bookmarkStart w:id="303" w:name="_Toc433128383"/>
      <w:bookmarkStart w:id="304" w:name="_Toc433128450"/>
      <w:bookmarkStart w:id="305" w:name="_Toc433128896"/>
      <w:bookmarkStart w:id="306" w:name="_Toc433129095"/>
      <w:bookmarkStart w:id="307" w:name="_Toc433129265"/>
      <w:bookmarkStart w:id="308" w:name="_Toc433128233"/>
      <w:bookmarkStart w:id="309" w:name="_Toc433128311"/>
      <w:bookmarkStart w:id="310" w:name="_Toc433128385"/>
      <w:bookmarkStart w:id="311" w:name="_Toc433128452"/>
      <w:bookmarkStart w:id="312" w:name="_Toc433128898"/>
      <w:bookmarkStart w:id="313" w:name="_Toc433129097"/>
      <w:bookmarkStart w:id="314" w:name="_Toc433129267"/>
      <w:bookmarkStart w:id="315" w:name="_Toc436900705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r>
        <w:lastRenderedPageBreak/>
        <w:t>Právní a metodický rámec</w:t>
      </w:r>
      <w:bookmarkEnd w:id="315"/>
    </w:p>
    <w:p w:rsidR="00C65C8D" w:rsidRDefault="00C65C8D">
      <w:pPr>
        <w:jc w:val="both"/>
        <w:rPr>
          <w:rFonts w:cs="Arial"/>
        </w:rPr>
      </w:pPr>
    </w:p>
    <w:p w:rsidR="003A5E2E" w:rsidRDefault="000B27C4" w:rsidP="00BC24D2">
      <w:pPr>
        <w:pStyle w:val="Default"/>
        <w:numPr>
          <w:ilvl w:val="0"/>
          <w:numId w:val="22"/>
        </w:numPr>
        <w:jc w:val="both"/>
        <w:rPr>
          <w:rFonts w:asciiTheme="majorHAnsi" w:hAnsiTheme="majorHAnsi"/>
        </w:rPr>
      </w:pPr>
      <w:r w:rsidRPr="00D818A0">
        <w:rPr>
          <w:rFonts w:asciiTheme="majorHAnsi" w:hAnsiTheme="majorHAnsi"/>
        </w:rPr>
        <w:t>Strategický rámec rozvoje veřejné správy a jeho implementační plány</w:t>
      </w:r>
    </w:p>
    <w:p w:rsidR="00E5568D" w:rsidRPr="00E5568D" w:rsidRDefault="00E5568D" w:rsidP="00BC24D2">
      <w:pPr>
        <w:pStyle w:val="Default"/>
        <w:numPr>
          <w:ilvl w:val="0"/>
          <w:numId w:val="22"/>
        </w:numPr>
        <w:jc w:val="both"/>
        <w:rPr>
          <w:rFonts w:asciiTheme="majorHAnsi" w:hAnsiTheme="majorHAnsi"/>
        </w:rPr>
      </w:pPr>
      <w:r w:rsidRPr="00E5568D">
        <w:rPr>
          <w:rFonts w:asciiTheme="majorHAnsi" w:hAnsiTheme="majorHAnsi"/>
        </w:rPr>
        <w:t>Vládní návrh zákona o Sbírce zákonů a mezinárodních smluv a o tvorbě</w:t>
      </w:r>
    </w:p>
    <w:p w:rsidR="00E5568D" w:rsidRDefault="00E5568D" w:rsidP="00BC24D2">
      <w:pPr>
        <w:pStyle w:val="Default"/>
        <w:ind w:left="708"/>
        <w:jc w:val="both"/>
        <w:rPr>
          <w:rFonts w:asciiTheme="majorHAnsi" w:hAnsiTheme="majorHAnsi"/>
        </w:rPr>
      </w:pPr>
      <w:r w:rsidRPr="00E5568D">
        <w:rPr>
          <w:rFonts w:asciiTheme="majorHAnsi" w:hAnsiTheme="majorHAnsi"/>
        </w:rPr>
        <w:t>právních předpisů vyhlašovaných ve Sbírce zákonů a mezinárodních</w:t>
      </w:r>
      <w:r>
        <w:rPr>
          <w:rFonts w:asciiTheme="majorHAnsi" w:hAnsiTheme="majorHAnsi"/>
        </w:rPr>
        <w:t xml:space="preserve"> </w:t>
      </w:r>
      <w:r w:rsidRPr="00E5568D">
        <w:rPr>
          <w:rFonts w:asciiTheme="majorHAnsi" w:hAnsiTheme="majorHAnsi"/>
        </w:rPr>
        <w:t>smluv (zákon o Sbírce zákonů a mezinárodních smluv)</w:t>
      </w:r>
    </w:p>
    <w:p w:rsidR="0006208A" w:rsidRPr="00D818A0" w:rsidRDefault="0006208A" w:rsidP="00BC24D2">
      <w:pPr>
        <w:pStyle w:val="Default"/>
        <w:numPr>
          <w:ilvl w:val="0"/>
          <w:numId w:val="2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B17817">
        <w:rPr>
          <w:rFonts w:asciiTheme="majorHAnsi" w:hAnsiTheme="majorHAnsi"/>
        </w:rPr>
        <w:t>ákon č. 499/2004 Sb., o archivnictví a spisové službě v platném znění, především § 46, odst. 3 písm. a), b) a dále § 18b odst. 3, 4</w:t>
      </w:r>
    </w:p>
    <w:p w:rsidR="00603C40" w:rsidRDefault="00603C40" w:rsidP="00226158">
      <w:pPr>
        <w:pStyle w:val="Default"/>
        <w:jc w:val="both"/>
        <w:rPr>
          <w:rFonts w:ascii="Times New Roman" w:hAnsi="Times New Roman"/>
        </w:rPr>
      </w:pPr>
    </w:p>
    <w:p w:rsidR="00603C40" w:rsidRDefault="00603C40" w:rsidP="00226158">
      <w:pPr>
        <w:pStyle w:val="Default"/>
        <w:jc w:val="both"/>
        <w:rPr>
          <w:rFonts w:ascii="Times New Roman" w:hAnsi="Times New Roman"/>
        </w:rPr>
      </w:pPr>
    </w:p>
    <w:p w:rsidR="00790AA7" w:rsidRDefault="00790AA7" w:rsidP="00226158">
      <w:pPr>
        <w:pStyle w:val="Pravidla1"/>
        <w:pageBreakBefore/>
        <w:numPr>
          <w:ilvl w:val="0"/>
          <w:numId w:val="1"/>
        </w:numPr>
        <w:jc w:val="both"/>
      </w:pPr>
      <w:bookmarkStart w:id="316" w:name="_Toc433128235"/>
      <w:bookmarkStart w:id="317" w:name="_Toc433128313"/>
      <w:bookmarkStart w:id="318" w:name="_Toc433128387"/>
      <w:bookmarkStart w:id="319" w:name="_Toc433128454"/>
      <w:bookmarkStart w:id="320" w:name="_Toc433128900"/>
      <w:bookmarkStart w:id="321" w:name="_Toc433129099"/>
      <w:bookmarkStart w:id="322" w:name="_Toc433129269"/>
      <w:bookmarkStart w:id="323" w:name="_Toc425325731"/>
      <w:bookmarkStart w:id="324" w:name="_Toc425348569"/>
      <w:bookmarkStart w:id="325" w:name="_Toc425348645"/>
      <w:bookmarkStart w:id="326" w:name="_Toc425325732"/>
      <w:bookmarkStart w:id="327" w:name="_Toc425348570"/>
      <w:bookmarkStart w:id="328" w:name="_Toc425348646"/>
      <w:bookmarkStart w:id="329" w:name="_Toc413143905"/>
      <w:bookmarkStart w:id="330" w:name="_Toc425325733"/>
      <w:bookmarkStart w:id="331" w:name="_Toc425348571"/>
      <w:bookmarkStart w:id="332" w:name="_Toc425348647"/>
      <w:bookmarkStart w:id="333" w:name="_Toc425325734"/>
      <w:bookmarkStart w:id="334" w:name="_Toc425348572"/>
      <w:bookmarkStart w:id="335" w:name="_Toc425348648"/>
      <w:bookmarkStart w:id="336" w:name="_Toc425325735"/>
      <w:bookmarkStart w:id="337" w:name="_Toc425348573"/>
      <w:bookmarkStart w:id="338" w:name="_Toc425348649"/>
      <w:bookmarkStart w:id="339" w:name="_Toc425325736"/>
      <w:bookmarkStart w:id="340" w:name="_Toc425348574"/>
      <w:bookmarkStart w:id="341" w:name="_Toc425348650"/>
      <w:bookmarkStart w:id="342" w:name="_Toc425325737"/>
      <w:bookmarkStart w:id="343" w:name="_Toc425348575"/>
      <w:bookmarkStart w:id="344" w:name="_Toc425348651"/>
      <w:bookmarkStart w:id="345" w:name="_Toc425325738"/>
      <w:bookmarkStart w:id="346" w:name="_Toc425348576"/>
      <w:bookmarkStart w:id="347" w:name="_Toc425348652"/>
      <w:bookmarkStart w:id="348" w:name="_Toc425325739"/>
      <w:bookmarkStart w:id="349" w:name="_Toc425348577"/>
      <w:bookmarkStart w:id="350" w:name="_Toc425348653"/>
      <w:bookmarkStart w:id="351" w:name="_Toc425325740"/>
      <w:bookmarkStart w:id="352" w:name="_Toc425348578"/>
      <w:bookmarkStart w:id="353" w:name="_Toc425348654"/>
      <w:bookmarkStart w:id="354" w:name="_Toc425325741"/>
      <w:bookmarkStart w:id="355" w:name="_Toc425348579"/>
      <w:bookmarkStart w:id="356" w:name="_Toc425348655"/>
      <w:bookmarkStart w:id="357" w:name="_Toc425325742"/>
      <w:bookmarkStart w:id="358" w:name="_Toc425348580"/>
      <w:bookmarkStart w:id="359" w:name="_Toc425348656"/>
      <w:bookmarkStart w:id="360" w:name="_Toc413143906"/>
      <w:bookmarkStart w:id="361" w:name="_Toc425325743"/>
      <w:bookmarkStart w:id="362" w:name="_Toc425348581"/>
      <w:bookmarkStart w:id="363" w:name="_Toc425348657"/>
      <w:bookmarkStart w:id="364" w:name="_Toc425325744"/>
      <w:bookmarkStart w:id="365" w:name="_Toc425348582"/>
      <w:bookmarkStart w:id="366" w:name="_Toc425348658"/>
      <w:bookmarkStart w:id="367" w:name="_Toc425325745"/>
      <w:bookmarkStart w:id="368" w:name="_Toc425348583"/>
      <w:bookmarkStart w:id="369" w:name="_Toc425348659"/>
      <w:bookmarkStart w:id="370" w:name="_Toc436900706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r>
        <w:lastRenderedPageBreak/>
        <w:t>Seznam příloh</w:t>
      </w:r>
      <w:r w:rsidR="008A287B">
        <w:t xml:space="preserve"> </w:t>
      </w:r>
      <w:r w:rsidR="006F7B79">
        <w:t>Specifických pravidel</w:t>
      </w:r>
      <w:bookmarkEnd w:id="370"/>
    </w:p>
    <w:p w:rsidR="00645A09" w:rsidRDefault="00645A09" w:rsidP="00645A09">
      <w:pPr>
        <w:pStyle w:val="Odstavecseseznamem"/>
        <w:jc w:val="both"/>
        <w:rPr>
          <w:rFonts w:cs="Arial"/>
        </w:rPr>
      </w:pPr>
    </w:p>
    <w:p w:rsidR="00FE644B" w:rsidRPr="00EF2C2C" w:rsidRDefault="00FE644B" w:rsidP="00FE644B">
      <w:pPr>
        <w:pStyle w:val="Odstavecseseznamem"/>
        <w:numPr>
          <w:ilvl w:val="0"/>
          <w:numId w:val="30"/>
        </w:numPr>
        <w:jc w:val="both"/>
        <w:rPr>
          <w:rFonts w:cs="Arial"/>
        </w:rPr>
      </w:pPr>
      <w:r w:rsidRPr="00EF2C2C">
        <w:rPr>
          <w:rFonts w:cs="Arial"/>
        </w:rPr>
        <w:t>Postup pro podání žádosti o podporu v MS2014+</w:t>
      </w:r>
    </w:p>
    <w:p w:rsidR="00FE644B" w:rsidRPr="00EF2C2C" w:rsidRDefault="00FE644B" w:rsidP="00FE644B">
      <w:pPr>
        <w:pStyle w:val="Odstavecseseznamem"/>
        <w:numPr>
          <w:ilvl w:val="0"/>
          <w:numId w:val="30"/>
        </w:numPr>
        <w:jc w:val="both"/>
        <w:rPr>
          <w:rFonts w:cs="Arial"/>
        </w:rPr>
      </w:pPr>
      <w:r w:rsidRPr="00EF2C2C">
        <w:rPr>
          <w:rFonts w:cs="Arial"/>
        </w:rPr>
        <w:t xml:space="preserve">Osnova </w:t>
      </w:r>
      <w:r w:rsidR="00D16DE8">
        <w:rPr>
          <w:rFonts w:cs="Arial"/>
        </w:rPr>
        <w:t>S</w:t>
      </w:r>
      <w:r w:rsidR="00D16DE8" w:rsidRPr="00EF2C2C">
        <w:rPr>
          <w:rFonts w:cs="Arial"/>
        </w:rPr>
        <w:t xml:space="preserve">tudie </w:t>
      </w:r>
      <w:r w:rsidRPr="00EF2C2C">
        <w:rPr>
          <w:rFonts w:cs="Arial"/>
        </w:rPr>
        <w:t>proveditelnosti</w:t>
      </w:r>
    </w:p>
    <w:p w:rsidR="00FE644B" w:rsidRPr="00EF2C2C" w:rsidRDefault="00FE644B" w:rsidP="00FE644B">
      <w:pPr>
        <w:pStyle w:val="Odstavecseseznamem"/>
        <w:numPr>
          <w:ilvl w:val="0"/>
          <w:numId w:val="30"/>
        </w:numPr>
        <w:rPr>
          <w:rFonts w:cs="Arial"/>
        </w:rPr>
      </w:pPr>
      <w:r w:rsidRPr="00EF2C2C">
        <w:rPr>
          <w:rFonts w:cs="Arial"/>
        </w:rPr>
        <w:t xml:space="preserve">Stanovisko hlavního architekta </w:t>
      </w:r>
      <w:proofErr w:type="spellStart"/>
      <w:r w:rsidRPr="00EF2C2C">
        <w:rPr>
          <w:rFonts w:cs="Arial"/>
        </w:rPr>
        <w:t>eGovernmentu</w:t>
      </w:r>
      <w:proofErr w:type="spellEnd"/>
      <w:r w:rsidRPr="00EF2C2C">
        <w:rPr>
          <w:rFonts w:cs="Arial"/>
        </w:rPr>
        <w:t xml:space="preserve"> – vzor</w:t>
      </w:r>
    </w:p>
    <w:p w:rsidR="00FE644B" w:rsidRPr="00EF2C2C" w:rsidRDefault="004B50B0" w:rsidP="00FE644B">
      <w:pPr>
        <w:pStyle w:val="Odstavecseseznamem"/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 xml:space="preserve">Pravidla pro vydání </w:t>
      </w:r>
      <w:r w:rsidR="0096517E">
        <w:rPr>
          <w:rFonts w:cs="Arial"/>
        </w:rPr>
        <w:t>S</w:t>
      </w:r>
      <w:r>
        <w:rPr>
          <w:rFonts w:cs="Arial"/>
        </w:rPr>
        <w:t>tanoviska o</w:t>
      </w:r>
      <w:r w:rsidR="00FE644B" w:rsidRPr="00EF2C2C">
        <w:rPr>
          <w:rFonts w:cs="Arial"/>
        </w:rPr>
        <w:t xml:space="preserve">dboru </w:t>
      </w:r>
      <w:r>
        <w:rPr>
          <w:rFonts w:cs="Arial"/>
        </w:rPr>
        <w:t>H</w:t>
      </w:r>
      <w:r w:rsidR="00FE644B" w:rsidRPr="00EF2C2C">
        <w:rPr>
          <w:rFonts w:cs="Arial"/>
        </w:rPr>
        <w:t xml:space="preserve">lavního architekta </w:t>
      </w:r>
      <w:proofErr w:type="spellStart"/>
      <w:r w:rsidR="00FE644B" w:rsidRPr="00EF2C2C">
        <w:rPr>
          <w:rFonts w:cs="Arial"/>
        </w:rPr>
        <w:t>eGovernmentu</w:t>
      </w:r>
      <w:proofErr w:type="spellEnd"/>
    </w:p>
    <w:p w:rsidR="00FE644B" w:rsidRDefault="000C7B74" w:rsidP="00FE644B">
      <w:pPr>
        <w:pStyle w:val="Odstavecseseznamem"/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>Metodický list indikátorů</w:t>
      </w:r>
    </w:p>
    <w:p w:rsidR="00FE644B" w:rsidRPr="00EF2C2C" w:rsidRDefault="00FE644B" w:rsidP="00FE644B">
      <w:pPr>
        <w:pStyle w:val="Odstavecseseznamem"/>
        <w:numPr>
          <w:ilvl w:val="0"/>
          <w:numId w:val="30"/>
        </w:numPr>
        <w:rPr>
          <w:rFonts w:cs="Arial"/>
        </w:rPr>
      </w:pPr>
      <w:r w:rsidRPr="00EF2C2C">
        <w:rPr>
          <w:rFonts w:cs="Arial"/>
        </w:rPr>
        <w:t xml:space="preserve">Podmínky Stanovení výdajů </w:t>
      </w:r>
      <w:r w:rsidR="009E23FD">
        <w:rPr>
          <w:rFonts w:cs="Arial"/>
        </w:rPr>
        <w:t xml:space="preserve">na financování akce </w:t>
      </w:r>
      <w:r w:rsidRPr="00EF2C2C">
        <w:rPr>
          <w:rFonts w:cs="Arial"/>
        </w:rPr>
        <w:t>OSS – vzor</w:t>
      </w:r>
    </w:p>
    <w:p w:rsidR="00FE644B" w:rsidRPr="00EF2C2C" w:rsidRDefault="00FE644B" w:rsidP="00FE644B">
      <w:pPr>
        <w:pStyle w:val="Odstavecseseznamem"/>
        <w:numPr>
          <w:ilvl w:val="0"/>
          <w:numId w:val="30"/>
        </w:numPr>
        <w:rPr>
          <w:rFonts w:cs="Arial"/>
        </w:rPr>
      </w:pPr>
      <w:r w:rsidRPr="00EF2C2C">
        <w:rPr>
          <w:rFonts w:cs="Arial"/>
        </w:rPr>
        <w:t xml:space="preserve">Krácení peněžních prostředků při porušení Podmínek </w:t>
      </w:r>
      <w:r w:rsidR="004B50B0">
        <w:rPr>
          <w:rFonts w:cs="Arial"/>
        </w:rPr>
        <w:t>Dopisu MMR</w:t>
      </w:r>
    </w:p>
    <w:p w:rsidR="00FE644B" w:rsidRDefault="00FE644B" w:rsidP="00FE644B">
      <w:pPr>
        <w:pStyle w:val="Odstavecseseznamem"/>
        <w:numPr>
          <w:ilvl w:val="0"/>
          <w:numId w:val="30"/>
        </w:numPr>
        <w:rPr>
          <w:rFonts w:cs="Arial"/>
        </w:rPr>
      </w:pPr>
      <w:r w:rsidRPr="00EF2C2C">
        <w:rPr>
          <w:rFonts w:cs="Arial"/>
        </w:rPr>
        <w:t xml:space="preserve">Průzkum trhu </w:t>
      </w:r>
      <w:r>
        <w:rPr>
          <w:rFonts w:cs="Arial"/>
        </w:rPr>
        <w:t>–</w:t>
      </w:r>
      <w:r w:rsidRPr="00EF2C2C">
        <w:rPr>
          <w:rFonts w:cs="Arial"/>
        </w:rPr>
        <w:t xml:space="preserve"> vzor</w:t>
      </w:r>
    </w:p>
    <w:p w:rsidR="00FE644B" w:rsidRDefault="00FE644B" w:rsidP="00FE644B">
      <w:pPr>
        <w:pStyle w:val="Odstavecseseznamem"/>
        <w:numPr>
          <w:ilvl w:val="0"/>
          <w:numId w:val="30"/>
        </w:numPr>
        <w:rPr>
          <w:rFonts w:cs="Arial"/>
        </w:rPr>
      </w:pPr>
      <w:r w:rsidRPr="001E031F">
        <w:rPr>
          <w:rFonts w:cs="Arial"/>
        </w:rPr>
        <w:t>Výpočet čistých jiných peněžních příjmů</w:t>
      </w:r>
    </w:p>
    <w:p w:rsidR="00FB749F" w:rsidRPr="00FB749F" w:rsidRDefault="00FB749F" w:rsidP="00FB749F">
      <w:pPr>
        <w:jc w:val="both"/>
        <w:rPr>
          <w:rFonts w:cs="Arial"/>
        </w:rPr>
      </w:pPr>
    </w:p>
    <w:p w:rsidR="00186391" w:rsidRPr="00186391" w:rsidRDefault="00186391" w:rsidP="00186391">
      <w:pPr>
        <w:jc w:val="both"/>
        <w:rPr>
          <w:rFonts w:cs="Arial"/>
        </w:rPr>
      </w:pPr>
    </w:p>
    <w:p w:rsidR="00016B0A" w:rsidRDefault="00016B0A" w:rsidP="00671E54"/>
    <w:p w:rsidR="00C65C8D" w:rsidRDefault="00C65C8D" w:rsidP="00671E54"/>
    <w:p w:rsidR="00C65C8D" w:rsidRDefault="00C65C8D" w:rsidP="00671E54"/>
    <w:p w:rsidR="00C65C8D" w:rsidRDefault="00C65C8D" w:rsidP="00671E54"/>
    <w:p w:rsidR="00C65C8D" w:rsidRDefault="00C65C8D" w:rsidP="00671E54"/>
    <w:p w:rsidR="00C65C8D" w:rsidRDefault="00C65C8D" w:rsidP="00671E54"/>
    <w:p w:rsidR="005752C0" w:rsidRPr="00656083" w:rsidRDefault="005752C0" w:rsidP="00757452">
      <w:pPr>
        <w:jc w:val="both"/>
      </w:pPr>
    </w:p>
    <w:sectPr w:rsidR="005752C0" w:rsidRPr="00656083" w:rsidSect="00671D6D">
      <w:headerReference w:type="default" r:id="rId17"/>
      <w:footerReference w:type="default" r:id="rId18"/>
      <w:headerReference w:type="first" r:id="rId19"/>
      <w:pgSz w:w="11906" w:h="16838"/>
      <w:pgMar w:top="1702" w:right="1410" w:bottom="1440" w:left="1418" w:header="0" w:footer="708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EC" w:rsidRDefault="005B31EC">
      <w:pPr>
        <w:spacing w:after="0"/>
      </w:pPr>
      <w:r>
        <w:separator/>
      </w:r>
    </w:p>
  </w:endnote>
  <w:endnote w:type="continuationSeparator" w:id="0">
    <w:p w:rsidR="005B31EC" w:rsidRDefault="005B31EC">
      <w:pPr>
        <w:spacing w:after="0"/>
      </w:pPr>
      <w:r>
        <w:continuationSeparator/>
      </w:r>
    </w:p>
  </w:endnote>
  <w:endnote w:type="continuationNotice" w:id="1">
    <w:p w:rsidR="005B31EC" w:rsidRDefault="005B31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83626"/>
      <w:docPartObj>
        <w:docPartGallery w:val="Page Numbers (Bottom of Page)"/>
        <w:docPartUnique/>
      </w:docPartObj>
    </w:sdtPr>
    <w:sdtEndPr/>
    <w:sdtContent>
      <w:p w:rsidR="005B31EC" w:rsidRDefault="005B31EC" w:rsidP="00DD7551">
        <w:pPr>
          <w:pStyle w:val="Zpat"/>
          <w:ind w:right="-738"/>
          <w:jc w:val="right"/>
        </w:pPr>
      </w:p>
      <w:p w:rsidR="005B31EC" w:rsidRDefault="005B31EC" w:rsidP="006C1AD9">
        <w:pPr>
          <w:pStyle w:val="Zpat"/>
          <w:tabs>
            <w:tab w:val="center" w:pos="709"/>
          </w:tabs>
        </w:pPr>
        <w:r>
          <w:rPr>
            <w:rFonts w:asciiTheme="majorHAnsi" w:hAnsiTheme="majorHAnsi" w:cs="MyriadPro-Regular"/>
            <w:sz w:val="20"/>
            <w:szCs w:val="20"/>
          </w:rPr>
          <w:t>Vydání 1.0</w:t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  <w:t xml:space="preserve">  Specifická pravidla pro žadatele a příjemce</w:t>
        </w:r>
      </w:p>
      <w:p w:rsidR="005B31EC" w:rsidRDefault="005B31EC" w:rsidP="0023320A">
        <w:pPr>
          <w:pStyle w:val="Zpat"/>
          <w:tabs>
            <w:tab w:val="right" w:pos="9816"/>
          </w:tabs>
          <w:ind w:right="-738"/>
        </w:pPr>
        <w:r>
          <w:rPr>
            <w:rFonts w:asciiTheme="majorHAnsi" w:hAnsiTheme="majorHAnsi" w:cs="MyriadPro-Regular"/>
            <w:sz w:val="20"/>
            <w:szCs w:val="20"/>
          </w:rPr>
          <w:t>P</w:t>
        </w:r>
        <w:r w:rsidRPr="002E7A53">
          <w:rPr>
            <w:rFonts w:asciiTheme="majorHAnsi" w:hAnsiTheme="majorHAnsi" w:cs="MyriadPro-Regular"/>
            <w:sz w:val="20"/>
            <w:szCs w:val="20"/>
          </w:rPr>
          <w:t xml:space="preserve">latnost od </w:t>
        </w:r>
        <w:r>
          <w:rPr>
            <w:rFonts w:asciiTheme="majorHAnsi" w:hAnsiTheme="majorHAnsi" w:cs="MyriadPro-Regular"/>
            <w:sz w:val="20"/>
            <w:szCs w:val="20"/>
          </w:rPr>
          <w:t>8. 12. 2015</w:t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tab/>
        </w:r>
        <w:r>
          <w:tab/>
        </w:r>
        <w:r>
          <w:tab/>
        </w:r>
      </w:p>
    </w:sdtContent>
  </w:sdt>
  <w:p w:rsidR="005B31EC" w:rsidRDefault="005B31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EC" w:rsidRDefault="005B31EC">
      <w:r>
        <w:separator/>
      </w:r>
    </w:p>
  </w:footnote>
  <w:footnote w:type="continuationSeparator" w:id="0">
    <w:p w:rsidR="005B31EC" w:rsidRDefault="005B31EC">
      <w:r>
        <w:continuationSeparator/>
      </w:r>
    </w:p>
  </w:footnote>
  <w:footnote w:type="continuationNotice" w:id="1">
    <w:p w:rsidR="005B31EC" w:rsidRDefault="005B31EC">
      <w:pPr>
        <w:spacing w:after="0"/>
      </w:pPr>
    </w:p>
  </w:footnote>
  <w:footnote w:id="2">
    <w:p w:rsidR="005B31EC" w:rsidRDefault="005B31EC" w:rsidP="00E500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26158">
        <w:rPr>
          <w:rFonts w:asciiTheme="majorHAnsi" w:hAnsiTheme="majorHAnsi"/>
        </w:rPr>
        <w:t>Do pořízení HW/SW se řadí i následná implementace, nezbytné zaškolení obsluhy, testovací provoz a provozní dokumentace pořízeného HW/SW.</w:t>
      </w:r>
    </w:p>
  </w:footnote>
  <w:footnote w:id="3">
    <w:p w:rsidR="005B31EC" w:rsidRPr="00726BED" w:rsidRDefault="005B31EC" w:rsidP="00FE39F7">
      <w:pPr>
        <w:pStyle w:val="Textpoznpodarou"/>
        <w:rPr>
          <w:sz w:val="18"/>
          <w:szCs w:val="18"/>
        </w:rPr>
      </w:pPr>
      <w:r w:rsidRPr="00726BED">
        <w:rPr>
          <w:rStyle w:val="Znakapoznpodarou"/>
          <w:sz w:val="18"/>
          <w:szCs w:val="18"/>
        </w:rPr>
        <w:footnoteRef/>
      </w:r>
      <w:r w:rsidRPr="00726BED">
        <w:rPr>
          <w:sz w:val="18"/>
          <w:szCs w:val="18"/>
        </w:rPr>
        <w:t xml:space="preserve"> </w:t>
      </w:r>
      <w:r>
        <w:rPr>
          <w:rFonts w:asciiTheme="majorHAnsi" w:eastAsia="MS Mincho" w:hAnsiTheme="majorHAnsi"/>
          <w:lang w:eastAsia="ja-JP"/>
        </w:rPr>
        <w:t>S</w:t>
      </w:r>
      <w:r w:rsidRPr="00226158">
        <w:rPr>
          <w:rFonts w:asciiTheme="majorHAnsi" w:eastAsia="MS Mincho" w:hAnsiTheme="majorHAnsi"/>
          <w:lang w:eastAsia="ja-JP"/>
        </w:rPr>
        <w:t>pecializovaný prostor pro umístění počítačové techniky serverového typu, která je určena k nepřetržitému provozu</w:t>
      </w:r>
      <w:r>
        <w:rPr>
          <w:rFonts w:asciiTheme="majorHAnsi" w:eastAsia="MS Mincho" w:hAnsiTheme="majorHAnsi"/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EC" w:rsidRDefault="005B31EC">
    <w:pPr>
      <w:pStyle w:val="Zhlav"/>
      <w:jc w:val="right"/>
    </w:pPr>
  </w:p>
  <w:p w:rsidR="005B31EC" w:rsidRDefault="005B31EC">
    <w:pPr>
      <w:pStyle w:val="Zhlav"/>
      <w:jc w:val="right"/>
    </w:pPr>
  </w:p>
  <w:p w:rsidR="005B31EC" w:rsidRDefault="00336263">
    <w:pPr>
      <w:pStyle w:val="Zhlav"/>
      <w:jc w:val="right"/>
    </w:pPr>
    <w:sdt>
      <w:sdtPr>
        <w:id w:val="-2129461458"/>
        <w:docPartObj>
          <w:docPartGallery w:val="Page Numbers (Top of Page)"/>
          <w:docPartUnique/>
        </w:docPartObj>
      </w:sdtPr>
      <w:sdtEndPr/>
      <w:sdtContent>
        <w:r w:rsidR="005B31EC" w:rsidRPr="001A0F95">
          <w:rPr>
            <w:sz w:val="20"/>
          </w:rPr>
          <w:fldChar w:fldCharType="begin"/>
        </w:r>
        <w:r w:rsidR="005B31EC" w:rsidRPr="001A0F95">
          <w:rPr>
            <w:sz w:val="20"/>
          </w:rPr>
          <w:instrText>PAGE   \* MERGEFORMAT</w:instrText>
        </w:r>
        <w:r w:rsidR="005B31EC" w:rsidRPr="001A0F95">
          <w:rPr>
            <w:sz w:val="20"/>
          </w:rPr>
          <w:fldChar w:fldCharType="separate"/>
        </w:r>
        <w:r>
          <w:rPr>
            <w:noProof/>
            <w:sz w:val="20"/>
          </w:rPr>
          <w:t>29</w:t>
        </w:r>
        <w:r w:rsidR="005B31EC" w:rsidRPr="001A0F95">
          <w:rPr>
            <w:sz w:val="20"/>
          </w:rPr>
          <w:fldChar w:fldCharType="end"/>
        </w:r>
      </w:sdtContent>
    </w:sdt>
  </w:p>
  <w:p w:rsidR="005B31EC" w:rsidRDefault="005B31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EC" w:rsidRPr="00C0420F" w:rsidRDefault="005B31EC" w:rsidP="0023320A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F3594E2" wp14:editId="759D9EC8">
          <wp:simplePos x="0" y="0"/>
          <wp:positionH relativeFrom="column">
            <wp:posOffset>242570</wp:posOffset>
          </wp:positionH>
          <wp:positionV relativeFrom="paragraph">
            <wp:posOffset>104775</wp:posOffset>
          </wp:positionV>
          <wp:extent cx="4690800" cy="774000"/>
          <wp:effectExtent l="0" t="0" r="0" b="7620"/>
          <wp:wrapTight wrapText="bothSides">
            <wp:wrapPolygon edited="0">
              <wp:start x="0" y="0"/>
              <wp:lineTo x="0" y="21281"/>
              <wp:lineTo x="21492" y="21281"/>
              <wp:lineTo x="21492" y="0"/>
              <wp:lineTo x="0" y="0"/>
            </wp:wrapPolygon>
          </wp:wrapTight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8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FAD"/>
    <w:multiLevelType w:val="hybridMultilevel"/>
    <w:tmpl w:val="12D25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005F"/>
    <w:multiLevelType w:val="hybridMultilevel"/>
    <w:tmpl w:val="CF268C54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3A08"/>
    <w:multiLevelType w:val="hybridMultilevel"/>
    <w:tmpl w:val="242E7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F3303"/>
    <w:multiLevelType w:val="hybridMultilevel"/>
    <w:tmpl w:val="685AC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7527"/>
    <w:multiLevelType w:val="hybridMultilevel"/>
    <w:tmpl w:val="C8EA44DA"/>
    <w:lvl w:ilvl="0" w:tplc="15E42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E40AE4"/>
    <w:multiLevelType w:val="hybridMultilevel"/>
    <w:tmpl w:val="19CAD9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06B63"/>
    <w:multiLevelType w:val="hybridMultilevel"/>
    <w:tmpl w:val="1EE21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768A9"/>
    <w:multiLevelType w:val="hybridMultilevel"/>
    <w:tmpl w:val="C936D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2768A"/>
    <w:multiLevelType w:val="hybridMultilevel"/>
    <w:tmpl w:val="C8FCFA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D02D05"/>
    <w:multiLevelType w:val="hybridMultilevel"/>
    <w:tmpl w:val="C7AEF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F4A70"/>
    <w:multiLevelType w:val="hybridMultilevel"/>
    <w:tmpl w:val="C87AAE4E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A3406"/>
    <w:multiLevelType w:val="hybridMultilevel"/>
    <w:tmpl w:val="0616D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53851"/>
    <w:multiLevelType w:val="hybridMultilevel"/>
    <w:tmpl w:val="FB00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86F77"/>
    <w:multiLevelType w:val="hybridMultilevel"/>
    <w:tmpl w:val="182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540AE"/>
    <w:multiLevelType w:val="multilevel"/>
    <w:tmpl w:val="C5A020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9C26D4"/>
    <w:multiLevelType w:val="hybridMultilevel"/>
    <w:tmpl w:val="81540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24B9C"/>
    <w:multiLevelType w:val="hybridMultilevel"/>
    <w:tmpl w:val="E42649C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308A49C0"/>
    <w:multiLevelType w:val="hybridMultilevel"/>
    <w:tmpl w:val="1D4EC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0733F"/>
    <w:multiLevelType w:val="hybridMultilevel"/>
    <w:tmpl w:val="426EF5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B0736"/>
    <w:multiLevelType w:val="hybridMultilevel"/>
    <w:tmpl w:val="860AA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71946"/>
    <w:multiLevelType w:val="hybridMultilevel"/>
    <w:tmpl w:val="89EC9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22013"/>
    <w:multiLevelType w:val="hybridMultilevel"/>
    <w:tmpl w:val="501C9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C6979"/>
    <w:multiLevelType w:val="hybridMultilevel"/>
    <w:tmpl w:val="089E12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70379"/>
    <w:multiLevelType w:val="hybridMultilevel"/>
    <w:tmpl w:val="F4D41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4653F"/>
    <w:multiLevelType w:val="hybridMultilevel"/>
    <w:tmpl w:val="2952A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12B54"/>
    <w:multiLevelType w:val="hybridMultilevel"/>
    <w:tmpl w:val="CBD06064"/>
    <w:lvl w:ilvl="0" w:tplc="61C889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F40DF"/>
    <w:multiLevelType w:val="hybridMultilevel"/>
    <w:tmpl w:val="F1A4BBB8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F0F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7304C5B"/>
    <w:multiLevelType w:val="multilevel"/>
    <w:tmpl w:val="F30829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B793747"/>
    <w:multiLevelType w:val="hybridMultilevel"/>
    <w:tmpl w:val="D8D62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20B66"/>
    <w:multiLevelType w:val="hybridMultilevel"/>
    <w:tmpl w:val="53D46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C3C5A"/>
    <w:multiLevelType w:val="hybridMultilevel"/>
    <w:tmpl w:val="251E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3918C7"/>
    <w:multiLevelType w:val="hybridMultilevel"/>
    <w:tmpl w:val="80583B58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901428"/>
    <w:multiLevelType w:val="hybridMultilevel"/>
    <w:tmpl w:val="E4623A12"/>
    <w:lvl w:ilvl="0" w:tplc="5D7CE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C6178"/>
    <w:multiLevelType w:val="hybridMultilevel"/>
    <w:tmpl w:val="F482B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351FCB"/>
    <w:multiLevelType w:val="hybridMultilevel"/>
    <w:tmpl w:val="EEAE1BE8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A955FE"/>
    <w:multiLevelType w:val="hybridMultilevel"/>
    <w:tmpl w:val="8946E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2448E4"/>
    <w:multiLevelType w:val="multilevel"/>
    <w:tmpl w:val="18A82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7D715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8783423"/>
    <w:multiLevelType w:val="hybridMultilevel"/>
    <w:tmpl w:val="D396C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CB7D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A234593"/>
    <w:multiLevelType w:val="hybridMultilevel"/>
    <w:tmpl w:val="BFB29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805E2C"/>
    <w:multiLevelType w:val="multilevel"/>
    <w:tmpl w:val="18A82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CF037D1"/>
    <w:multiLevelType w:val="hybridMultilevel"/>
    <w:tmpl w:val="F1CC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D85BE3"/>
    <w:multiLevelType w:val="hybridMultilevel"/>
    <w:tmpl w:val="B810B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E30A4D"/>
    <w:multiLevelType w:val="hybridMultilevel"/>
    <w:tmpl w:val="BCF82C04"/>
    <w:lvl w:ilvl="0" w:tplc="040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8">
    <w:nsid w:val="620B17B0"/>
    <w:multiLevelType w:val="hybridMultilevel"/>
    <w:tmpl w:val="F510F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014D8F"/>
    <w:multiLevelType w:val="hybridMultilevel"/>
    <w:tmpl w:val="4A8E7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0263C8"/>
    <w:multiLevelType w:val="hybridMultilevel"/>
    <w:tmpl w:val="86667C08"/>
    <w:lvl w:ilvl="0" w:tplc="FEF6D928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67D1073"/>
    <w:multiLevelType w:val="hybridMultilevel"/>
    <w:tmpl w:val="AE4AE7F0"/>
    <w:lvl w:ilvl="0" w:tplc="6A56016C">
      <w:start w:val="1"/>
      <w:numFmt w:val="bullet"/>
      <w:pStyle w:val="Nadpis-Osnova-IIIuroven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2">
    <w:nsid w:val="69165121"/>
    <w:multiLevelType w:val="hybridMultilevel"/>
    <w:tmpl w:val="6E202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BF018F"/>
    <w:multiLevelType w:val="hybridMultilevel"/>
    <w:tmpl w:val="DC7C3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AE4D8">
      <w:start w:val="1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E225AC"/>
    <w:multiLevelType w:val="hybridMultilevel"/>
    <w:tmpl w:val="2CE4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8C1602"/>
    <w:multiLevelType w:val="hybridMultilevel"/>
    <w:tmpl w:val="9266F27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6">
    <w:nsid w:val="6C7803EE"/>
    <w:multiLevelType w:val="hybridMultilevel"/>
    <w:tmpl w:val="E8D86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AC1CB5"/>
    <w:multiLevelType w:val="multilevel"/>
    <w:tmpl w:val="18A82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1E22E5E"/>
    <w:multiLevelType w:val="hybridMultilevel"/>
    <w:tmpl w:val="20F25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DE0224"/>
    <w:multiLevelType w:val="hybridMultilevel"/>
    <w:tmpl w:val="1B2A6620"/>
    <w:lvl w:ilvl="0" w:tplc="61C889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67698F"/>
    <w:multiLevelType w:val="hybridMultilevel"/>
    <w:tmpl w:val="DAA2F2B6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FEF6D928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033803"/>
    <w:multiLevelType w:val="hybridMultilevel"/>
    <w:tmpl w:val="32763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E92C77"/>
    <w:multiLevelType w:val="hybridMultilevel"/>
    <w:tmpl w:val="01FC9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443CEE"/>
    <w:multiLevelType w:val="hybridMultilevel"/>
    <w:tmpl w:val="A60810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464BDB"/>
    <w:multiLevelType w:val="hybridMultilevel"/>
    <w:tmpl w:val="81A88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BC6873"/>
    <w:multiLevelType w:val="hybridMultilevel"/>
    <w:tmpl w:val="7EF26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66355F"/>
    <w:multiLevelType w:val="hybridMultilevel"/>
    <w:tmpl w:val="7A94FA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8037A3"/>
    <w:multiLevelType w:val="hybridMultilevel"/>
    <w:tmpl w:val="2A2AD4F8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26"/>
  </w:num>
  <w:num w:numId="4">
    <w:abstractNumId w:val="7"/>
  </w:num>
  <w:num w:numId="5">
    <w:abstractNumId w:val="45"/>
  </w:num>
  <w:num w:numId="6">
    <w:abstractNumId w:val="14"/>
  </w:num>
  <w:num w:numId="7">
    <w:abstractNumId w:val="37"/>
  </w:num>
  <w:num w:numId="8">
    <w:abstractNumId w:val="61"/>
  </w:num>
  <w:num w:numId="9">
    <w:abstractNumId w:val="43"/>
  </w:num>
  <w:num w:numId="10">
    <w:abstractNumId w:val="17"/>
  </w:num>
  <w:num w:numId="11">
    <w:abstractNumId w:val="40"/>
  </w:num>
  <w:num w:numId="12">
    <w:abstractNumId w:val="66"/>
  </w:num>
  <w:num w:numId="13">
    <w:abstractNumId w:val="64"/>
  </w:num>
  <w:num w:numId="14">
    <w:abstractNumId w:val="23"/>
  </w:num>
  <w:num w:numId="15">
    <w:abstractNumId w:val="25"/>
  </w:num>
  <w:num w:numId="16">
    <w:abstractNumId w:val="65"/>
  </w:num>
  <w:num w:numId="17">
    <w:abstractNumId w:val="4"/>
  </w:num>
  <w:num w:numId="18">
    <w:abstractNumId w:val="46"/>
  </w:num>
  <w:num w:numId="19">
    <w:abstractNumId w:val="51"/>
  </w:num>
  <w:num w:numId="20">
    <w:abstractNumId w:val="13"/>
  </w:num>
  <w:num w:numId="21">
    <w:abstractNumId w:val="38"/>
  </w:num>
  <w:num w:numId="22">
    <w:abstractNumId w:val="8"/>
  </w:num>
  <w:num w:numId="23">
    <w:abstractNumId w:val="30"/>
  </w:num>
  <w:num w:numId="24">
    <w:abstractNumId w:val="55"/>
  </w:num>
  <w:num w:numId="25">
    <w:abstractNumId w:val="58"/>
  </w:num>
  <w:num w:numId="26">
    <w:abstractNumId w:val="11"/>
  </w:num>
  <w:num w:numId="27">
    <w:abstractNumId w:val="63"/>
  </w:num>
  <w:num w:numId="28">
    <w:abstractNumId w:val="5"/>
  </w:num>
  <w:num w:numId="29">
    <w:abstractNumId w:val="54"/>
  </w:num>
  <w:num w:numId="30">
    <w:abstractNumId w:val="35"/>
  </w:num>
  <w:num w:numId="31">
    <w:abstractNumId w:val="33"/>
  </w:num>
  <w:num w:numId="32">
    <w:abstractNumId w:val="9"/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44"/>
  </w:num>
  <w:num w:numId="36">
    <w:abstractNumId w:val="20"/>
  </w:num>
  <w:num w:numId="37">
    <w:abstractNumId w:val="2"/>
  </w:num>
  <w:num w:numId="38">
    <w:abstractNumId w:val="53"/>
  </w:num>
  <w:num w:numId="39">
    <w:abstractNumId w:val="31"/>
  </w:num>
  <w:num w:numId="40">
    <w:abstractNumId w:val="42"/>
  </w:num>
  <w:num w:numId="41">
    <w:abstractNumId w:val="59"/>
  </w:num>
  <w:num w:numId="42">
    <w:abstractNumId w:val="6"/>
  </w:num>
  <w:num w:numId="43">
    <w:abstractNumId w:val="60"/>
  </w:num>
  <w:num w:numId="44">
    <w:abstractNumId w:val="27"/>
  </w:num>
  <w:num w:numId="45">
    <w:abstractNumId w:val="50"/>
  </w:num>
  <w:num w:numId="46">
    <w:abstractNumId w:val="12"/>
  </w:num>
  <w:num w:numId="47">
    <w:abstractNumId w:val="49"/>
  </w:num>
  <w:num w:numId="48">
    <w:abstractNumId w:val="52"/>
  </w:num>
  <w:num w:numId="49">
    <w:abstractNumId w:val="47"/>
  </w:num>
  <w:num w:numId="50">
    <w:abstractNumId w:val="48"/>
  </w:num>
  <w:num w:numId="51">
    <w:abstractNumId w:val="19"/>
  </w:num>
  <w:num w:numId="52">
    <w:abstractNumId w:val="18"/>
  </w:num>
  <w:num w:numId="53">
    <w:abstractNumId w:val="29"/>
  </w:num>
  <w:num w:numId="54">
    <w:abstractNumId w:val="57"/>
  </w:num>
  <w:num w:numId="55">
    <w:abstractNumId w:val="16"/>
  </w:num>
  <w:num w:numId="56">
    <w:abstractNumId w:val="1"/>
  </w:num>
  <w:num w:numId="57">
    <w:abstractNumId w:val="34"/>
  </w:num>
  <w:num w:numId="58">
    <w:abstractNumId w:val="67"/>
  </w:num>
  <w:num w:numId="59">
    <w:abstractNumId w:val="28"/>
  </w:num>
  <w:num w:numId="60">
    <w:abstractNumId w:val="32"/>
  </w:num>
  <w:num w:numId="61">
    <w:abstractNumId w:val="10"/>
  </w:num>
  <w:num w:numId="62">
    <w:abstractNumId w:val="3"/>
  </w:num>
  <w:num w:numId="63">
    <w:abstractNumId w:val="56"/>
  </w:num>
  <w:num w:numId="64">
    <w:abstractNumId w:val="41"/>
  </w:num>
  <w:num w:numId="65">
    <w:abstractNumId w:val="36"/>
  </w:num>
  <w:num w:numId="66">
    <w:abstractNumId w:val="22"/>
  </w:num>
  <w:num w:numId="67">
    <w:abstractNumId w:val="62"/>
  </w:num>
  <w:num w:numId="68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A1"/>
    <w:rsid w:val="00007440"/>
    <w:rsid w:val="00011B9C"/>
    <w:rsid w:val="000141F2"/>
    <w:rsid w:val="00016B0A"/>
    <w:rsid w:val="0001760C"/>
    <w:rsid w:val="00017F4C"/>
    <w:rsid w:val="00024711"/>
    <w:rsid w:val="00025310"/>
    <w:rsid w:val="00031AFB"/>
    <w:rsid w:val="0003527E"/>
    <w:rsid w:val="000372FD"/>
    <w:rsid w:val="00046991"/>
    <w:rsid w:val="00047D00"/>
    <w:rsid w:val="00053DBE"/>
    <w:rsid w:val="00060A8F"/>
    <w:rsid w:val="0006208A"/>
    <w:rsid w:val="00064090"/>
    <w:rsid w:val="00065D64"/>
    <w:rsid w:val="00070FB2"/>
    <w:rsid w:val="000739CC"/>
    <w:rsid w:val="00074148"/>
    <w:rsid w:val="00074541"/>
    <w:rsid w:val="00080CA2"/>
    <w:rsid w:val="000820C8"/>
    <w:rsid w:val="00086BEB"/>
    <w:rsid w:val="000913E9"/>
    <w:rsid w:val="00093E4A"/>
    <w:rsid w:val="000957C5"/>
    <w:rsid w:val="00096CE7"/>
    <w:rsid w:val="000975D2"/>
    <w:rsid w:val="0009772B"/>
    <w:rsid w:val="000A1803"/>
    <w:rsid w:val="000A20BF"/>
    <w:rsid w:val="000A3089"/>
    <w:rsid w:val="000A5F29"/>
    <w:rsid w:val="000B27C4"/>
    <w:rsid w:val="000B63DE"/>
    <w:rsid w:val="000C281D"/>
    <w:rsid w:val="000C3A48"/>
    <w:rsid w:val="000C657F"/>
    <w:rsid w:val="000C7B74"/>
    <w:rsid w:val="000D6117"/>
    <w:rsid w:val="000D69A7"/>
    <w:rsid w:val="000D7B1D"/>
    <w:rsid w:val="000D7D21"/>
    <w:rsid w:val="000E01B7"/>
    <w:rsid w:val="000E48B6"/>
    <w:rsid w:val="000E7326"/>
    <w:rsid w:val="000E7E86"/>
    <w:rsid w:val="000F2BE1"/>
    <w:rsid w:val="000F362E"/>
    <w:rsid w:val="000F7863"/>
    <w:rsid w:val="001047A5"/>
    <w:rsid w:val="001055CF"/>
    <w:rsid w:val="00111479"/>
    <w:rsid w:val="00113CA5"/>
    <w:rsid w:val="00121511"/>
    <w:rsid w:val="00121982"/>
    <w:rsid w:val="00126284"/>
    <w:rsid w:val="00136707"/>
    <w:rsid w:val="00141B4B"/>
    <w:rsid w:val="00147A4A"/>
    <w:rsid w:val="00147DC7"/>
    <w:rsid w:val="00151341"/>
    <w:rsid w:val="00152DA6"/>
    <w:rsid w:val="00155160"/>
    <w:rsid w:val="00156615"/>
    <w:rsid w:val="00157045"/>
    <w:rsid w:val="00160AA9"/>
    <w:rsid w:val="00167955"/>
    <w:rsid w:val="00167A90"/>
    <w:rsid w:val="00171364"/>
    <w:rsid w:val="0017286E"/>
    <w:rsid w:val="001743E6"/>
    <w:rsid w:val="0017604E"/>
    <w:rsid w:val="00177395"/>
    <w:rsid w:val="00181905"/>
    <w:rsid w:val="00181C2F"/>
    <w:rsid w:val="00183D84"/>
    <w:rsid w:val="0018400A"/>
    <w:rsid w:val="0018618C"/>
    <w:rsid w:val="00186391"/>
    <w:rsid w:val="00190B1B"/>
    <w:rsid w:val="00191E9D"/>
    <w:rsid w:val="001969CF"/>
    <w:rsid w:val="001977A0"/>
    <w:rsid w:val="001A0F95"/>
    <w:rsid w:val="001A1B17"/>
    <w:rsid w:val="001A42FE"/>
    <w:rsid w:val="001B23EA"/>
    <w:rsid w:val="001B345D"/>
    <w:rsid w:val="001B55E5"/>
    <w:rsid w:val="001B5756"/>
    <w:rsid w:val="001B797B"/>
    <w:rsid w:val="001C00E3"/>
    <w:rsid w:val="001C1CAA"/>
    <w:rsid w:val="001C1EDB"/>
    <w:rsid w:val="001C45D3"/>
    <w:rsid w:val="001D02E9"/>
    <w:rsid w:val="001D0FD9"/>
    <w:rsid w:val="001D2DF2"/>
    <w:rsid w:val="001D5243"/>
    <w:rsid w:val="001E3DD3"/>
    <w:rsid w:val="001E4127"/>
    <w:rsid w:val="001E57FF"/>
    <w:rsid w:val="001F1AA2"/>
    <w:rsid w:val="001F35C0"/>
    <w:rsid w:val="0020289F"/>
    <w:rsid w:val="002034F7"/>
    <w:rsid w:val="002075CD"/>
    <w:rsid w:val="00210E15"/>
    <w:rsid w:val="00211577"/>
    <w:rsid w:val="00215E5F"/>
    <w:rsid w:val="0022310B"/>
    <w:rsid w:val="00226158"/>
    <w:rsid w:val="00227A18"/>
    <w:rsid w:val="002300E2"/>
    <w:rsid w:val="0023130E"/>
    <w:rsid w:val="0023320A"/>
    <w:rsid w:val="00233D20"/>
    <w:rsid w:val="00233D81"/>
    <w:rsid w:val="002351F3"/>
    <w:rsid w:val="00236CAF"/>
    <w:rsid w:val="00237DD0"/>
    <w:rsid w:val="00240CC1"/>
    <w:rsid w:val="00244FAF"/>
    <w:rsid w:val="002469C4"/>
    <w:rsid w:val="0025034A"/>
    <w:rsid w:val="002522A4"/>
    <w:rsid w:val="00260E52"/>
    <w:rsid w:val="00263477"/>
    <w:rsid w:val="00265CC6"/>
    <w:rsid w:val="00267E23"/>
    <w:rsid w:val="00270452"/>
    <w:rsid w:val="0027072A"/>
    <w:rsid w:val="002714A7"/>
    <w:rsid w:val="002724D9"/>
    <w:rsid w:val="002736A0"/>
    <w:rsid w:val="00273856"/>
    <w:rsid w:val="00273C9D"/>
    <w:rsid w:val="00274886"/>
    <w:rsid w:val="00275517"/>
    <w:rsid w:val="00276157"/>
    <w:rsid w:val="002852C8"/>
    <w:rsid w:val="00287B08"/>
    <w:rsid w:val="00292035"/>
    <w:rsid w:val="00295335"/>
    <w:rsid w:val="002A05F7"/>
    <w:rsid w:val="002A21EF"/>
    <w:rsid w:val="002A3170"/>
    <w:rsid w:val="002A6CAA"/>
    <w:rsid w:val="002A7B7C"/>
    <w:rsid w:val="002B2D85"/>
    <w:rsid w:val="002B3247"/>
    <w:rsid w:val="002B3B68"/>
    <w:rsid w:val="002B575A"/>
    <w:rsid w:val="002B7228"/>
    <w:rsid w:val="002B77B0"/>
    <w:rsid w:val="002C0A4C"/>
    <w:rsid w:val="002C4F3F"/>
    <w:rsid w:val="002D1361"/>
    <w:rsid w:val="002D409F"/>
    <w:rsid w:val="002E422B"/>
    <w:rsid w:val="002E5880"/>
    <w:rsid w:val="002F05C7"/>
    <w:rsid w:val="002F159A"/>
    <w:rsid w:val="002F1A16"/>
    <w:rsid w:val="002F65DE"/>
    <w:rsid w:val="00301F9B"/>
    <w:rsid w:val="00310993"/>
    <w:rsid w:val="00312627"/>
    <w:rsid w:val="00312A51"/>
    <w:rsid w:val="0031377D"/>
    <w:rsid w:val="0031794F"/>
    <w:rsid w:val="00321277"/>
    <w:rsid w:val="00321334"/>
    <w:rsid w:val="00324EDC"/>
    <w:rsid w:val="00327983"/>
    <w:rsid w:val="003358C3"/>
    <w:rsid w:val="00336263"/>
    <w:rsid w:val="00340E9A"/>
    <w:rsid w:val="00347E30"/>
    <w:rsid w:val="003508FC"/>
    <w:rsid w:val="00350BCD"/>
    <w:rsid w:val="00363B55"/>
    <w:rsid w:val="00367448"/>
    <w:rsid w:val="00370343"/>
    <w:rsid w:val="003760BF"/>
    <w:rsid w:val="0037767A"/>
    <w:rsid w:val="0038283F"/>
    <w:rsid w:val="00383C77"/>
    <w:rsid w:val="00384CA1"/>
    <w:rsid w:val="0038584E"/>
    <w:rsid w:val="003924C2"/>
    <w:rsid w:val="00395F57"/>
    <w:rsid w:val="003A14A7"/>
    <w:rsid w:val="003A550C"/>
    <w:rsid w:val="003A5836"/>
    <w:rsid w:val="003A5E2E"/>
    <w:rsid w:val="003B0388"/>
    <w:rsid w:val="003B04B4"/>
    <w:rsid w:val="003B100E"/>
    <w:rsid w:val="003B142D"/>
    <w:rsid w:val="003B5DA6"/>
    <w:rsid w:val="003C15FB"/>
    <w:rsid w:val="003D35CB"/>
    <w:rsid w:val="003D3AE7"/>
    <w:rsid w:val="003E1E12"/>
    <w:rsid w:val="003E3C19"/>
    <w:rsid w:val="003E5C97"/>
    <w:rsid w:val="003F07AE"/>
    <w:rsid w:val="003F141B"/>
    <w:rsid w:val="003F4150"/>
    <w:rsid w:val="003F41AF"/>
    <w:rsid w:val="003F76B0"/>
    <w:rsid w:val="003F793D"/>
    <w:rsid w:val="0040120C"/>
    <w:rsid w:val="004014C2"/>
    <w:rsid w:val="00402B85"/>
    <w:rsid w:val="00407D99"/>
    <w:rsid w:val="00411A59"/>
    <w:rsid w:val="004164C7"/>
    <w:rsid w:val="00421AC7"/>
    <w:rsid w:val="00423A18"/>
    <w:rsid w:val="00427AAC"/>
    <w:rsid w:val="00427EA2"/>
    <w:rsid w:val="00436DF8"/>
    <w:rsid w:val="00437247"/>
    <w:rsid w:val="0044141C"/>
    <w:rsid w:val="0044627B"/>
    <w:rsid w:val="0044756E"/>
    <w:rsid w:val="00447D24"/>
    <w:rsid w:val="0045008B"/>
    <w:rsid w:val="00451D6B"/>
    <w:rsid w:val="00452D3F"/>
    <w:rsid w:val="00454176"/>
    <w:rsid w:val="00457281"/>
    <w:rsid w:val="004635E8"/>
    <w:rsid w:val="00464DC4"/>
    <w:rsid w:val="004651A8"/>
    <w:rsid w:val="00472190"/>
    <w:rsid w:val="0047222A"/>
    <w:rsid w:val="004766E7"/>
    <w:rsid w:val="004839CD"/>
    <w:rsid w:val="0048684D"/>
    <w:rsid w:val="00487935"/>
    <w:rsid w:val="00490CA8"/>
    <w:rsid w:val="00492D18"/>
    <w:rsid w:val="00495A15"/>
    <w:rsid w:val="004A29EE"/>
    <w:rsid w:val="004A3986"/>
    <w:rsid w:val="004A6A80"/>
    <w:rsid w:val="004A786C"/>
    <w:rsid w:val="004B035A"/>
    <w:rsid w:val="004B0755"/>
    <w:rsid w:val="004B50B0"/>
    <w:rsid w:val="004B54DE"/>
    <w:rsid w:val="004C1D41"/>
    <w:rsid w:val="004C75E0"/>
    <w:rsid w:val="004D1D67"/>
    <w:rsid w:val="004D6041"/>
    <w:rsid w:val="004D6D83"/>
    <w:rsid w:val="004E46D2"/>
    <w:rsid w:val="004F33D1"/>
    <w:rsid w:val="004F3B6A"/>
    <w:rsid w:val="004F4B52"/>
    <w:rsid w:val="004F58B4"/>
    <w:rsid w:val="00502F3B"/>
    <w:rsid w:val="00504B08"/>
    <w:rsid w:val="00505076"/>
    <w:rsid w:val="00512B0D"/>
    <w:rsid w:val="0051394E"/>
    <w:rsid w:val="00516BF0"/>
    <w:rsid w:val="00521038"/>
    <w:rsid w:val="005217ED"/>
    <w:rsid w:val="00524EAC"/>
    <w:rsid w:val="005258F1"/>
    <w:rsid w:val="00527D8E"/>
    <w:rsid w:val="00530A88"/>
    <w:rsid w:val="00532CC7"/>
    <w:rsid w:val="00534FD6"/>
    <w:rsid w:val="00541B8B"/>
    <w:rsid w:val="00541CF9"/>
    <w:rsid w:val="005465FF"/>
    <w:rsid w:val="005507D1"/>
    <w:rsid w:val="005574B1"/>
    <w:rsid w:val="00563533"/>
    <w:rsid w:val="005636D9"/>
    <w:rsid w:val="0056460D"/>
    <w:rsid w:val="005657DD"/>
    <w:rsid w:val="0056681E"/>
    <w:rsid w:val="00572824"/>
    <w:rsid w:val="005734AE"/>
    <w:rsid w:val="005752C0"/>
    <w:rsid w:val="00575AD6"/>
    <w:rsid w:val="00580886"/>
    <w:rsid w:val="00582034"/>
    <w:rsid w:val="005826B1"/>
    <w:rsid w:val="00583219"/>
    <w:rsid w:val="005839E0"/>
    <w:rsid w:val="00583D5E"/>
    <w:rsid w:val="005857A3"/>
    <w:rsid w:val="00592FD1"/>
    <w:rsid w:val="0059361D"/>
    <w:rsid w:val="0059516D"/>
    <w:rsid w:val="005A0BD8"/>
    <w:rsid w:val="005A294F"/>
    <w:rsid w:val="005A436B"/>
    <w:rsid w:val="005B31EC"/>
    <w:rsid w:val="005B365A"/>
    <w:rsid w:val="005B45A0"/>
    <w:rsid w:val="005B4CE8"/>
    <w:rsid w:val="005B5466"/>
    <w:rsid w:val="005B5E06"/>
    <w:rsid w:val="005C19DB"/>
    <w:rsid w:val="005C2ED7"/>
    <w:rsid w:val="005C4693"/>
    <w:rsid w:val="005D141F"/>
    <w:rsid w:val="005E362E"/>
    <w:rsid w:val="005E53B6"/>
    <w:rsid w:val="005E7F1F"/>
    <w:rsid w:val="005F150D"/>
    <w:rsid w:val="005F4EAE"/>
    <w:rsid w:val="00600647"/>
    <w:rsid w:val="00602073"/>
    <w:rsid w:val="00602E1C"/>
    <w:rsid w:val="00603C40"/>
    <w:rsid w:val="0060414C"/>
    <w:rsid w:val="00607442"/>
    <w:rsid w:val="006107E3"/>
    <w:rsid w:val="00612A42"/>
    <w:rsid w:val="006138F3"/>
    <w:rsid w:val="006168D4"/>
    <w:rsid w:val="006173D4"/>
    <w:rsid w:val="00620E7E"/>
    <w:rsid w:val="00622201"/>
    <w:rsid w:val="0062366E"/>
    <w:rsid w:val="00624B4B"/>
    <w:rsid w:val="00625CFE"/>
    <w:rsid w:val="00632565"/>
    <w:rsid w:val="00637226"/>
    <w:rsid w:val="00640BDA"/>
    <w:rsid w:val="006422CB"/>
    <w:rsid w:val="0064538B"/>
    <w:rsid w:val="00645A09"/>
    <w:rsid w:val="006521AC"/>
    <w:rsid w:val="006521B8"/>
    <w:rsid w:val="00656083"/>
    <w:rsid w:val="00662C07"/>
    <w:rsid w:val="00671BC3"/>
    <w:rsid w:val="00671D6D"/>
    <w:rsid w:val="00671E54"/>
    <w:rsid w:val="00675533"/>
    <w:rsid w:val="00676272"/>
    <w:rsid w:val="00680515"/>
    <w:rsid w:val="00680619"/>
    <w:rsid w:val="0068155E"/>
    <w:rsid w:val="00682A29"/>
    <w:rsid w:val="00684AC0"/>
    <w:rsid w:val="006927D9"/>
    <w:rsid w:val="006971BD"/>
    <w:rsid w:val="006B16FE"/>
    <w:rsid w:val="006B3487"/>
    <w:rsid w:val="006B55E6"/>
    <w:rsid w:val="006C079F"/>
    <w:rsid w:val="006C12EE"/>
    <w:rsid w:val="006C1AD9"/>
    <w:rsid w:val="006C1DF3"/>
    <w:rsid w:val="006C30A9"/>
    <w:rsid w:val="006C4EDD"/>
    <w:rsid w:val="006D44E5"/>
    <w:rsid w:val="006D5B40"/>
    <w:rsid w:val="006D6D2D"/>
    <w:rsid w:val="006E3D41"/>
    <w:rsid w:val="006E514B"/>
    <w:rsid w:val="006E7A38"/>
    <w:rsid w:val="006F456C"/>
    <w:rsid w:val="006F5F18"/>
    <w:rsid w:val="006F7B79"/>
    <w:rsid w:val="006F7E45"/>
    <w:rsid w:val="0070151B"/>
    <w:rsid w:val="007018CA"/>
    <w:rsid w:val="00702EB7"/>
    <w:rsid w:val="00703862"/>
    <w:rsid w:val="007038BF"/>
    <w:rsid w:val="007077D3"/>
    <w:rsid w:val="00715FB7"/>
    <w:rsid w:val="00720198"/>
    <w:rsid w:val="00724B0C"/>
    <w:rsid w:val="00725A6E"/>
    <w:rsid w:val="0072753C"/>
    <w:rsid w:val="0073354E"/>
    <w:rsid w:val="00741DA3"/>
    <w:rsid w:val="00743EC7"/>
    <w:rsid w:val="00744F37"/>
    <w:rsid w:val="007518D8"/>
    <w:rsid w:val="00751B5C"/>
    <w:rsid w:val="00752108"/>
    <w:rsid w:val="0075235D"/>
    <w:rsid w:val="00757452"/>
    <w:rsid w:val="00790AA7"/>
    <w:rsid w:val="00797078"/>
    <w:rsid w:val="007A6442"/>
    <w:rsid w:val="007C03A7"/>
    <w:rsid w:val="007C2873"/>
    <w:rsid w:val="007C393B"/>
    <w:rsid w:val="007D004C"/>
    <w:rsid w:val="007D05BB"/>
    <w:rsid w:val="007D21C7"/>
    <w:rsid w:val="007D3240"/>
    <w:rsid w:val="007D5E55"/>
    <w:rsid w:val="007E09CA"/>
    <w:rsid w:val="007E3D7A"/>
    <w:rsid w:val="007E6762"/>
    <w:rsid w:val="007E727D"/>
    <w:rsid w:val="007E7C36"/>
    <w:rsid w:val="007F14B2"/>
    <w:rsid w:val="007F3004"/>
    <w:rsid w:val="007F35E8"/>
    <w:rsid w:val="007F633F"/>
    <w:rsid w:val="007F740B"/>
    <w:rsid w:val="0080111F"/>
    <w:rsid w:val="008024AF"/>
    <w:rsid w:val="00804C7C"/>
    <w:rsid w:val="0080650D"/>
    <w:rsid w:val="00815C1C"/>
    <w:rsid w:val="008215F8"/>
    <w:rsid w:val="00822DF1"/>
    <w:rsid w:val="00841B5B"/>
    <w:rsid w:val="00842D51"/>
    <w:rsid w:val="00846416"/>
    <w:rsid w:val="008520CB"/>
    <w:rsid w:val="00853498"/>
    <w:rsid w:val="00855842"/>
    <w:rsid w:val="00856E26"/>
    <w:rsid w:val="008616E1"/>
    <w:rsid w:val="00862B24"/>
    <w:rsid w:val="00864403"/>
    <w:rsid w:val="008666A2"/>
    <w:rsid w:val="0086686A"/>
    <w:rsid w:val="00874B06"/>
    <w:rsid w:val="00877006"/>
    <w:rsid w:val="00883D77"/>
    <w:rsid w:val="00886550"/>
    <w:rsid w:val="00890EF4"/>
    <w:rsid w:val="008A0F5D"/>
    <w:rsid w:val="008A239C"/>
    <w:rsid w:val="008A287B"/>
    <w:rsid w:val="008A29F4"/>
    <w:rsid w:val="008A530A"/>
    <w:rsid w:val="008B0D6B"/>
    <w:rsid w:val="008B3311"/>
    <w:rsid w:val="008B5CB3"/>
    <w:rsid w:val="008C40E4"/>
    <w:rsid w:val="008C53D0"/>
    <w:rsid w:val="008C7B78"/>
    <w:rsid w:val="008D223C"/>
    <w:rsid w:val="008D31DD"/>
    <w:rsid w:val="008D3A03"/>
    <w:rsid w:val="008D4169"/>
    <w:rsid w:val="008D450B"/>
    <w:rsid w:val="008E1959"/>
    <w:rsid w:val="008E1B2D"/>
    <w:rsid w:val="008E3265"/>
    <w:rsid w:val="008E5930"/>
    <w:rsid w:val="008F285B"/>
    <w:rsid w:val="008F430C"/>
    <w:rsid w:val="00901CF6"/>
    <w:rsid w:val="00901F88"/>
    <w:rsid w:val="00904B39"/>
    <w:rsid w:val="0090733E"/>
    <w:rsid w:val="00907AC7"/>
    <w:rsid w:val="00912C3C"/>
    <w:rsid w:val="00916475"/>
    <w:rsid w:val="00917B0C"/>
    <w:rsid w:val="0092279E"/>
    <w:rsid w:val="009233B3"/>
    <w:rsid w:val="00925D99"/>
    <w:rsid w:val="00926D48"/>
    <w:rsid w:val="00936DA1"/>
    <w:rsid w:val="00937D29"/>
    <w:rsid w:val="009408CD"/>
    <w:rsid w:val="00946FF6"/>
    <w:rsid w:val="009470B3"/>
    <w:rsid w:val="009554D7"/>
    <w:rsid w:val="00956C4C"/>
    <w:rsid w:val="00957332"/>
    <w:rsid w:val="00963F6A"/>
    <w:rsid w:val="00964FEA"/>
    <w:rsid w:val="0096517E"/>
    <w:rsid w:val="0096538A"/>
    <w:rsid w:val="00965D7D"/>
    <w:rsid w:val="00966344"/>
    <w:rsid w:val="00974429"/>
    <w:rsid w:val="00974C33"/>
    <w:rsid w:val="00975B6A"/>
    <w:rsid w:val="00975D78"/>
    <w:rsid w:val="00976A47"/>
    <w:rsid w:val="0098019A"/>
    <w:rsid w:val="00980476"/>
    <w:rsid w:val="0098213A"/>
    <w:rsid w:val="0098740F"/>
    <w:rsid w:val="00987E98"/>
    <w:rsid w:val="00995F42"/>
    <w:rsid w:val="009975D7"/>
    <w:rsid w:val="009A0B27"/>
    <w:rsid w:val="009A2444"/>
    <w:rsid w:val="009A7CB8"/>
    <w:rsid w:val="009B09DF"/>
    <w:rsid w:val="009B2692"/>
    <w:rsid w:val="009B3ED6"/>
    <w:rsid w:val="009B4882"/>
    <w:rsid w:val="009B4994"/>
    <w:rsid w:val="009B7848"/>
    <w:rsid w:val="009D1E30"/>
    <w:rsid w:val="009D6008"/>
    <w:rsid w:val="009D6CA0"/>
    <w:rsid w:val="009D7904"/>
    <w:rsid w:val="009E23FD"/>
    <w:rsid w:val="009E7F51"/>
    <w:rsid w:val="009F1150"/>
    <w:rsid w:val="009F1641"/>
    <w:rsid w:val="009F3ECE"/>
    <w:rsid w:val="009F6037"/>
    <w:rsid w:val="009F64CA"/>
    <w:rsid w:val="00A00705"/>
    <w:rsid w:val="00A00D8A"/>
    <w:rsid w:val="00A04C96"/>
    <w:rsid w:val="00A062DD"/>
    <w:rsid w:val="00A126B7"/>
    <w:rsid w:val="00A20208"/>
    <w:rsid w:val="00A210ED"/>
    <w:rsid w:val="00A26E4D"/>
    <w:rsid w:val="00A3246B"/>
    <w:rsid w:val="00A37763"/>
    <w:rsid w:val="00A37E84"/>
    <w:rsid w:val="00A51F8A"/>
    <w:rsid w:val="00A5389B"/>
    <w:rsid w:val="00A5429C"/>
    <w:rsid w:val="00A553E0"/>
    <w:rsid w:val="00A616F1"/>
    <w:rsid w:val="00A63442"/>
    <w:rsid w:val="00A64814"/>
    <w:rsid w:val="00A65751"/>
    <w:rsid w:val="00A6578A"/>
    <w:rsid w:val="00A67059"/>
    <w:rsid w:val="00A822B9"/>
    <w:rsid w:val="00A82437"/>
    <w:rsid w:val="00A8266F"/>
    <w:rsid w:val="00A842BD"/>
    <w:rsid w:val="00A843C4"/>
    <w:rsid w:val="00A87A49"/>
    <w:rsid w:val="00A90FEA"/>
    <w:rsid w:val="00A9385C"/>
    <w:rsid w:val="00AA15F5"/>
    <w:rsid w:val="00AA234E"/>
    <w:rsid w:val="00AA4377"/>
    <w:rsid w:val="00AA6221"/>
    <w:rsid w:val="00AB0D97"/>
    <w:rsid w:val="00AB1D82"/>
    <w:rsid w:val="00AB31EE"/>
    <w:rsid w:val="00AB35CC"/>
    <w:rsid w:val="00AB5A6B"/>
    <w:rsid w:val="00AB649B"/>
    <w:rsid w:val="00AB7AC7"/>
    <w:rsid w:val="00AC22FB"/>
    <w:rsid w:val="00AC2DB9"/>
    <w:rsid w:val="00AC61BE"/>
    <w:rsid w:val="00AD19D0"/>
    <w:rsid w:val="00AD74B7"/>
    <w:rsid w:val="00AE175E"/>
    <w:rsid w:val="00AE43A5"/>
    <w:rsid w:val="00AE45A1"/>
    <w:rsid w:val="00AE5146"/>
    <w:rsid w:val="00AE64F0"/>
    <w:rsid w:val="00AF73ED"/>
    <w:rsid w:val="00B05986"/>
    <w:rsid w:val="00B06826"/>
    <w:rsid w:val="00B11C7F"/>
    <w:rsid w:val="00B14685"/>
    <w:rsid w:val="00B14697"/>
    <w:rsid w:val="00B152BF"/>
    <w:rsid w:val="00B17817"/>
    <w:rsid w:val="00B178EF"/>
    <w:rsid w:val="00B1797D"/>
    <w:rsid w:val="00B20167"/>
    <w:rsid w:val="00B20D42"/>
    <w:rsid w:val="00B271EC"/>
    <w:rsid w:val="00B30682"/>
    <w:rsid w:val="00B32C7D"/>
    <w:rsid w:val="00B37954"/>
    <w:rsid w:val="00B505BA"/>
    <w:rsid w:val="00B512F1"/>
    <w:rsid w:val="00B6119B"/>
    <w:rsid w:val="00B64430"/>
    <w:rsid w:val="00B646EF"/>
    <w:rsid w:val="00B75E09"/>
    <w:rsid w:val="00B81128"/>
    <w:rsid w:val="00B83523"/>
    <w:rsid w:val="00B83AF5"/>
    <w:rsid w:val="00B86962"/>
    <w:rsid w:val="00B908E9"/>
    <w:rsid w:val="00B939A3"/>
    <w:rsid w:val="00B96BA0"/>
    <w:rsid w:val="00BA1137"/>
    <w:rsid w:val="00BA4A37"/>
    <w:rsid w:val="00BA4B4A"/>
    <w:rsid w:val="00BB6B30"/>
    <w:rsid w:val="00BC0218"/>
    <w:rsid w:val="00BC24D2"/>
    <w:rsid w:val="00BC4755"/>
    <w:rsid w:val="00BC4DB8"/>
    <w:rsid w:val="00BC4F35"/>
    <w:rsid w:val="00BC6BAC"/>
    <w:rsid w:val="00BC715D"/>
    <w:rsid w:val="00BD195F"/>
    <w:rsid w:val="00BD1CF5"/>
    <w:rsid w:val="00BD5999"/>
    <w:rsid w:val="00BE2A86"/>
    <w:rsid w:val="00BE5E2B"/>
    <w:rsid w:val="00BF0B9A"/>
    <w:rsid w:val="00BF1BDA"/>
    <w:rsid w:val="00BF554D"/>
    <w:rsid w:val="00C013F5"/>
    <w:rsid w:val="00C02B99"/>
    <w:rsid w:val="00C051DD"/>
    <w:rsid w:val="00C054C8"/>
    <w:rsid w:val="00C079CF"/>
    <w:rsid w:val="00C07FC4"/>
    <w:rsid w:val="00C103D5"/>
    <w:rsid w:val="00C103F7"/>
    <w:rsid w:val="00C10D27"/>
    <w:rsid w:val="00C11F72"/>
    <w:rsid w:val="00C13550"/>
    <w:rsid w:val="00C223CC"/>
    <w:rsid w:val="00C30B09"/>
    <w:rsid w:val="00C33659"/>
    <w:rsid w:val="00C351AB"/>
    <w:rsid w:val="00C357E6"/>
    <w:rsid w:val="00C41ADA"/>
    <w:rsid w:val="00C4208F"/>
    <w:rsid w:val="00C43DE4"/>
    <w:rsid w:val="00C453E0"/>
    <w:rsid w:val="00C52A79"/>
    <w:rsid w:val="00C54B44"/>
    <w:rsid w:val="00C57338"/>
    <w:rsid w:val="00C60C28"/>
    <w:rsid w:val="00C62BDE"/>
    <w:rsid w:val="00C63A67"/>
    <w:rsid w:val="00C64B5C"/>
    <w:rsid w:val="00C65C8D"/>
    <w:rsid w:val="00C66B03"/>
    <w:rsid w:val="00C678D1"/>
    <w:rsid w:val="00C7197D"/>
    <w:rsid w:val="00C75C28"/>
    <w:rsid w:val="00C77D19"/>
    <w:rsid w:val="00C80FBE"/>
    <w:rsid w:val="00C81C71"/>
    <w:rsid w:val="00C82E36"/>
    <w:rsid w:val="00C8715D"/>
    <w:rsid w:val="00C9697F"/>
    <w:rsid w:val="00C974BC"/>
    <w:rsid w:val="00CA2456"/>
    <w:rsid w:val="00CA583F"/>
    <w:rsid w:val="00CA6EAB"/>
    <w:rsid w:val="00CB2503"/>
    <w:rsid w:val="00CB74B1"/>
    <w:rsid w:val="00CB7A97"/>
    <w:rsid w:val="00CC3EC8"/>
    <w:rsid w:val="00CD0616"/>
    <w:rsid w:val="00CD0C2D"/>
    <w:rsid w:val="00CD1370"/>
    <w:rsid w:val="00CD1758"/>
    <w:rsid w:val="00CE0A49"/>
    <w:rsid w:val="00CE3941"/>
    <w:rsid w:val="00CE3A28"/>
    <w:rsid w:val="00CE5F2D"/>
    <w:rsid w:val="00CF4272"/>
    <w:rsid w:val="00CF65DC"/>
    <w:rsid w:val="00D059C3"/>
    <w:rsid w:val="00D16DE8"/>
    <w:rsid w:val="00D224E6"/>
    <w:rsid w:val="00D228FD"/>
    <w:rsid w:val="00D27B52"/>
    <w:rsid w:val="00D561D7"/>
    <w:rsid w:val="00D572B8"/>
    <w:rsid w:val="00D614D1"/>
    <w:rsid w:val="00D61517"/>
    <w:rsid w:val="00D72B09"/>
    <w:rsid w:val="00D818A0"/>
    <w:rsid w:val="00D81F38"/>
    <w:rsid w:val="00D84AEE"/>
    <w:rsid w:val="00D87210"/>
    <w:rsid w:val="00D90746"/>
    <w:rsid w:val="00D96674"/>
    <w:rsid w:val="00DA0C92"/>
    <w:rsid w:val="00DA2F82"/>
    <w:rsid w:val="00DA72D9"/>
    <w:rsid w:val="00DB0899"/>
    <w:rsid w:val="00DB0DED"/>
    <w:rsid w:val="00DB2C68"/>
    <w:rsid w:val="00DB3DE2"/>
    <w:rsid w:val="00DB53DE"/>
    <w:rsid w:val="00DB65BD"/>
    <w:rsid w:val="00DC16F4"/>
    <w:rsid w:val="00DC2F78"/>
    <w:rsid w:val="00DC4267"/>
    <w:rsid w:val="00DC47DC"/>
    <w:rsid w:val="00DC5B55"/>
    <w:rsid w:val="00DD427D"/>
    <w:rsid w:val="00DD7551"/>
    <w:rsid w:val="00DD7665"/>
    <w:rsid w:val="00DE00D1"/>
    <w:rsid w:val="00DE011D"/>
    <w:rsid w:val="00DE4116"/>
    <w:rsid w:val="00DE4229"/>
    <w:rsid w:val="00DE50FA"/>
    <w:rsid w:val="00DE699E"/>
    <w:rsid w:val="00DE6CC7"/>
    <w:rsid w:val="00DF483F"/>
    <w:rsid w:val="00E00716"/>
    <w:rsid w:val="00E02E66"/>
    <w:rsid w:val="00E1114C"/>
    <w:rsid w:val="00E1277B"/>
    <w:rsid w:val="00E131E7"/>
    <w:rsid w:val="00E134DB"/>
    <w:rsid w:val="00E15876"/>
    <w:rsid w:val="00E20388"/>
    <w:rsid w:val="00E25E50"/>
    <w:rsid w:val="00E272F0"/>
    <w:rsid w:val="00E328A0"/>
    <w:rsid w:val="00E35CBC"/>
    <w:rsid w:val="00E40B91"/>
    <w:rsid w:val="00E42136"/>
    <w:rsid w:val="00E42BF5"/>
    <w:rsid w:val="00E4456F"/>
    <w:rsid w:val="00E45F87"/>
    <w:rsid w:val="00E500A0"/>
    <w:rsid w:val="00E5568D"/>
    <w:rsid w:val="00E56C0A"/>
    <w:rsid w:val="00E57A17"/>
    <w:rsid w:val="00E61A5F"/>
    <w:rsid w:val="00E64E9B"/>
    <w:rsid w:val="00E70EEF"/>
    <w:rsid w:val="00E7334A"/>
    <w:rsid w:val="00E7756D"/>
    <w:rsid w:val="00E85478"/>
    <w:rsid w:val="00E85C57"/>
    <w:rsid w:val="00E86A4B"/>
    <w:rsid w:val="00E87DFD"/>
    <w:rsid w:val="00E923D3"/>
    <w:rsid w:val="00E9568F"/>
    <w:rsid w:val="00EA1BC1"/>
    <w:rsid w:val="00EA331D"/>
    <w:rsid w:val="00EA34FF"/>
    <w:rsid w:val="00EB0FF6"/>
    <w:rsid w:val="00EB2915"/>
    <w:rsid w:val="00EB3785"/>
    <w:rsid w:val="00EB3D58"/>
    <w:rsid w:val="00EC6DEA"/>
    <w:rsid w:val="00EC771D"/>
    <w:rsid w:val="00ED69A8"/>
    <w:rsid w:val="00EE03F3"/>
    <w:rsid w:val="00EE0D68"/>
    <w:rsid w:val="00EE74B9"/>
    <w:rsid w:val="00EF567A"/>
    <w:rsid w:val="00EF6830"/>
    <w:rsid w:val="00EF7432"/>
    <w:rsid w:val="00F018A9"/>
    <w:rsid w:val="00F11010"/>
    <w:rsid w:val="00F12098"/>
    <w:rsid w:val="00F1721B"/>
    <w:rsid w:val="00F20B74"/>
    <w:rsid w:val="00F22BCA"/>
    <w:rsid w:val="00F45C45"/>
    <w:rsid w:val="00F462D5"/>
    <w:rsid w:val="00F468A9"/>
    <w:rsid w:val="00F50864"/>
    <w:rsid w:val="00F54F72"/>
    <w:rsid w:val="00F55CC1"/>
    <w:rsid w:val="00F61816"/>
    <w:rsid w:val="00F67487"/>
    <w:rsid w:val="00F67B9A"/>
    <w:rsid w:val="00F7469C"/>
    <w:rsid w:val="00F84004"/>
    <w:rsid w:val="00F9093D"/>
    <w:rsid w:val="00F92184"/>
    <w:rsid w:val="00F935C3"/>
    <w:rsid w:val="00FA1560"/>
    <w:rsid w:val="00FA5C74"/>
    <w:rsid w:val="00FB3129"/>
    <w:rsid w:val="00FB3E2A"/>
    <w:rsid w:val="00FB3F0B"/>
    <w:rsid w:val="00FB5929"/>
    <w:rsid w:val="00FB749F"/>
    <w:rsid w:val="00FC281C"/>
    <w:rsid w:val="00FC381F"/>
    <w:rsid w:val="00FC3E42"/>
    <w:rsid w:val="00FD1749"/>
    <w:rsid w:val="00FD506E"/>
    <w:rsid w:val="00FD58D9"/>
    <w:rsid w:val="00FD5A68"/>
    <w:rsid w:val="00FE1992"/>
    <w:rsid w:val="00FE2458"/>
    <w:rsid w:val="00FE39F7"/>
    <w:rsid w:val="00FE511F"/>
    <w:rsid w:val="00FE644B"/>
    <w:rsid w:val="00FF1C3D"/>
    <w:rsid w:val="00FF61DD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C1"/>
    <w:pPr>
      <w:suppressAutoHyphens/>
      <w:spacing w:after="200"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5D35E5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5D35E5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E31773"/>
    <w:pPr>
      <w:keepNext/>
      <w:keepLines/>
      <w:spacing w:before="200" w:after="0"/>
      <w:outlineLvl w:val="2"/>
    </w:pPr>
    <w:rPr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D35E5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D35E5"/>
    <w:pPr>
      <w:keepNext/>
      <w:keepLines/>
      <w:spacing w:before="200" w:after="0"/>
      <w:outlineLvl w:val="4"/>
    </w:pPr>
    <w:rPr>
      <w:color w:val="243F6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D35E5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D35E5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D35E5"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D35E5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5E5"/>
    <w:rPr>
      <w:rFonts w:ascii="Times New Roman" w:hAnsi="Times New Roman"/>
      <w:b/>
      <w:bCs/>
      <w:color w:val="000000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5D35E5"/>
    <w:rPr>
      <w:rFonts w:ascii="Times New Roman" w:hAnsi="Times New Roman"/>
      <w:b/>
      <w:bCs/>
      <w:color w:val="000000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31773"/>
    <w:rPr>
      <w:rFonts w:ascii="Cambria" w:hAnsi="Cambria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35E5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35E5"/>
    <w:rPr>
      <w:rFonts w:ascii="Cambria" w:hAnsi="Cambria"/>
      <w:color w:val="243F60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5E5"/>
    <w:rPr>
      <w:rFonts w:ascii="Cambria" w:hAnsi="Cambria"/>
      <w:i/>
      <w:iCs/>
      <w:color w:val="243F60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5E5"/>
    <w:rPr>
      <w:rFonts w:ascii="Cambria" w:hAnsi="Cambria"/>
      <w:i/>
      <w:iCs/>
      <w:color w:val="404040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5E5"/>
    <w:rPr>
      <w:rFonts w:ascii="Cambria" w:hAnsi="Cambria"/>
      <w:color w:val="404040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5E5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5D35E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character" w:customStyle="1" w:styleId="Pravidla1Char">
    <w:name w:val="Pravidla 1 Char"/>
    <w:basedOn w:val="Nadpis1Char"/>
    <w:link w:val="Pravidla1"/>
    <w:rsid w:val="00BE7ACD"/>
    <w:rPr>
      <w:rFonts w:ascii="Cambria" w:hAnsi="Cambria"/>
      <w:b/>
      <w:bCs/>
      <w:color w:val="000000"/>
      <w:sz w:val="36"/>
      <w:szCs w:val="28"/>
      <w:lang w:eastAsia="ja-JP"/>
    </w:rPr>
  </w:style>
  <w:style w:type="character" w:customStyle="1" w:styleId="Pravidla11Char">
    <w:name w:val="Pravidla 1.1. Char"/>
    <w:basedOn w:val="Nadpis2Char"/>
    <w:link w:val="Pravidla11"/>
    <w:rsid w:val="00BE7ACD"/>
    <w:rPr>
      <w:rFonts w:ascii="Cambria" w:hAnsi="Cambria" w:cs="Arial"/>
      <w:b/>
      <w:bCs/>
      <w:color w:val="000000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rsid w:val="00C2115B"/>
    <w:rPr>
      <w:rFonts w:ascii="Cambria" w:hAnsi="Cambria"/>
      <w:b/>
      <w:bCs/>
      <w:sz w:val="24"/>
      <w:szCs w:val="24"/>
      <w:lang w:eastAsia="ja-JP"/>
    </w:rPr>
  </w:style>
  <w:style w:type="character" w:customStyle="1" w:styleId="Internetovodkaz">
    <w:name w:val="Internetový odkaz"/>
    <w:basedOn w:val="Standardnpsmoodstavce"/>
    <w:uiPriority w:val="99"/>
    <w:unhideWhenUsed/>
    <w:rsid w:val="00F64B9F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7E0A6B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semiHidden/>
    <w:rsid w:val="00532BD6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uiPriority w:val="99"/>
    <w:semiHidden/>
    <w:rsid w:val="00532BD6"/>
    <w:rPr>
      <w:vertAlign w:val="superscript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532BD6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775724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cs="Courier New"/>
      <w:b/>
    </w:rPr>
  </w:style>
  <w:style w:type="character" w:customStyle="1" w:styleId="ListLabel7">
    <w:name w:val="ListLabel 7"/>
    <w:rPr>
      <w:rFonts w:eastAsia="MS Mincho" w:cs="Arial"/>
      <w:b/>
    </w:rPr>
  </w:style>
  <w:style w:type="character" w:customStyle="1" w:styleId="ListLabel8">
    <w:name w:val="ListLabel 8"/>
    <w:rPr>
      <w:rFonts w:eastAsia="MS Mincho" w:cs="Times New Roman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ListLabel12">
    <w:name w:val="ListLabel 12"/>
    <w:rPr>
      <w:rFonts w:eastAsia="MS Mincho" w:cs="Arial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Odrky">
    <w:name w:val="Odrážky"/>
    <w:rPr>
      <w:rFonts w:ascii="OpenSymbol" w:eastAsia="OpenSymbol" w:hAnsi="OpenSymbol" w:cs="OpenSymbol"/>
      <w:sz w:val="36"/>
      <w:szCs w:val="3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unhideWhenUsed/>
    <w:rsid w:val="005D35E5"/>
    <w:pPr>
      <w:tabs>
        <w:tab w:val="center" w:pos="4320"/>
        <w:tab w:val="right" w:pos="8640"/>
      </w:tabs>
      <w:spacing w:after="0"/>
    </w:p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5D35E5"/>
    <w:pPr>
      <w:ind w:left="720"/>
      <w:contextualSpacing/>
    </w:pPr>
  </w:style>
  <w:style w:type="paragraph" w:customStyle="1" w:styleId="PravidlaA">
    <w:name w:val="Pravidla A"/>
    <w:basedOn w:val="Nadpis1"/>
    <w:qFormat/>
    <w:rsid w:val="00BE7ACD"/>
    <w:rPr>
      <w:rFonts w:ascii="Cambria" w:hAnsi="Cambria"/>
    </w:rPr>
  </w:style>
  <w:style w:type="paragraph" w:styleId="Textkomente">
    <w:name w:val="annotation text"/>
    <w:basedOn w:val="Normln"/>
    <w:link w:val="TextkomenteChar"/>
    <w:uiPriority w:val="99"/>
    <w:unhideWhenUsed/>
    <w:rsid w:val="005D35E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5E5"/>
    <w:pPr>
      <w:spacing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99"/>
    <w:pPr>
      <w:tabs>
        <w:tab w:val="center" w:pos="4536"/>
        <w:tab w:val="right" w:pos="9072"/>
      </w:tabs>
      <w:spacing w:after="0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BC6A53"/>
    <w:rPr>
      <w:b/>
      <w:bCs/>
    </w:rPr>
  </w:style>
  <w:style w:type="paragraph" w:customStyle="1" w:styleId="Pravidla1">
    <w:name w:val="Pravidla 1"/>
    <w:basedOn w:val="Nadpis1"/>
    <w:link w:val="Pravidla1Char"/>
    <w:qFormat/>
    <w:rsid w:val="00BE7ACD"/>
    <w:rPr>
      <w:rFonts w:ascii="Cambria" w:hAnsi="Cambria"/>
    </w:rPr>
  </w:style>
  <w:style w:type="paragraph" w:customStyle="1" w:styleId="Pravidla11">
    <w:name w:val="Pravidla 1.1."/>
    <w:basedOn w:val="Pravidla1"/>
    <w:link w:val="Pravidla11Char"/>
    <w:qFormat/>
    <w:rsid w:val="00BE7ACD"/>
    <w:rPr>
      <w:rFonts w:cs="Arial"/>
      <w:sz w:val="28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paragraph" w:styleId="Revize">
    <w:name w:val="Revision"/>
    <w:uiPriority w:val="99"/>
    <w:semiHidden/>
    <w:rsid w:val="00F9255E"/>
    <w:pPr>
      <w:suppressAutoHyphens/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Titulek">
    <w:name w:val="caption"/>
    <w:basedOn w:val="Normln"/>
    <w:uiPriority w:val="35"/>
    <w:unhideWhenUsed/>
    <w:qFormat/>
    <w:rsid w:val="00917052"/>
    <w:pPr>
      <w:jc w:val="both"/>
    </w:pPr>
    <w:rPr>
      <w:rFonts w:ascii="Arial" w:eastAsia="Times New Roman" w:hAnsi="Arial" w:cs="Arial"/>
      <w:b/>
      <w:bCs/>
      <w:color w:val="4F81BD"/>
      <w:sz w:val="18"/>
      <w:szCs w:val="18"/>
      <w:lang w:eastAsia="cs-CZ"/>
    </w:rPr>
  </w:style>
  <w:style w:type="paragraph" w:styleId="Obsah1">
    <w:name w:val="toc 1"/>
    <w:basedOn w:val="Normln"/>
    <w:autoRedefine/>
    <w:uiPriority w:val="39"/>
    <w:unhideWhenUsed/>
    <w:rsid w:val="00957332"/>
    <w:pPr>
      <w:tabs>
        <w:tab w:val="left" w:pos="880"/>
        <w:tab w:val="right" w:leader="dot" w:pos="9068"/>
      </w:tabs>
      <w:spacing w:after="100"/>
    </w:pPr>
  </w:style>
  <w:style w:type="paragraph" w:styleId="Obsah3">
    <w:name w:val="toc 3"/>
    <w:basedOn w:val="Normln"/>
    <w:autoRedefine/>
    <w:uiPriority w:val="39"/>
    <w:unhideWhenUsed/>
    <w:rsid w:val="00F64B9F"/>
    <w:pPr>
      <w:spacing w:after="100"/>
      <w:ind w:left="480"/>
    </w:pPr>
  </w:style>
  <w:style w:type="paragraph" w:customStyle="1" w:styleId="CharCharCharCharChar2CharCharChar">
    <w:name w:val="Char Char Char Char Char2 Char Char Char"/>
    <w:basedOn w:val="Normln"/>
    <w:rsid w:val="006D16AC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rsid w:val="007E0A6B"/>
    <w:pPr>
      <w:spacing w:after="120" w:line="480" w:lineRule="auto"/>
    </w:pPr>
    <w:rPr>
      <w:rFonts w:ascii="Times New Roman" w:eastAsia="Times New Roman" w:hAnsi="Times New Roman"/>
      <w:lang w:eastAsia="en-US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"/>
    <w:basedOn w:val="Normln"/>
    <w:link w:val="TextpoznpodarouChar"/>
    <w:semiHidden/>
    <w:rsid w:val="00532BD6"/>
    <w:pPr>
      <w:spacing w:before="120" w:after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rkyChar">
    <w:name w:val="odrážky Char"/>
    <w:basedOn w:val="Odsazentlatextu"/>
    <w:rsid w:val="00532BD6"/>
    <w:pPr>
      <w:spacing w:before="120" w:after="140"/>
      <w:ind w:left="0"/>
      <w:jc w:val="both"/>
    </w:pPr>
    <w:rPr>
      <w:rFonts w:ascii="Arial" w:eastAsia="Times New Roman" w:hAnsi="Arial" w:cs="Arial"/>
      <w:sz w:val="22"/>
      <w:szCs w:val="22"/>
      <w:lang w:eastAsia="cs-CZ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532BD6"/>
    <w:pPr>
      <w:spacing w:after="120"/>
      <w:ind w:left="283"/>
    </w:pPr>
  </w:style>
  <w:style w:type="paragraph" w:customStyle="1" w:styleId="Heading4Palatinoks">
    <w:name w:val="Heading 4 Palatino ks"/>
    <w:basedOn w:val="Nadpis4"/>
    <w:autoRedefine/>
    <w:rsid w:val="00C96EA6"/>
    <w:pPr>
      <w:spacing w:after="280"/>
      <w:jc w:val="both"/>
    </w:pPr>
    <w:rPr>
      <w:rFonts w:cs="Arial"/>
      <w:b w:val="0"/>
      <w:bCs w:val="0"/>
      <w:i w:val="0"/>
      <w:iCs w:val="0"/>
      <w:color w:val="00000A"/>
    </w:rPr>
  </w:style>
  <w:style w:type="paragraph" w:customStyle="1" w:styleId="Default">
    <w:name w:val="Default"/>
    <w:rsid w:val="00B90D17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Poznmkapodarou">
    <w:name w:val="Poznámka pod čarou"/>
    <w:basedOn w:val="Normln"/>
  </w:style>
  <w:style w:type="table" w:styleId="Mkatabulky">
    <w:name w:val="Table Grid"/>
    <w:basedOn w:val="Normlntabulka"/>
    <w:uiPriority w:val="59"/>
    <w:rsid w:val="005D35E5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3">
    <w:name w:val="Medium Grid 3 Accent 3"/>
    <w:basedOn w:val="Normlntabulka"/>
    <w:uiPriority w:val="69"/>
    <w:rsid w:val="000616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textovodkaz">
    <w:name w:val="Hyperlink"/>
    <w:basedOn w:val="Standardnpsmoodstavce"/>
    <w:uiPriority w:val="99"/>
    <w:unhideWhenUsed/>
    <w:rsid w:val="00A5389B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F456C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7197D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8019A"/>
    <w:rPr>
      <w:rFonts w:cs="Times New Roman"/>
    </w:rPr>
  </w:style>
  <w:style w:type="paragraph" w:customStyle="1" w:styleId="Nadpis-Osnova-IIIuroven">
    <w:name w:val="Nadpis-Osnova-III.uroven"/>
    <w:basedOn w:val="Normln"/>
    <w:link w:val="Nadpis-Osnova-IIIurovenChar"/>
    <w:autoRedefine/>
    <w:rsid w:val="006C1AD9"/>
    <w:pPr>
      <w:numPr>
        <w:numId w:val="19"/>
      </w:numPr>
      <w:suppressAutoHyphens w:val="0"/>
      <w:spacing w:before="75" w:after="120" w:line="276" w:lineRule="auto"/>
    </w:pPr>
    <w:rPr>
      <w:rFonts w:asciiTheme="majorHAnsi" w:eastAsia="Calibri" w:hAnsiTheme="majorHAnsi" w:cs="Arial"/>
      <w:bCs/>
      <w:lang w:eastAsia="cs-CZ"/>
    </w:rPr>
  </w:style>
  <w:style w:type="character" w:customStyle="1" w:styleId="Nadpis-Osnova-IIIurovenChar">
    <w:name w:val="Nadpis-Osnova-III.uroven Char"/>
    <w:link w:val="Nadpis-Osnova-IIIuroven"/>
    <w:rsid w:val="006C1AD9"/>
    <w:rPr>
      <w:rFonts w:asciiTheme="majorHAnsi" w:eastAsia="Calibri" w:hAnsiTheme="majorHAnsi" w:cs="Arial"/>
      <w:bCs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9D600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">
    <w:name w:val="Odrážky 1"/>
    <w:basedOn w:val="Odstavecseseznamem"/>
    <w:link w:val="Odrky1Char"/>
    <w:uiPriority w:val="5"/>
    <w:qFormat/>
    <w:rsid w:val="002C4F3F"/>
    <w:pPr>
      <w:numPr>
        <w:numId w:val="37"/>
      </w:numPr>
      <w:suppressAutoHyphens w:val="0"/>
      <w:spacing w:after="0"/>
      <w:jc w:val="both"/>
    </w:pPr>
  </w:style>
  <w:style w:type="character" w:customStyle="1" w:styleId="Odrky1Char">
    <w:name w:val="Odrážky 1 Char"/>
    <w:basedOn w:val="OdstavecseseznamemChar"/>
    <w:link w:val="Odrky1"/>
    <w:uiPriority w:val="5"/>
    <w:rsid w:val="002C4F3F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Odrky2">
    <w:name w:val="Odrážky 2"/>
    <w:basedOn w:val="Odrky1"/>
    <w:uiPriority w:val="5"/>
    <w:qFormat/>
    <w:rsid w:val="002C4F3F"/>
    <w:pPr>
      <w:numPr>
        <w:ilvl w:val="1"/>
      </w:numPr>
      <w:tabs>
        <w:tab w:val="clear" w:pos="794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2C4F3F"/>
    <w:pPr>
      <w:numPr>
        <w:ilvl w:val="2"/>
      </w:numPr>
      <w:tabs>
        <w:tab w:val="clear" w:pos="1191"/>
      </w:tabs>
      <w:ind w:left="2160" w:hanging="360"/>
    </w:pPr>
  </w:style>
  <w:style w:type="paragraph" w:customStyle="1" w:styleId="Odrky4">
    <w:name w:val="Odrážky 4"/>
    <w:basedOn w:val="Odrky3"/>
    <w:uiPriority w:val="5"/>
    <w:qFormat/>
    <w:rsid w:val="002C4F3F"/>
    <w:pPr>
      <w:numPr>
        <w:ilvl w:val="3"/>
      </w:numPr>
      <w:tabs>
        <w:tab w:val="clear" w:pos="1588"/>
      </w:tabs>
      <w:ind w:left="2880" w:hanging="360"/>
    </w:pPr>
  </w:style>
  <w:style w:type="paragraph" w:customStyle="1" w:styleId="Odrky5">
    <w:name w:val="Odrážky 5"/>
    <w:basedOn w:val="Odrky4"/>
    <w:uiPriority w:val="5"/>
    <w:qFormat/>
    <w:rsid w:val="002C4F3F"/>
    <w:pPr>
      <w:numPr>
        <w:ilvl w:val="4"/>
      </w:numPr>
      <w:tabs>
        <w:tab w:val="clear" w:pos="1985"/>
      </w:tabs>
      <w:ind w:left="360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BC1"/>
    <w:pPr>
      <w:suppressAutoHyphens/>
      <w:spacing w:after="200"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5D35E5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5D35E5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E31773"/>
    <w:pPr>
      <w:keepNext/>
      <w:keepLines/>
      <w:spacing w:before="200" w:after="0"/>
      <w:outlineLvl w:val="2"/>
    </w:pPr>
    <w:rPr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D35E5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D35E5"/>
    <w:pPr>
      <w:keepNext/>
      <w:keepLines/>
      <w:spacing w:before="200" w:after="0"/>
      <w:outlineLvl w:val="4"/>
    </w:pPr>
    <w:rPr>
      <w:color w:val="243F6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D35E5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D35E5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D35E5"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D35E5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5E5"/>
    <w:rPr>
      <w:rFonts w:ascii="Times New Roman" w:hAnsi="Times New Roman"/>
      <w:b/>
      <w:bCs/>
      <w:color w:val="000000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5D35E5"/>
    <w:rPr>
      <w:rFonts w:ascii="Times New Roman" w:hAnsi="Times New Roman"/>
      <w:b/>
      <w:bCs/>
      <w:color w:val="000000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31773"/>
    <w:rPr>
      <w:rFonts w:ascii="Cambria" w:hAnsi="Cambria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35E5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35E5"/>
    <w:rPr>
      <w:rFonts w:ascii="Cambria" w:hAnsi="Cambria"/>
      <w:color w:val="243F60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5E5"/>
    <w:rPr>
      <w:rFonts w:ascii="Cambria" w:hAnsi="Cambria"/>
      <w:i/>
      <w:iCs/>
      <w:color w:val="243F60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5E5"/>
    <w:rPr>
      <w:rFonts w:ascii="Cambria" w:hAnsi="Cambria"/>
      <w:i/>
      <w:iCs/>
      <w:color w:val="404040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5E5"/>
    <w:rPr>
      <w:rFonts w:ascii="Cambria" w:hAnsi="Cambria"/>
      <w:color w:val="404040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5E5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5D35E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character" w:customStyle="1" w:styleId="Pravidla1Char">
    <w:name w:val="Pravidla 1 Char"/>
    <w:basedOn w:val="Nadpis1Char"/>
    <w:link w:val="Pravidla1"/>
    <w:rsid w:val="00BE7ACD"/>
    <w:rPr>
      <w:rFonts w:ascii="Cambria" w:hAnsi="Cambria"/>
      <w:b/>
      <w:bCs/>
      <w:color w:val="000000"/>
      <w:sz w:val="36"/>
      <w:szCs w:val="28"/>
      <w:lang w:eastAsia="ja-JP"/>
    </w:rPr>
  </w:style>
  <w:style w:type="character" w:customStyle="1" w:styleId="Pravidla11Char">
    <w:name w:val="Pravidla 1.1. Char"/>
    <w:basedOn w:val="Nadpis2Char"/>
    <w:link w:val="Pravidla11"/>
    <w:rsid w:val="00BE7ACD"/>
    <w:rPr>
      <w:rFonts w:ascii="Cambria" w:hAnsi="Cambria" w:cs="Arial"/>
      <w:b/>
      <w:bCs/>
      <w:color w:val="000000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rsid w:val="00C2115B"/>
    <w:rPr>
      <w:rFonts w:ascii="Cambria" w:hAnsi="Cambria"/>
      <w:b/>
      <w:bCs/>
      <w:sz w:val="24"/>
      <w:szCs w:val="24"/>
      <w:lang w:eastAsia="ja-JP"/>
    </w:rPr>
  </w:style>
  <w:style w:type="character" w:customStyle="1" w:styleId="Internetovodkaz">
    <w:name w:val="Internetový odkaz"/>
    <w:basedOn w:val="Standardnpsmoodstavce"/>
    <w:uiPriority w:val="99"/>
    <w:unhideWhenUsed/>
    <w:rsid w:val="00F64B9F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7E0A6B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semiHidden/>
    <w:rsid w:val="00532BD6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uiPriority w:val="99"/>
    <w:semiHidden/>
    <w:rsid w:val="00532BD6"/>
    <w:rPr>
      <w:vertAlign w:val="superscript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532BD6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775724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cs="Courier New"/>
      <w:b/>
    </w:rPr>
  </w:style>
  <w:style w:type="character" w:customStyle="1" w:styleId="ListLabel7">
    <w:name w:val="ListLabel 7"/>
    <w:rPr>
      <w:rFonts w:eastAsia="MS Mincho" w:cs="Arial"/>
      <w:b/>
    </w:rPr>
  </w:style>
  <w:style w:type="character" w:customStyle="1" w:styleId="ListLabel8">
    <w:name w:val="ListLabel 8"/>
    <w:rPr>
      <w:rFonts w:eastAsia="MS Mincho" w:cs="Times New Roman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ListLabel12">
    <w:name w:val="ListLabel 12"/>
    <w:rPr>
      <w:rFonts w:eastAsia="MS Mincho" w:cs="Arial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Odrky">
    <w:name w:val="Odrážky"/>
    <w:rPr>
      <w:rFonts w:ascii="OpenSymbol" w:eastAsia="OpenSymbol" w:hAnsi="OpenSymbol" w:cs="OpenSymbol"/>
      <w:sz w:val="36"/>
      <w:szCs w:val="3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unhideWhenUsed/>
    <w:rsid w:val="005D35E5"/>
    <w:pPr>
      <w:tabs>
        <w:tab w:val="center" w:pos="4320"/>
        <w:tab w:val="right" w:pos="8640"/>
      </w:tabs>
      <w:spacing w:after="0"/>
    </w:p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5D35E5"/>
    <w:pPr>
      <w:ind w:left="720"/>
      <w:contextualSpacing/>
    </w:pPr>
  </w:style>
  <w:style w:type="paragraph" w:customStyle="1" w:styleId="PravidlaA">
    <w:name w:val="Pravidla A"/>
    <w:basedOn w:val="Nadpis1"/>
    <w:qFormat/>
    <w:rsid w:val="00BE7ACD"/>
    <w:rPr>
      <w:rFonts w:ascii="Cambria" w:hAnsi="Cambria"/>
    </w:rPr>
  </w:style>
  <w:style w:type="paragraph" w:styleId="Textkomente">
    <w:name w:val="annotation text"/>
    <w:basedOn w:val="Normln"/>
    <w:link w:val="TextkomenteChar"/>
    <w:uiPriority w:val="99"/>
    <w:unhideWhenUsed/>
    <w:rsid w:val="005D35E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5E5"/>
    <w:pPr>
      <w:spacing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99"/>
    <w:pPr>
      <w:tabs>
        <w:tab w:val="center" w:pos="4536"/>
        <w:tab w:val="right" w:pos="9072"/>
      </w:tabs>
      <w:spacing w:after="0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BC6A53"/>
    <w:rPr>
      <w:b/>
      <w:bCs/>
    </w:rPr>
  </w:style>
  <w:style w:type="paragraph" w:customStyle="1" w:styleId="Pravidla1">
    <w:name w:val="Pravidla 1"/>
    <w:basedOn w:val="Nadpis1"/>
    <w:link w:val="Pravidla1Char"/>
    <w:qFormat/>
    <w:rsid w:val="00BE7ACD"/>
    <w:rPr>
      <w:rFonts w:ascii="Cambria" w:hAnsi="Cambria"/>
    </w:rPr>
  </w:style>
  <w:style w:type="paragraph" w:customStyle="1" w:styleId="Pravidla11">
    <w:name w:val="Pravidla 1.1."/>
    <w:basedOn w:val="Pravidla1"/>
    <w:link w:val="Pravidla11Char"/>
    <w:qFormat/>
    <w:rsid w:val="00BE7ACD"/>
    <w:rPr>
      <w:rFonts w:cs="Arial"/>
      <w:sz w:val="28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paragraph" w:styleId="Revize">
    <w:name w:val="Revision"/>
    <w:uiPriority w:val="99"/>
    <w:semiHidden/>
    <w:rsid w:val="00F9255E"/>
    <w:pPr>
      <w:suppressAutoHyphens/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Titulek">
    <w:name w:val="caption"/>
    <w:basedOn w:val="Normln"/>
    <w:uiPriority w:val="35"/>
    <w:unhideWhenUsed/>
    <w:qFormat/>
    <w:rsid w:val="00917052"/>
    <w:pPr>
      <w:jc w:val="both"/>
    </w:pPr>
    <w:rPr>
      <w:rFonts w:ascii="Arial" w:eastAsia="Times New Roman" w:hAnsi="Arial" w:cs="Arial"/>
      <w:b/>
      <w:bCs/>
      <w:color w:val="4F81BD"/>
      <w:sz w:val="18"/>
      <w:szCs w:val="18"/>
      <w:lang w:eastAsia="cs-CZ"/>
    </w:rPr>
  </w:style>
  <w:style w:type="paragraph" w:styleId="Obsah1">
    <w:name w:val="toc 1"/>
    <w:basedOn w:val="Normln"/>
    <w:autoRedefine/>
    <w:uiPriority w:val="39"/>
    <w:unhideWhenUsed/>
    <w:rsid w:val="00957332"/>
    <w:pPr>
      <w:tabs>
        <w:tab w:val="left" w:pos="880"/>
        <w:tab w:val="right" w:leader="dot" w:pos="9068"/>
      </w:tabs>
      <w:spacing w:after="100"/>
    </w:pPr>
  </w:style>
  <w:style w:type="paragraph" w:styleId="Obsah3">
    <w:name w:val="toc 3"/>
    <w:basedOn w:val="Normln"/>
    <w:autoRedefine/>
    <w:uiPriority w:val="39"/>
    <w:unhideWhenUsed/>
    <w:rsid w:val="00F64B9F"/>
    <w:pPr>
      <w:spacing w:after="100"/>
      <w:ind w:left="480"/>
    </w:pPr>
  </w:style>
  <w:style w:type="paragraph" w:customStyle="1" w:styleId="CharCharCharCharChar2CharCharChar">
    <w:name w:val="Char Char Char Char Char2 Char Char Char"/>
    <w:basedOn w:val="Normln"/>
    <w:rsid w:val="006D16AC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rsid w:val="007E0A6B"/>
    <w:pPr>
      <w:spacing w:after="120" w:line="480" w:lineRule="auto"/>
    </w:pPr>
    <w:rPr>
      <w:rFonts w:ascii="Times New Roman" w:eastAsia="Times New Roman" w:hAnsi="Times New Roman"/>
      <w:lang w:eastAsia="en-US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"/>
    <w:basedOn w:val="Normln"/>
    <w:link w:val="TextpoznpodarouChar"/>
    <w:semiHidden/>
    <w:rsid w:val="00532BD6"/>
    <w:pPr>
      <w:spacing w:before="120" w:after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rkyChar">
    <w:name w:val="odrážky Char"/>
    <w:basedOn w:val="Odsazentlatextu"/>
    <w:rsid w:val="00532BD6"/>
    <w:pPr>
      <w:spacing w:before="120" w:after="140"/>
      <w:ind w:left="0"/>
      <w:jc w:val="both"/>
    </w:pPr>
    <w:rPr>
      <w:rFonts w:ascii="Arial" w:eastAsia="Times New Roman" w:hAnsi="Arial" w:cs="Arial"/>
      <w:sz w:val="22"/>
      <w:szCs w:val="22"/>
      <w:lang w:eastAsia="cs-CZ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532BD6"/>
    <w:pPr>
      <w:spacing w:after="120"/>
      <w:ind w:left="283"/>
    </w:pPr>
  </w:style>
  <w:style w:type="paragraph" w:customStyle="1" w:styleId="Heading4Palatinoks">
    <w:name w:val="Heading 4 Palatino ks"/>
    <w:basedOn w:val="Nadpis4"/>
    <w:autoRedefine/>
    <w:rsid w:val="00C96EA6"/>
    <w:pPr>
      <w:spacing w:after="280"/>
      <w:jc w:val="both"/>
    </w:pPr>
    <w:rPr>
      <w:rFonts w:cs="Arial"/>
      <w:b w:val="0"/>
      <w:bCs w:val="0"/>
      <w:i w:val="0"/>
      <w:iCs w:val="0"/>
      <w:color w:val="00000A"/>
    </w:rPr>
  </w:style>
  <w:style w:type="paragraph" w:customStyle="1" w:styleId="Default">
    <w:name w:val="Default"/>
    <w:rsid w:val="00B90D17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Poznmkapodarou">
    <w:name w:val="Poznámka pod čarou"/>
    <w:basedOn w:val="Normln"/>
  </w:style>
  <w:style w:type="table" w:styleId="Mkatabulky">
    <w:name w:val="Table Grid"/>
    <w:basedOn w:val="Normlntabulka"/>
    <w:uiPriority w:val="59"/>
    <w:rsid w:val="005D35E5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3">
    <w:name w:val="Medium Grid 3 Accent 3"/>
    <w:basedOn w:val="Normlntabulka"/>
    <w:uiPriority w:val="69"/>
    <w:rsid w:val="000616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textovodkaz">
    <w:name w:val="Hyperlink"/>
    <w:basedOn w:val="Standardnpsmoodstavce"/>
    <w:uiPriority w:val="99"/>
    <w:unhideWhenUsed/>
    <w:rsid w:val="00A5389B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F456C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7197D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8019A"/>
    <w:rPr>
      <w:rFonts w:cs="Times New Roman"/>
    </w:rPr>
  </w:style>
  <w:style w:type="paragraph" w:customStyle="1" w:styleId="Nadpis-Osnova-IIIuroven">
    <w:name w:val="Nadpis-Osnova-III.uroven"/>
    <w:basedOn w:val="Normln"/>
    <w:link w:val="Nadpis-Osnova-IIIurovenChar"/>
    <w:autoRedefine/>
    <w:rsid w:val="006C1AD9"/>
    <w:pPr>
      <w:numPr>
        <w:numId w:val="19"/>
      </w:numPr>
      <w:suppressAutoHyphens w:val="0"/>
      <w:spacing w:before="75" w:after="120" w:line="276" w:lineRule="auto"/>
    </w:pPr>
    <w:rPr>
      <w:rFonts w:asciiTheme="majorHAnsi" w:eastAsia="Calibri" w:hAnsiTheme="majorHAnsi" w:cs="Arial"/>
      <w:bCs/>
      <w:lang w:eastAsia="cs-CZ"/>
    </w:rPr>
  </w:style>
  <w:style w:type="character" w:customStyle="1" w:styleId="Nadpis-Osnova-IIIurovenChar">
    <w:name w:val="Nadpis-Osnova-III.uroven Char"/>
    <w:link w:val="Nadpis-Osnova-IIIuroven"/>
    <w:rsid w:val="006C1AD9"/>
    <w:rPr>
      <w:rFonts w:asciiTheme="majorHAnsi" w:eastAsia="Calibri" w:hAnsiTheme="majorHAnsi" w:cs="Arial"/>
      <w:bCs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9D600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">
    <w:name w:val="Odrážky 1"/>
    <w:basedOn w:val="Odstavecseseznamem"/>
    <w:link w:val="Odrky1Char"/>
    <w:uiPriority w:val="5"/>
    <w:qFormat/>
    <w:rsid w:val="002C4F3F"/>
    <w:pPr>
      <w:numPr>
        <w:numId w:val="37"/>
      </w:numPr>
      <w:suppressAutoHyphens w:val="0"/>
      <w:spacing w:after="0"/>
      <w:jc w:val="both"/>
    </w:pPr>
  </w:style>
  <w:style w:type="character" w:customStyle="1" w:styleId="Odrky1Char">
    <w:name w:val="Odrážky 1 Char"/>
    <w:basedOn w:val="OdstavecseseznamemChar"/>
    <w:link w:val="Odrky1"/>
    <w:uiPriority w:val="5"/>
    <w:rsid w:val="002C4F3F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Odrky2">
    <w:name w:val="Odrážky 2"/>
    <w:basedOn w:val="Odrky1"/>
    <w:uiPriority w:val="5"/>
    <w:qFormat/>
    <w:rsid w:val="002C4F3F"/>
    <w:pPr>
      <w:numPr>
        <w:ilvl w:val="1"/>
      </w:numPr>
      <w:tabs>
        <w:tab w:val="clear" w:pos="794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2C4F3F"/>
    <w:pPr>
      <w:numPr>
        <w:ilvl w:val="2"/>
      </w:numPr>
      <w:tabs>
        <w:tab w:val="clear" w:pos="1191"/>
      </w:tabs>
      <w:ind w:left="2160" w:hanging="360"/>
    </w:pPr>
  </w:style>
  <w:style w:type="paragraph" w:customStyle="1" w:styleId="Odrky4">
    <w:name w:val="Odrážky 4"/>
    <w:basedOn w:val="Odrky3"/>
    <w:uiPriority w:val="5"/>
    <w:qFormat/>
    <w:rsid w:val="002C4F3F"/>
    <w:pPr>
      <w:numPr>
        <w:ilvl w:val="3"/>
      </w:numPr>
      <w:tabs>
        <w:tab w:val="clear" w:pos="1588"/>
      </w:tabs>
      <w:ind w:left="2880" w:hanging="360"/>
    </w:pPr>
  </w:style>
  <w:style w:type="paragraph" w:customStyle="1" w:styleId="Odrky5">
    <w:name w:val="Odrážky 5"/>
    <w:basedOn w:val="Odrky4"/>
    <w:uiPriority w:val="5"/>
    <w:qFormat/>
    <w:rsid w:val="002C4F3F"/>
    <w:pPr>
      <w:numPr>
        <w:ilvl w:val="4"/>
      </w:numPr>
      <w:tabs>
        <w:tab w:val="clear" w:pos="1985"/>
      </w:tabs>
      <w:ind w:left="36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seu.mssf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otaceEu.cz/iro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iro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r.cz/cs/crr/kontakty-iop-irop" TargetMode="External"/><Relationship Id="rId10" Type="http://schemas.openxmlformats.org/officeDocument/2006/relationships/hyperlink" Target="http://www.dotaceEu.cz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" TargetMode="External"/><Relationship Id="rId14" Type="http://schemas.openxmlformats.org/officeDocument/2006/relationships/hyperlink" Target="http://www.dotaceEu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8F2B-4E63-493C-8F02-BF4F3F52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29</Pages>
  <Words>5699</Words>
  <Characters>33626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Pekárek</dc:creator>
  <cp:lastModifiedBy>Aleš Pekárek</cp:lastModifiedBy>
  <cp:revision>18</cp:revision>
  <cp:lastPrinted>2015-07-27T07:33:00Z</cp:lastPrinted>
  <dcterms:created xsi:type="dcterms:W3CDTF">2015-12-03T09:08:00Z</dcterms:created>
  <dcterms:modified xsi:type="dcterms:W3CDTF">2015-12-08T12:53:00Z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-1626553684</vt:i4>
  </property>
</Properties>
</file>