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E5C" w:rsidRDefault="000C0E5C" w:rsidP="003238BB">
      <w:pPr>
        <w:jc w:val="both"/>
        <w:rPr>
          <w:rFonts w:asciiTheme="majorHAnsi" w:hAnsiTheme="majorHAnsi" w:cs="MyriadPro-Black"/>
          <w:caps/>
          <w:sz w:val="40"/>
          <w:szCs w:val="60"/>
        </w:rPr>
      </w:pPr>
      <w:bookmarkStart w:id="0" w:name="_GoBack"/>
      <w:bookmarkEnd w:id="0"/>
    </w:p>
    <w:p w:rsidR="003238BB" w:rsidRDefault="003238BB" w:rsidP="003238BB">
      <w:pPr>
        <w:jc w:val="both"/>
        <w:rPr>
          <w:rFonts w:cs="Arial"/>
        </w:rPr>
      </w:pPr>
      <w:r w:rsidRPr="00B304E9">
        <w:rPr>
          <w:rFonts w:asciiTheme="majorHAnsi" w:hAnsiTheme="majorHAnsi" w:cs="MyriadPro-Black"/>
          <w:caps/>
          <w:sz w:val="40"/>
          <w:szCs w:val="60"/>
        </w:rPr>
        <w:t>INTEGROVANÝ REGIONÁLNÍ OPERAČNÍ PROGRAM</w:t>
      </w:r>
    </w:p>
    <w:p w:rsidR="005D35E5" w:rsidRPr="005D35E5" w:rsidRDefault="005D35E5" w:rsidP="00F9255E">
      <w:pPr>
        <w:jc w:val="both"/>
        <w:rPr>
          <w:rFonts w:asciiTheme="majorHAnsi" w:hAnsiTheme="majorHAnsi" w:cs="Arial"/>
        </w:rPr>
      </w:pPr>
    </w:p>
    <w:p w:rsidR="001E4D5D" w:rsidRDefault="00C07605" w:rsidP="001E4D5D">
      <w:r>
        <w:rPr>
          <w:noProof/>
          <w:lang w:eastAsia="cs-CZ"/>
        </w:rPr>
        <mc:AlternateContent>
          <mc:Choice Requires="wps">
            <w:drawing>
              <wp:anchor distT="0" distB="0" distL="114300" distR="114300" simplePos="0" relativeHeight="251659264" behindDoc="0" locked="0" layoutInCell="1" allowOverlap="1" wp14:anchorId="56B3D8F0" wp14:editId="4C964056">
                <wp:simplePos x="0" y="0"/>
                <wp:positionH relativeFrom="column">
                  <wp:posOffset>-281305</wp:posOffset>
                </wp:positionH>
                <wp:positionV relativeFrom="paragraph">
                  <wp:posOffset>319405</wp:posOffset>
                </wp:positionV>
                <wp:extent cx="6170930" cy="67532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0930" cy="6753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20CF4" w:rsidRDefault="00F20CF4"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F20CF4" w:rsidRPr="00BD3278" w:rsidRDefault="00F20CF4" w:rsidP="003238BB">
                            <w:pPr>
                              <w:pStyle w:val="Zkladnodstavec"/>
                              <w:rPr>
                                <w:rFonts w:asciiTheme="majorHAnsi" w:hAnsiTheme="majorHAnsi" w:cs="MyriadPro-Black"/>
                                <w:caps/>
                                <w:sz w:val="60"/>
                                <w:szCs w:val="60"/>
                              </w:rPr>
                            </w:pPr>
                          </w:p>
                          <w:p w:rsidR="00F20CF4" w:rsidRPr="00F573DB" w:rsidRDefault="00F20CF4"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F20CF4" w:rsidRDefault="00F20CF4"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F20CF4" w:rsidRPr="00C07605" w:rsidRDefault="00F20CF4"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F20CF4" w:rsidRPr="00F573DB" w:rsidRDefault="00F20CF4" w:rsidP="00F573DB">
                            <w:pPr>
                              <w:jc w:val="both"/>
                              <w:rPr>
                                <w:rFonts w:asciiTheme="majorHAnsi" w:hAnsiTheme="majorHAnsi" w:cs="MyriadPro-Black"/>
                                <w:caps/>
                                <w:color w:val="A6A6A6" w:themeColor="background1" w:themeShade="A6"/>
                              </w:rPr>
                            </w:pPr>
                          </w:p>
                          <w:p w:rsidR="00F20CF4" w:rsidRPr="00F573DB" w:rsidRDefault="00F20CF4"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F20CF4" w:rsidRDefault="00F20CF4"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F20CF4" w:rsidRPr="00F573DB" w:rsidRDefault="00F20CF4" w:rsidP="00F573DB">
                            <w:pPr>
                              <w:widowControl w:val="0"/>
                              <w:suppressAutoHyphens/>
                              <w:spacing w:after="0" w:line="288" w:lineRule="auto"/>
                              <w:textAlignment w:val="center"/>
                              <w:rPr>
                                <w:rFonts w:cs="MyriadPro-Regular"/>
                                <w:caps/>
                              </w:rPr>
                            </w:pPr>
                          </w:p>
                          <w:p w:rsidR="00F20CF4" w:rsidRPr="00F573DB" w:rsidRDefault="00F20CF4"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F20CF4" w:rsidRDefault="00F20CF4"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ZAHÁJENÍ PŘÍJMU ŽÁDOSTÍ: 18. 12. 2015</w:t>
                            </w:r>
                          </w:p>
                          <w:p w:rsidR="00F20CF4" w:rsidRPr="00F573DB" w:rsidRDefault="00F20CF4" w:rsidP="00F573DB">
                            <w:pPr>
                              <w:widowControl w:val="0"/>
                              <w:suppressAutoHyphens/>
                              <w:spacing w:after="0" w:line="288" w:lineRule="auto"/>
                              <w:textAlignment w:val="center"/>
                              <w:rPr>
                                <w:rFonts w:cs="MyriadPro-Regular"/>
                                <w:caps/>
                              </w:rPr>
                            </w:pPr>
                          </w:p>
                          <w:p w:rsidR="00F20CF4" w:rsidRPr="00F573DB" w:rsidRDefault="00F20CF4"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w:t>
                            </w:r>
                            <w:r>
                              <w:rPr>
                                <w:rFonts w:ascii="Cambria" w:hAnsi="Cambria" w:cs="MyriadPro-Black"/>
                                <w:caps/>
                                <w:color w:val="A6A6A6"/>
                                <w:sz w:val="32"/>
                                <w:szCs w:val="40"/>
                              </w:rPr>
                              <w:t>1</w:t>
                            </w:r>
                          </w:p>
                          <w:p w:rsidR="00F20CF4" w:rsidRPr="00F573DB" w:rsidRDefault="00F20CF4"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26</w:t>
                            </w:r>
                            <w:r w:rsidRPr="00F573DB">
                              <w:rPr>
                                <w:rFonts w:ascii="Cambria" w:hAnsi="Cambria" w:cs="MyriadPro-Black"/>
                                <w:caps/>
                                <w:color w:val="A6A6A6"/>
                                <w:sz w:val="32"/>
                                <w:szCs w:val="40"/>
                              </w:rPr>
                              <w:t>. 2. 201</w:t>
                            </w:r>
                            <w:r>
                              <w:rPr>
                                <w:rFonts w:ascii="Cambria" w:hAnsi="Cambria" w:cs="MyriadPro-Black"/>
                                <w:caps/>
                                <w:color w:val="A6A6A6"/>
                                <w:sz w:val="32"/>
                                <w:szCs w:val="40"/>
                              </w:rPr>
                              <w:t>6</w:t>
                            </w:r>
                            <w:r w:rsidRPr="00F573DB">
                              <w:rPr>
                                <w:rFonts w:ascii="Cambria" w:hAnsi="Cambria" w:cs="MyriadPro-Black"/>
                                <w:caps/>
                                <w:color w:val="A6A6A6"/>
                                <w:sz w:val="32"/>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15pt;margin-top:25.15pt;width:485.9pt;height:5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" filled="f" stroked="f">
                <v:path arrowok="t"/>
                <v:textbox>
                  <w:txbxContent>
                    <w:p w:rsidR="00F20CF4" w:rsidRDefault="00F20CF4" w:rsidP="003238BB">
                      <w:pPr>
                        <w:pStyle w:val="Zkladnodstavec"/>
                        <w:rPr>
                          <w:rFonts w:asciiTheme="majorHAnsi" w:hAnsiTheme="majorHAnsi" w:cs="MyriadPro-Black"/>
                          <w:caps/>
                          <w:sz w:val="60"/>
                          <w:szCs w:val="60"/>
                        </w:rPr>
                      </w:pPr>
                      <w:r w:rsidRPr="00BD3278">
                        <w:rPr>
                          <w:rFonts w:asciiTheme="majorHAnsi" w:hAnsiTheme="majorHAnsi" w:cs="MyriadPro-Black"/>
                          <w:caps/>
                          <w:sz w:val="60"/>
                          <w:szCs w:val="60"/>
                        </w:rPr>
                        <w:t xml:space="preserve">SPECIFICKÁ </w:t>
                      </w:r>
                      <w:r w:rsidRPr="00BD3278">
                        <w:rPr>
                          <w:rFonts w:asciiTheme="majorHAnsi" w:hAnsiTheme="majorHAnsi" w:cs="MyriadPro-Black" w:hint="eastAsia"/>
                          <w:caps/>
                          <w:sz w:val="60"/>
                          <w:szCs w:val="60"/>
                        </w:rPr>
                        <w:t xml:space="preserve">PRAVIDLA PRO ŽADATELE a příjemce </w:t>
                      </w:r>
                      <w:r>
                        <w:rPr>
                          <w:rFonts w:asciiTheme="majorHAnsi" w:hAnsiTheme="majorHAnsi" w:cs="MyriadPro-Black"/>
                          <w:caps/>
                          <w:sz w:val="60"/>
                          <w:szCs w:val="60"/>
                        </w:rPr>
                        <w:t xml:space="preserve"> </w:t>
                      </w:r>
                    </w:p>
                    <w:p w:rsidR="00F20CF4" w:rsidRPr="00BD3278" w:rsidRDefault="00F20CF4" w:rsidP="003238BB">
                      <w:pPr>
                        <w:pStyle w:val="Zkladnodstavec"/>
                        <w:rPr>
                          <w:rFonts w:asciiTheme="majorHAnsi" w:hAnsiTheme="majorHAnsi" w:cs="MyriadPro-Black"/>
                          <w:caps/>
                          <w:sz w:val="60"/>
                          <w:szCs w:val="60"/>
                        </w:rPr>
                      </w:pPr>
                    </w:p>
                    <w:p w:rsidR="00F20CF4" w:rsidRPr="00F573DB" w:rsidRDefault="00F20CF4"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 xml:space="preserve">SPECIFICKÝ CÍL 2.5: </w:t>
                      </w:r>
                    </w:p>
                    <w:p w:rsidR="00F20CF4" w:rsidRDefault="00F20CF4" w:rsidP="001E4D5D">
                      <w:pPr>
                        <w:pStyle w:val="Zkladnodstavec"/>
                        <w:rPr>
                          <w:rFonts w:ascii="Cambria" w:hAnsi="Cambria" w:cs="MyriadPro-Regular"/>
                          <w:caps/>
                          <w:sz w:val="50"/>
                          <w:szCs w:val="50"/>
                        </w:rPr>
                      </w:pPr>
                      <w:r w:rsidRPr="00C07605">
                        <w:rPr>
                          <w:rFonts w:ascii="Cambria" w:hAnsi="Cambria" w:cs="MyriadPro-Regular"/>
                          <w:caps/>
                          <w:sz w:val="50"/>
                          <w:szCs w:val="50"/>
                        </w:rPr>
                        <w:t>Snížení energetické náročnosti</w:t>
                      </w:r>
                    </w:p>
                    <w:p w:rsidR="00F20CF4" w:rsidRPr="00C07605" w:rsidRDefault="00F20CF4" w:rsidP="001E4D5D">
                      <w:pPr>
                        <w:pStyle w:val="Zkladnodstavec"/>
                        <w:rPr>
                          <w:rFonts w:ascii="Cambria" w:hAnsi="Cambria" w:cs="MyriadPro-Regular"/>
                          <w:caps/>
                          <w:sz w:val="50"/>
                          <w:szCs w:val="50"/>
                        </w:rPr>
                      </w:pPr>
                      <w:r w:rsidRPr="00C07605">
                        <w:rPr>
                          <w:rFonts w:ascii="Cambria" w:hAnsi="Cambria" w:cs="MyriadPro-Regular"/>
                          <w:caps/>
                          <w:sz w:val="50"/>
                          <w:szCs w:val="50"/>
                        </w:rPr>
                        <w:t>v sektoru bydlení</w:t>
                      </w:r>
                    </w:p>
                    <w:p w:rsidR="00F20CF4" w:rsidRPr="00F573DB" w:rsidRDefault="00F20CF4" w:rsidP="00F573DB">
                      <w:pPr>
                        <w:jc w:val="both"/>
                        <w:rPr>
                          <w:rFonts w:asciiTheme="majorHAnsi" w:hAnsiTheme="majorHAnsi" w:cs="MyriadPro-Black"/>
                          <w:caps/>
                          <w:color w:val="A6A6A6" w:themeColor="background1" w:themeShade="A6"/>
                        </w:rPr>
                      </w:pPr>
                    </w:p>
                    <w:p w:rsidR="00F20CF4" w:rsidRPr="00F573DB" w:rsidRDefault="00F20CF4" w:rsidP="00F573DB">
                      <w:pPr>
                        <w:widowControl w:val="0"/>
                        <w:suppressAutoHyphens/>
                        <w:spacing w:after="0" w:line="288" w:lineRule="auto"/>
                        <w:textAlignment w:val="center"/>
                        <w:rPr>
                          <w:rFonts w:cs="MyriadPro-Black"/>
                          <w:caps/>
                          <w:color w:val="A6A6A6"/>
                          <w:sz w:val="40"/>
                          <w:szCs w:val="40"/>
                        </w:rPr>
                      </w:pPr>
                      <w:r w:rsidRPr="00F573DB">
                        <w:rPr>
                          <w:rFonts w:cs="MyriadPro-Black"/>
                          <w:caps/>
                          <w:color w:val="A6A6A6"/>
                          <w:sz w:val="40"/>
                          <w:szCs w:val="40"/>
                        </w:rPr>
                        <w:t>PRŮBĚŽNÁ výzva č. 16</w:t>
                      </w:r>
                    </w:p>
                    <w:p w:rsidR="00F20CF4" w:rsidRDefault="00F20CF4" w:rsidP="00F573DB">
                      <w:pPr>
                        <w:widowControl w:val="0"/>
                        <w:suppressAutoHyphens/>
                        <w:spacing w:after="0" w:line="288" w:lineRule="auto"/>
                        <w:textAlignment w:val="center"/>
                        <w:rPr>
                          <w:rFonts w:cs="MyriadPro-Regular"/>
                          <w:caps/>
                          <w:sz w:val="50"/>
                          <w:szCs w:val="50"/>
                        </w:rPr>
                      </w:pPr>
                      <w:r w:rsidRPr="00F573DB">
                        <w:rPr>
                          <w:rFonts w:cs="MyriadPro-Regular"/>
                          <w:caps/>
                          <w:color w:val="000000"/>
                          <w:sz w:val="50"/>
                          <w:szCs w:val="50"/>
                        </w:rPr>
                        <w:t>ENERGETICKÉ ÚSPORY V BYTOVÝCH DOMECH</w:t>
                      </w:r>
                    </w:p>
                    <w:p w:rsidR="00F20CF4" w:rsidRPr="00F573DB" w:rsidRDefault="00F20CF4" w:rsidP="00F573DB">
                      <w:pPr>
                        <w:widowControl w:val="0"/>
                        <w:suppressAutoHyphens/>
                        <w:spacing w:after="0" w:line="288" w:lineRule="auto"/>
                        <w:textAlignment w:val="center"/>
                        <w:rPr>
                          <w:rFonts w:cs="MyriadPro-Regular"/>
                          <w:caps/>
                        </w:rPr>
                      </w:pPr>
                    </w:p>
                    <w:p w:rsidR="00F20CF4" w:rsidRPr="00F573DB" w:rsidRDefault="00F20CF4"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 xml:space="preserve">datum vyhlášení: </w:t>
                      </w:r>
                      <w:r>
                        <w:rPr>
                          <w:rFonts w:cs="MyriadPro-Regular"/>
                          <w:caps/>
                          <w:color w:val="000000"/>
                          <w:sz w:val="40"/>
                          <w:szCs w:val="40"/>
                        </w:rPr>
                        <w:t>9</w:t>
                      </w:r>
                      <w:r w:rsidRPr="00F573DB">
                        <w:rPr>
                          <w:rFonts w:cs="MyriadPro-Regular"/>
                          <w:caps/>
                          <w:color w:val="000000"/>
                          <w:sz w:val="40"/>
                          <w:szCs w:val="40"/>
                        </w:rPr>
                        <w:t>. 12. 2015</w:t>
                      </w:r>
                    </w:p>
                    <w:p w:rsidR="00F20CF4" w:rsidRDefault="00F20CF4" w:rsidP="00F573DB">
                      <w:pPr>
                        <w:widowControl w:val="0"/>
                        <w:suppressAutoHyphens/>
                        <w:spacing w:after="0" w:line="288" w:lineRule="auto"/>
                        <w:textAlignment w:val="center"/>
                        <w:rPr>
                          <w:rFonts w:cs="MyriadPro-Regular"/>
                          <w:caps/>
                          <w:sz w:val="40"/>
                          <w:szCs w:val="40"/>
                        </w:rPr>
                      </w:pPr>
                      <w:r w:rsidRPr="00F573DB">
                        <w:rPr>
                          <w:rFonts w:cs="MyriadPro-Regular"/>
                          <w:caps/>
                          <w:color w:val="000000"/>
                          <w:sz w:val="40"/>
                          <w:szCs w:val="40"/>
                        </w:rPr>
                        <w:t>DATUM ZAHÁJE</w:t>
                      </w:r>
                      <w:bookmarkStart w:id="1" w:name="_GoBack"/>
                      <w:bookmarkEnd w:id="1"/>
                      <w:r w:rsidRPr="00F573DB">
                        <w:rPr>
                          <w:rFonts w:cs="MyriadPro-Regular"/>
                          <w:caps/>
                          <w:color w:val="000000"/>
                          <w:sz w:val="40"/>
                          <w:szCs w:val="40"/>
                        </w:rPr>
                        <w:t>NÍ PŘÍJMU ŽÁDOSTÍ: 18. 12. 2015</w:t>
                      </w:r>
                    </w:p>
                    <w:p w:rsidR="00F20CF4" w:rsidRPr="00F573DB" w:rsidRDefault="00F20CF4" w:rsidP="00F573DB">
                      <w:pPr>
                        <w:widowControl w:val="0"/>
                        <w:suppressAutoHyphens/>
                        <w:spacing w:after="0" w:line="288" w:lineRule="auto"/>
                        <w:textAlignment w:val="center"/>
                        <w:rPr>
                          <w:rFonts w:cs="MyriadPro-Regular"/>
                          <w:caps/>
                        </w:rPr>
                      </w:pPr>
                    </w:p>
                    <w:p w:rsidR="00F20CF4" w:rsidRPr="00F573DB" w:rsidRDefault="00F20CF4"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VYDÁNÍ 1.</w:t>
                      </w:r>
                      <w:r>
                        <w:rPr>
                          <w:rFonts w:ascii="Cambria" w:hAnsi="Cambria" w:cs="MyriadPro-Black"/>
                          <w:caps/>
                          <w:color w:val="A6A6A6"/>
                          <w:sz w:val="32"/>
                          <w:szCs w:val="40"/>
                        </w:rPr>
                        <w:t>1</w:t>
                      </w:r>
                    </w:p>
                    <w:p w:rsidR="00F20CF4" w:rsidRPr="00F573DB" w:rsidRDefault="00F20CF4" w:rsidP="00F573DB">
                      <w:pPr>
                        <w:pStyle w:val="Zkladnodstavec"/>
                        <w:jc w:val="both"/>
                        <w:rPr>
                          <w:rFonts w:ascii="Cambria" w:hAnsi="Cambria" w:cs="MyriadPro-Black"/>
                          <w:caps/>
                          <w:color w:val="A6A6A6"/>
                          <w:sz w:val="32"/>
                          <w:szCs w:val="40"/>
                        </w:rPr>
                      </w:pPr>
                      <w:r w:rsidRPr="00F573DB">
                        <w:rPr>
                          <w:rFonts w:ascii="Cambria" w:hAnsi="Cambria" w:cs="MyriadPro-Black"/>
                          <w:caps/>
                          <w:color w:val="A6A6A6"/>
                          <w:sz w:val="32"/>
                          <w:szCs w:val="40"/>
                        </w:rPr>
                        <w:t xml:space="preserve">PLATNOST OD </w:t>
                      </w:r>
                      <w:r>
                        <w:rPr>
                          <w:rFonts w:ascii="Cambria" w:hAnsi="Cambria" w:cs="MyriadPro-Black"/>
                          <w:caps/>
                          <w:color w:val="A6A6A6"/>
                          <w:sz w:val="32"/>
                          <w:szCs w:val="40"/>
                        </w:rPr>
                        <w:t>26</w:t>
                      </w:r>
                      <w:r w:rsidRPr="00F573DB">
                        <w:rPr>
                          <w:rFonts w:ascii="Cambria" w:hAnsi="Cambria" w:cs="MyriadPro-Black"/>
                          <w:caps/>
                          <w:color w:val="A6A6A6"/>
                          <w:sz w:val="32"/>
                          <w:szCs w:val="40"/>
                        </w:rPr>
                        <w:t>. 2. 201</w:t>
                      </w:r>
                      <w:r>
                        <w:rPr>
                          <w:rFonts w:ascii="Cambria" w:hAnsi="Cambria" w:cs="MyriadPro-Black"/>
                          <w:caps/>
                          <w:color w:val="A6A6A6"/>
                          <w:sz w:val="32"/>
                          <w:szCs w:val="40"/>
                        </w:rPr>
                        <w:t>6</w:t>
                      </w:r>
                      <w:r w:rsidRPr="00F573DB">
                        <w:rPr>
                          <w:rFonts w:ascii="Cambria" w:hAnsi="Cambria" w:cs="MyriadPro-Black"/>
                          <w:caps/>
                          <w:color w:val="A6A6A6"/>
                          <w:sz w:val="32"/>
                          <w:szCs w:val="40"/>
                        </w:rPr>
                        <w:t xml:space="preserve"> </w:t>
                      </w:r>
                    </w:p>
                  </w:txbxContent>
                </v:textbox>
                <w10:wrap type="square"/>
              </v:shape>
            </w:pict>
          </mc:Fallback>
        </mc:AlternateContent>
      </w:r>
    </w:p>
    <w:p w:rsidR="005D35E5" w:rsidRPr="005D35E5" w:rsidRDefault="005D35E5" w:rsidP="00F9255E">
      <w:pPr>
        <w:jc w:val="both"/>
        <w:rPr>
          <w:rFonts w:asciiTheme="majorHAnsi" w:hAnsiTheme="majorHAnsi" w:cs="Arial"/>
        </w:rPr>
      </w:pPr>
    </w:p>
    <w:p w:rsidR="005D35E5" w:rsidRPr="005D35E5" w:rsidRDefault="005D35E5" w:rsidP="00F9255E">
      <w:pPr>
        <w:jc w:val="both"/>
        <w:rPr>
          <w:rFonts w:asciiTheme="majorHAnsi" w:hAnsiTheme="majorHAnsi" w:cs="Arial"/>
        </w:rPr>
      </w:pPr>
    </w:p>
    <w:p w:rsidR="005D35E5" w:rsidRPr="005D35E5" w:rsidRDefault="005D35E5" w:rsidP="00F9255E">
      <w:pPr>
        <w:tabs>
          <w:tab w:val="left" w:pos="2085"/>
        </w:tabs>
        <w:jc w:val="both"/>
        <w:rPr>
          <w:rFonts w:asciiTheme="majorHAnsi" w:hAnsiTheme="majorHAnsi" w:cs="Arial"/>
        </w:rPr>
      </w:pPr>
      <w:r w:rsidRPr="005D35E5">
        <w:rPr>
          <w:rFonts w:asciiTheme="majorHAnsi" w:hAnsiTheme="majorHAnsi" w:cs="Arial"/>
        </w:rPr>
        <w:tab/>
        <w:t xml:space="preserve"> </w:t>
      </w:r>
    </w:p>
    <w:p w:rsidR="005D35E5" w:rsidRPr="005D35E5" w:rsidRDefault="005D35E5" w:rsidP="00F9255E">
      <w:pPr>
        <w:tabs>
          <w:tab w:val="left" w:pos="2085"/>
        </w:tabs>
        <w:jc w:val="both"/>
        <w:rPr>
          <w:rFonts w:asciiTheme="majorHAnsi" w:hAnsiTheme="majorHAnsi" w:cs="Arial"/>
        </w:rPr>
      </w:pPr>
    </w:p>
    <w:p w:rsidR="005D35E5" w:rsidRDefault="00B30123" w:rsidP="009444E6">
      <w:pPr>
        <w:tabs>
          <w:tab w:val="left" w:pos="7830"/>
        </w:tabs>
        <w:jc w:val="both"/>
        <w:rPr>
          <w:rFonts w:asciiTheme="majorHAnsi" w:hAnsiTheme="majorHAnsi" w:cs="Arial"/>
        </w:rPr>
      </w:pPr>
      <w:r>
        <w:rPr>
          <w:rFonts w:asciiTheme="majorHAnsi" w:hAnsiTheme="majorHAnsi" w:cs="Arial"/>
        </w:rPr>
        <w:tab/>
      </w: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p>
    <w:p w:rsidR="001E0E2F" w:rsidRDefault="001E0E2F" w:rsidP="00F9255E">
      <w:pPr>
        <w:tabs>
          <w:tab w:val="left" w:pos="2085"/>
        </w:tabs>
        <w:jc w:val="both"/>
        <w:rPr>
          <w:rFonts w:asciiTheme="majorHAnsi" w:hAnsiTheme="majorHAnsi" w:cs="Arial"/>
        </w:rPr>
      </w:pPr>
    </w:p>
    <w:p w:rsidR="00D02F46" w:rsidRDefault="00D02F46" w:rsidP="00F9255E">
      <w:pPr>
        <w:tabs>
          <w:tab w:val="left" w:pos="2085"/>
        </w:tabs>
        <w:jc w:val="both"/>
        <w:rPr>
          <w:rFonts w:asciiTheme="majorHAnsi" w:hAnsiTheme="majorHAnsi" w:cs="Arial"/>
        </w:rPr>
      </w:pPr>
      <w:r>
        <w:rPr>
          <w:rFonts w:asciiTheme="majorHAnsi" w:hAnsiTheme="majorHAnsi" w:cs="Arial"/>
        </w:rPr>
        <w:t>Ministerstvo pro místní rozvoj ČR</w:t>
      </w:r>
    </w:p>
    <w:p w:rsidR="00D02F46" w:rsidRDefault="00D02F46" w:rsidP="00F9255E">
      <w:pPr>
        <w:tabs>
          <w:tab w:val="left" w:pos="2085"/>
        </w:tabs>
        <w:jc w:val="both"/>
        <w:rPr>
          <w:rFonts w:asciiTheme="majorHAnsi" w:hAnsiTheme="majorHAnsi" w:cs="Arial"/>
        </w:rPr>
      </w:pPr>
      <w:r>
        <w:rPr>
          <w:rFonts w:asciiTheme="majorHAnsi" w:hAnsiTheme="majorHAnsi" w:cs="Arial"/>
        </w:rPr>
        <w:t>Odbor řízení operačních programů</w:t>
      </w:r>
    </w:p>
    <w:p w:rsidR="00D02F46" w:rsidRDefault="00D02F46" w:rsidP="00F9255E">
      <w:pPr>
        <w:tabs>
          <w:tab w:val="left" w:pos="2085"/>
        </w:tabs>
        <w:jc w:val="both"/>
        <w:rPr>
          <w:rFonts w:asciiTheme="majorHAnsi" w:hAnsiTheme="majorHAnsi" w:cs="Arial"/>
        </w:rPr>
      </w:pPr>
      <w:r>
        <w:rPr>
          <w:rFonts w:asciiTheme="majorHAnsi" w:hAnsiTheme="majorHAnsi" w:cs="Arial"/>
        </w:rPr>
        <w:t>Staroměstské náměstí 6, 110 15 Praha 1</w:t>
      </w:r>
    </w:p>
    <w:p w:rsidR="00D02F46" w:rsidRDefault="00D02F46" w:rsidP="00F9255E">
      <w:pPr>
        <w:tabs>
          <w:tab w:val="left" w:pos="2085"/>
        </w:tabs>
        <w:jc w:val="both"/>
        <w:rPr>
          <w:rFonts w:asciiTheme="majorHAnsi" w:hAnsiTheme="majorHAnsi" w:cs="Arial"/>
        </w:rPr>
      </w:pPr>
    </w:p>
    <w:p w:rsidR="00D02F46" w:rsidRDefault="00D02F46" w:rsidP="00F9255E">
      <w:pPr>
        <w:spacing w:line="276" w:lineRule="auto"/>
        <w:jc w:val="both"/>
        <w:rPr>
          <w:rFonts w:asciiTheme="majorHAnsi" w:hAnsiTheme="majorHAnsi" w:cs="Arial"/>
        </w:rPr>
      </w:pPr>
    </w:p>
    <w:p w:rsidR="000616B8" w:rsidRPr="00C47232" w:rsidRDefault="000616B8" w:rsidP="00C47232">
      <w:pPr>
        <w:rPr>
          <w:b/>
        </w:rPr>
      </w:pPr>
      <w:bookmarkStart w:id="1" w:name="_Toc401928003"/>
      <w:r w:rsidRPr="00C47232">
        <w:rPr>
          <w:b/>
          <w:sz w:val="36"/>
        </w:rPr>
        <w:t>Obsah</w:t>
      </w:r>
      <w:bookmarkEnd w:id="1"/>
    </w:p>
    <w:p w:rsidR="00F64B9F" w:rsidRPr="005D35E5" w:rsidRDefault="00F64B9F" w:rsidP="00F64B9F"/>
    <w:p w:rsidR="000F3566" w:rsidRDefault="00F64B9F">
      <w:pPr>
        <w:pStyle w:val="Obsah1"/>
        <w:tabs>
          <w:tab w:val="left" w:pos="480"/>
          <w:tab w:val="right" w:leader="dot" w:pos="9062"/>
        </w:tabs>
        <w:rPr>
          <w:rFonts w:asciiTheme="minorHAnsi" w:eastAsiaTheme="minorEastAsia" w:hAnsiTheme="minorHAnsi" w:cstheme="minorBidi"/>
          <w:noProof/>
          <w:sz w:val="22"/>
          <w:szCs w:val="22"/>
          <w:lang w:eastAsia="cs-CZ"/>
        </w:rPr>
      </w:pPr>
      <w:r>
        <w:rPr>
          <w:rFonts w:asciiTheme="majorHAnsi" w:hAnsiTheme="majorHAnsi" w:cs="Arial"/>
        </w:rPr>
        <w:fldChar w:fldCharType="begin"/>
      </w:r>
      <w:r>
        <w:rPr>
          <w:rFonts w:asciiTheme="majorHAnsi" w:hAnsiTheme="majorHAnsi" w:cs="Arial"/>
        </w:rPr>
        <w:instrText xml:space="preserve"> TOC \o "1-3" \h \z \u </w:instrText>
      </w:r>
      <w:r>
        <w:rPr>
          <w:rFonts w:asciiTheme="majorHAnsi" w:hAnsiTheme="majorHAnsi" w:cs="Arial"/>
        </w:rPr>
        <w:fldChar w:fldCharType="separate"/>
      </w:r>
      <w:hyperlink w:anchor="_Toc444247645" w:history="1">
        <w:r w:rsidR="000F3566" w:rsidRPr="005E35B2">
          <w:rPr>
            <w:rStyle w:val="Hypertextovodkaz"/>
            <w:rFonts w:eastAsia="Times New Roman"/>
            <w:noProof/>
          </w:rPr>
          <w:t>1.</w:t>
        </w:r>
        <w:r w:rsidR="000F3566">
          <w:rPr>
            <w:rFonts w:asciiTheme="minorHAnsi" w:eastAsiaTheme="minorEastAsia" w:hAnsiTheme="minorHAnsi" w:cstheme="minorBidi"/>
            <w:noProof/>
            <w:sz w:val="22"/>
            <w:szCs w:val="22"/>
            <w:lang w:eastAsia="cs-CZ"/>
          </w:rPr>
          <w:tab/>
        </w:r>
        <w:r w:rsidR="000F3566" w:rsidRPr="005E35B2">
          <w:rPr>
            <w:rStyle w:val="Hypertextovodkaz"/>
            <w:rFonts w:eastAsia="Times New Roman"/>
            <w:noProof/>
          </w:rPr>
          <w:t>Úvod</w:t>
        </w:r>
        <w:r w:rsidR="000F3566">
          <w:rPr>
            <w:noProof/>
            <w:webHidden/>
          </w:rPr>
          <w:tab/>
        </w:r>
        <w:r w:rsidR="000F3566">
          <w:rPr>
            <w:noProof/>
            <w:webHidden/>
          </w:rPr>
          <w:fldChar w:fldCharType="begin"/>
        </w:r>
        <w:r w:rsidR="000F3566">
          <w:rPr>
            <w:noProof/>
            <w:webHidden/>
          </w:rPr>
          <w:instrText xml:space="preserve"> PAGEREF _Toc444247645 \h </w:instrText>
        </w:r>
        <w:r w:rsidR="000F3566">
          <w:rPr>
            <w:noProof/>
            <w:webHidden/>
          </w:rPr>
        </w:r>
        <w:r w:rsidR="000F3566">
          <w:rPr>
            <w:noProof/>
            <w:webHidden/>
          </w:rPr>
          <w:fldChar w:fldCharType="separate"/>
        </w:r>
        <w:r w:rsidR="000F3566">
          <w:rPr>
            <w:noProof/>
            <w:webHidden/>
          </w:rPr>
          <w:t>8</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46" w:history="1">
        <w:r w:rsidR="000F3566" w:rsidRPr="005E35B2">
          <w:rPr>
            <w:rStyle w:val="Hypertextovodkaz"/>
            <w:rFonts w:eastAsia="Times New Roman"/>
            <w:noProof/>
          </w:rPr>
          <w:t>2.</w:t>
        </w:r>
        <w:r w:rsidR="000F3566">
          <w:rPr>
            <w:rFonts w:asciiTheme="minorHAnsi" w:eastAsiaTheme="minorEastAsia" w:hAnsiTheme="minorHAnsi" w:cstheme="minorBidi"/>
            <w:noProof/>
            <w:sz w:val="22"/>
            <w:szCs w:val="22"/>
            <w:lang w:eastAsia="cs-CZ"/>
          </w:rPr>
          <w:tab/>
        </w:r>
        <w:r w:rsidR="000F3566" w:rsidRPr="005E35B2">
          <w:rPr>
            <w:rStyle w:val="Hypertextovodkaz"/>
            <w:noProof/>
          </w:rPr>
          <w:t>Údaje o výzvě</w:t>
        </w:r>
        <w:r w:rsidR="000F3566">
          <w:rPr>
            <w:noProof/>
            <w:webHidden/>
          </w:rPr>
          <w:tab/>
        </w:r>
        <w:r w:rsidR="000F3566">
          <w:rPr>
            <w:noProof/>
            <w:webHidden/>
          </w:rPr>
          <w:fldChar w:fldCharType="begin"/>
        </w:r>
        <w:r w:rsidR="000F3566">
          <w:rPr>
            <w:noProof/>
            <w:webHidden/>
          </w:rPr>
          <w:instrText xml:space="preserve"> PAGEREF _Toc444247646 \h </w:instrText>
        </w:r>
        <w:r w:rsidR="000F3566">
          <w:rPr>
            <w:noProof/>
            <w:webHidden/>
          </w:rPr>
        </w:r>
        <w:r w:rsidR="000F3566">
          <w:rPr>
            <w:noProof/>
            <w:webHidden/>
          </w:rPr>
          <w:fldChar w:fldCharType="separate"/>
        </w:r>
        <w:r w:rsidR="000F3566">
          <w:rPr>
            <w:noProof/>
            <w:webHidden/>
          </w:rPr>
          <w:t>9</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47" w:history="1">
        <w:r w:rsidR="000F3566" w:rsidRPr="005E35B2">
          <w:rPr>
            <w:rStyle w:val="Hypertextovodkaz"/>
            <w:noProof/>
          </w:rPr>
          <w:t>2.1</w:t>
        </w:r>
        <w:r w:rsidR="000F3566">
          <w:rPr>
            <w:rFonts w:asciiTheme="minorHAnsi" w:eastAsiaTheme="minorEastAsia" w:hAnsiTheme="minorHAnsi" w:cstheme="minorBidi"/>
            <w:noProof/>
            <w:sz w:val="22"/>
            <w:szCs w:val="22"/>
            <w:lang w:eastAsia="cs-CZ"/>
          </w:rPr>
          <w:tab/>
        </w:r>
        <w:r w:rsidR="000F3566" w:rsidRPr="005E35B2">
          <w:rPr>
            <w:rStyle w:val="Hypertextovodkaz"/>
            <w:noProof/>
          </w:rPr>
          <w:t>Vyhlášení výzvy a podání žádosti o podporu</w:t>
        </w:r>
        <w:r w:rsidR="000F3566">
          <w:rPr>
            <w:noProof/>
            <w:webHidden/>
          </w:rPr>
          <w:tab/>
        </w:r>
        <w:r w:rsidR="000F3566">
          <w:rPr>
            <w:noProof/>
            <w:webHidden/>
          </w:rPr>
          <w:fldChar w:fldCharType="begin"/>
        </w:r>
        <w:r w:rsidR="000F3566">
          <w:rPr>
            <w:noProof/>
            <w:webHidden/>
          </w:rPr>
          <w:instrText xml:space="preserve"> PAGEREF _Toc444247647 \h </w:instrText>
        </w:r>
        <w:r w:rsidR="000F3566">
          <w:rPr>
            <w:noProof/>
            <w:webHidden/>
          </w:rPr>
        </w:r>
        <w:r w:rsidR="000F3566">
          <w:rPr>
            <w:noProof/>
            <w:webHidden/>
          </w:rPr>
          <w:fldChar w:fldCharType="separate"/>
        </w:r>
        <w:r w:rsidR="000F3566">
          <w:rPr>
            <w:noProof/>
            <w:webHidden/>
          </w:rPr>
          <w:t>9</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48" w:history="1">
        <w:r w:rsidR="000F3566" w:rsidRPr="005E35B2">
          <w:rPr>
            <w:rStyle w:val="Hypertextovodkaz"/>
            <w:noProof/>
          </w:rPr>
          <w:t>Oprávnění žadatelé</w:t>
        </w:r>
        <w:r w:rsidR="000F3566">
          <w:rPr>
            <w:noProof/>
            <w:webHidden/>
          </w:rPr>
          <w:tab/>
        </w:r>
        <w:r w:rsidR="000F3566">
          <w:rPr>
            <w:noProof/>
            <w:webHidden/>
          </w:rPr>
          <w:fldChar w:fldCharType="begin"/>
        </w:r>
        <w:r w:rsidR="000F3566">
          <w:rPr>
            <w:noProof/>
            <w:webHidden/>
          </w:rPr>
          <w:instrText xml:space="preserve"> PAGEREF _Toc444247648 \h </w:instrText>
        </w:r>
        <w:r w:rsidR="000F3566">
          <w:rPr>
            <w:noProof/>
            <w:webHidden/>
          </w:rPr>
        </w:r>
        <w:r w:rsidR="000F3566">
          <w:rPr>
            <w:noProof/>
            <w:webHidden/>
          </w:rPr>
          <w:fldChar w:fldCharType="separate"/>
        </w:r>
        <w:r w:rsidR="000F3566">
          <w:rPr>
            <w:noProof/>
            <w:webHidden/>
          </w:rPr>
          <w:t>10</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49" w:history="1">
        <w:r w:rsidR="000F3566" w:rsidRPr="005E35B2">
          <w:rPr>
            <w:rStyle w:val="Hypertextovodkaz"/>
            <w:noProof/>
          </w:rPr>
          <w:t>2.2</w:t>
        </w:r>
        <w:r w:rsidR="000F3566">
          <w:rPr>
            <w:rFonts w:asciiTheme="minorHAnsi" w:eastAsiaTheme="minorEastAsia" w:hAnsiTheme="minorHAnsi" w:cstheme="minorBidi"/>
            <w:noProof/>
            <w:sz w:val="22"/>
            <w:szCs w:val="22"/>
            <w:lang w:eastAsia="cs-CZ"/>
          </w:rPr>
          <w:tab/>
        </w:r>
        <w:r w:rsidR="000F3566" w:rsidRPr="005E35B2">
          <w:rPr>
            <w:rStyle w:val="Hypertextovodkaz"/>
            <w:noProof/>
          </w:rPr>
          <w:t>Podporované aktivity</w:t>
        </w:r>
        <w:r w:rsidR="000F3566">
          <w:rPr>
            <w:noProof/>
            <w:webHidden/>
          </w:rPr>
          <w:tab/>
        </w:r>
        <w:r w:rsidR="000F3566">
          <w:rPr>
            <w:noProof/>
            <w:webHidden/>
          </w:rPr>
          <w:fldChar w:fldCharType="begin"/>
        </w:r>
        <w:r w:rsidR="000F3566">
          <w:rPr>
            <w:noProof/>
            <w:webHidden/>
          </w:rPr>
          <w:instrText xml:space="preserve"> PAGEREF _Toc444247649 \h </w:instrText>
        </w:r>
        <w:r w:rsidR="000F3566">
          <w:rPr>
            <w:noProof/>
            <w:webHidden/>
          </w:rPr>
        </w:r>
        <w:r w:rsidR="000F3566">
          <w:rPr>
            <w:noProof/>
            <w:webHidden/>
          </w:rPr>
          <w:fldChar w:fldCharType="separate"/>
        </w:r>
        <w:r w:rsidR="000F3566">
          <w:rPr>
            <w:noProof/>
            <w:webHidden/>
          </w:rPr>
          <w:t>11</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50" w:history="1">
        <w:r w:rsidR="000F3566" w:rsidRPr="005E35B2">
          <w:rPr>
            <w:rStyle w:val="Hypertextovodkaz"/>
            <w:noProof/>
          </w:rPr>
          <w:t>Typy podporovaných projektů a aktivit</w:t>
        </w:r>
        <w:r w:rsidR="000F3566">
          <w:rPr>
            <w:noProof/>
            <w:webHidden/>
          </w:rPr>
          <w:tab/>
        </w:r>
        <w:r w:rsidR="000F3566">
          <w:rPr>
            <w:noProof/>
            <w:webHidden/>
          </w:rPr>
          <w:fldChar w:fldCharType="begin"/>
        </w:r>
        <w:r w:rsidR="000F3566">
          <w:rPr>
            <w:noProof/>
            <w:webHidden/>
          </w:rPr>
          <w:instrText xml:space="preserve"> PAGEREF _Toc444247650 \h </w:instrText>
        </w:r>
        <w:r w:rsidR="000F3566">
          <w:rPr>
            <w:noProof/>
            <w:webHidden/>
          </w:rPr>
        </w:r>
        <w:r w:rsidR="000F3566">
          <w:rPr>
            <w:noProof/>
            <w:webHidden/>
          </w:rPr>
          <w:fldChar w:fldCharType="separate"/>
        </w:r>
        <w:r w:rsidR="000F3566">
          <w:rPr>
            <w:noProof/>
            <w:webHidden/>
          </w:rPr>
          <w:t>11</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1" w:history="1">
        <w:r w:rsidR="000F3566" w:rsidRPr="005E35B2">
          <w:rPr>
            <w:rStyle w:val="Hypertextovodkaz"/>
            <w:noProof/>
          </w:rPr>
          <w:t>2.3</w:t>
        </w:r>
        <w:r w:rsidR="000F3566">
          <w:rPr>
            <w:rFonts w:asciiTheme="minorHAnsi" w:eastAsiaTheme="minorEastAsia" w:hAnsiTheme="minorHAnsi" w:cstheme="minorBidi"/>
            <w:noProof/>
            <w:sz w:val="22"/>
            <w:szCs w:val="22"/>
            <w:lang w:eastAsia="cs-CZ"/>
          </w:rPr>
          <w:tab/>
        </w:r>
        <w:r w:rsidR="000F3566" w:rsidRPr="005E35B2">
          <w:rPr>
            <w:rStyle w:val="Hypertextovodkaz"/>
            <w:noProof/>
          </w:rPr>
          <w:t>Povinné přílohy žádosti o podporu</w:t>
        </w:r>
        <w:r w:rsidR="000F3566">
          <w:rPr>
            <w:noProof/>
            <w:webHidden/>
          </w:rPr>
          <w:tab/>
        </w:r>
        <w:r w:rsidR="000F3566">
          <w:rPr>
            <w:noProof/>
            <w:webHidden/>
          </w:rPr>
          <w:fldChar w:fldCharType="begin"/>
        </w:r>
        <w:r w:rsidR="000F3566">
          <w:rPr>
            <w:noProof/>
            <w:webHidden/>
          </w:rPr>
          <w:instrText xml:space="preserve"> PAGEREF _Toc444247651 \h </w:instrText>
        </w:r>
        <w:r w:rsidR="000F3566">
          <w:rPr>
            <w:noProof/>
            <w:webHidden/>
          </w:rPr>
        </w:r>
        <w:r w:rsidR="000F3566">
          <w:rPr>
            <w:noProof/>
            <w:webHidden/>
          </w:rPr>
          <w:fldChar w:fldCharType="separate"/>
        </w:r>
        <w:r w:rsidR="000F3566">
          <w:rPr>
            <w:noProof/>
            <w:webHidden/>
          </w:rPr>
          <w:t>16</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2" w:history="1">
        <w:r w:rsidR="000F3566" w:rsidRPr="005E35B2">
          <w:rPr>
            <w:rStyle w:val="Hypertextovodkaz"/>
            <w:noProof/>
          </w:rPr>
          <w:t>2.4</w:t>
        </w:r>
        <w:r w:rsidR="000F3566">
          <w:rPr>
            <w:rFonts w:asciiTheme="minorHAnsi" w:eastAsiaTheme="minorEastAsia" w:hAnsiTheme="minorHAnsi" w:cstheme="minorBidi"/>
            <w:noProof/>
            <w:sz w:val="22"/>
            <w:szCs w:val="22"/>
            <w:lang w:eastAsia="cs-CZ"/>
          </w:rPr>
          <w:tab/>
        </w:r>
        <w:r w:rsidR="000F3566" w:rsidRPr="005E35B2">
          <w:rPr>
            <w:rStyle w:val="Hypertextovodkaz"/>
            <w:noProof/>
          </w:rPr>
          <w:t>Struktura financování</w:t>
        </w:r>
        <w:r w:rsidR="000F3566">
          <w:rPr>
            <w:noProof/>
            <w:webHidden/>
          </w:rPr>
          <w:tab/>
        </w:r>
        <w:r w:rsidR="000F3566">
          <w:rPr>
            <w:noProof/>
            <w:webHidden/>
          </w:rPr>
          <w:fldChar w:fldCharType="begin"/>
        </w:r>
        <w:r w:rsidR="000F3566">
          <w:rPr>
            <w:noProof/>
            <w:webHidden/>
          </w:rPr>
          <w:instrText xml:space="preserve"> PAGEREF _Toc444247652 \h </w:instrText>
        </w:r>
        <w:r w:rsidR="000F3566">
          <w:rPr>
            <w:noProof/>
            <w:webHidden/>
          </w:rPr>
        </w:r>
        <w:r w:rsidR="000F3566">
          <w:rPr>
            <w:noProof/>
            <w:webHidden/>
          </w:rPr>
          <w:fldChar w:fldCharType="separate"/>
        </w:r>
        <w:r w:rsidR="000F3566">
          <w:rPr>
            <w:noProof/>
            <w:webHidden/>
          </w:rPr>
          <w:t>21</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3" w:history="1">
        <w:r w:rsidR="000F3566" w:rsidRPr="005E35B2">
          <w:rPr>
            <w:rStyle w:val="Hypertextovodkaz"/>
            <w:noProof/>
          </w:rPr>
          <w:t>2.5</w:t>
        </w:r>
        <w:r w:rsidR="000F3566">
          <w:rPr>
            <w:rFonts w:asciiTheme="minorHAnsi" w:eastAsiaTheme="minorEastAsia" w:hAnsiTheme="minorHAnsi" w:cstheme="minorBidi"/>
            <w:noProof/>
            <w:sz w:val="22"/>
            <w:szCs w:val="22"/>
            <w:lang w:eastAsia="cs-CZ"/>
          </w:rPr>
          <w:tab/>
        </w:r>
        <w:r w:rsidR="000F3566" w:rsidRPr="005E35B2">
          <w:rPr>
            <w:rStyle w:val="Hypertextovodkaz"/>
            <w:noProof/>
          </w:rPr>
          <w:t>Způsobilé výdaje</w:t>
        </w:r>
        <w:r w:rsidR="000F3566">
          <w:rPr>
            <w:noProof/>
            <w:webHidden/>
          </w:rPr>
          <w:tab/>
        </w:r>
        <w:r w:rsidR="000F3566">
          <w:rPr>
            <w:noProof/>
            <w:webHidden/>
          </w:rPr>
          <w:fldChar w:fldCharType="begin"/>
        </w:r>
        <w:r w:rsidR="000F3566">
          <w:rPr>
            <w:noProof/>
            <w:webHidden/>
          </w:rPr>
          <w:instrText xml:space="preserve"> PAGEREF _Toc444247653 \h </w:instrText>
        </w:r>
        <w:r w:rsidR="000F3566">
          <w:rPr>
            <w:noProof/>
            <w:webHidden/>
          </w:rPr>
        </w:r>
        <w:r w:rsidR="000F3566">
          <w:rPr>
            <w:noProof/>
            <w:webHidden/>
          </w:rPr>
          <w:fldChar w:fldCharType="separate"/>
        </w:r>
        <w:r w:rsidR="000F3566">
          <w:rPr>
            <w:noProof/>
            <w:webHidden/>
          </w:rPr>
          <w:t>22</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54" w:history="1">
        <w:r w:rsidR="000F3566" w:rsidRPr="005E35B2">
          <w:rPr>
            <w:rStyle w:val="Hypertextovodkaz"/>
            <w:noProof/>
          </w:rPr>
          <w:t>Způsobilé výdaje na hlavní aktivity projektu</w:t>
        </w:r>
        <w:r w:rsidR="000F3566">
          <w:rPr>
            <w:noProof/>
            <w:webHidden/>
          </w:rPr>
          <w:tab/>
        </w:r>
        <w:r w:rsidR="000F3566">
          <w:rPr>
            <w:noProof/>
            <w:webHidden/>
          </w:rPr>
          <w:fldChar w:fldCharType="begin"/>
        </w:r>
        <w:r w:rsidR="000F3566">
          <w:rPr>
            <w:noProof/>
            <w:webHidden/>
          </w:rPr>
          <w:instrText xml:space="preserve"> PAGEREF _Toc444247654 \h </w:instrText>
        </w:r>
        <w:r w:rsidR="000F3566">
          <w:rPr>
            <w:noProof/>
            <w:webHidden/>
          </w:rPr>
        </w:r>
        <w:r w:rsidR="000F3566">
          <w:rPr>
            <w:noProof/>
            <w:webHidden/>
          </w:rPr>
          <w:fldChar w:fldCharType="separate"/>
        </w:r>
        <w:r w:rsidR="000F3566">
          <w:rPr>
            <w:noProof/>
            <w:webHidden/>
          </w:rPr>
          <w:t>23</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55" w:history="1">
        <w:r w:rsidR="000F3566" w:rsidRPr="005E35B2">
          <w:rPr>
            <w:rStyle w:val="Hypertextovodkaz"/>
            <w:noProof/>
          </w:rPr>
          <w:t>Způsobilé výdaje na vedlejší aktivity projektu</w:t>
        </w:r>
        <w:r w:rsidR="000F3566">
          <w:rPr>
            <w:noProof/>
            <w:webHidden/>
          </w:rPr>
          <w:tab/>
        </w:r>
        <w:r w:rsidR="000F3566">
          <w:rPr>
            <w:noProof/>
            <w:webHidden/>
          </w:rPr>
          <w:fldChar w:fldCharType="begin"/>
        </w:r>
        <w:r w:rsidR="000F3566">
          <w:rPr>
            <w:noProof/>
            <w:webHidden/>
          </w:rPr>
          <w:instrText xml:space="preserve"> PAGEREF _Toc444247655 \h </w:instrText>
        </w:r>
        <w:r w:rsidR="000F3566">
          <w:rPr>
            <w:noProof/>
            <w:webHidden/>
          </w:rPr>
        </w:r>
        <w:r w:rsidR="000F3566">
          <w:rPr>
            <w:noProof/>
            <w:webHidden/>
          </w:rPr>
          <w:fldChar w:fldCharType="separate"/>
        </w:r>
        <w:r w:rsidR="000F3566">
          <w:rPr>
            <w:noProof/>
            <w:webHidden/>
          </w:rPr>
          <w:t>24</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56" w:history="1">
        <w:r w:rsidR="000F3566" w:rsidRPr="005E35B2">
          <w:rPr>
            <w:rStyle w:val="Hypertextovodkaz"/>
            <w:noProof/>
          </w:rPr>
          <w:t>Dokladování způsobilých výdajů projektu</w:t>
        </w:r>
        <w:r w:rsidR="000F3566">
          <w:rPr>
            <w:noProof/>
            <w:webHidden/>
          </w:rPr>
          <w:tab/>
        </w:r>
        <w:r w:rsidR="000F3566">
          <w:rPr>
            <w:noProof/>
            <w:webHidden/>
          </w:rPr>
          <w:fldChar w:fldCharType="begin"/>
        </w:r>
        <w:r w:rsidR="000F3566">
          <w:rPr>
            <w:noProof/>
            <w:webHidden/>
          </w:rPr>
          <w:instrText xml:space="preserve"> PAGEREF _Toc444247656 \h </w:instrText>
        </w:r>
        <w:r w:rsidR="000F3566">
          <w:rPr>
            <w:noProof/>
            <w:webHidden/>
          </w:rPr>
        </w:r>
        <w:r w:rsidR="000F3566">
          <w:rPr>
            <w:noProof/>
            <w:webHidden/>
          </w:rPr>
          <w:fldChar w:fldCharType="separate"/>
        </w:r>
        <w:r w:rsidR="000F3566">
          <w:rPr>
            <w:noProof/>
            <w:webHidden/>
          </w:rPr>
          <w:t>25</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7" w:history="1">
        <w:r w:rsidR="000F3566" w:rsidRPr="005E35B2">
          <w:rPr>
            <w:rStyle w:val="Hypertextovodkaz"/>
            <w:noProof/>
          </w:rPr>
          <w:t>2.6</w:t>
        </w:r>
        <w:r w:rsidR="000F3566">
          <w:rPr>
            <w:rFonts w:asciiTheme="minorHAnsi" w:eastAsiaTheme="minorEastAsia" w:hAnsiTheme="minorHAnsi" w:cstheme="minorBidi"/>
            <w:noProof/>
            <w:sz w:val="22"/>
            <w:szCs w:val="22"/>
            <w:lang w:eastAsia="cs-CZ"/>
          </w:rPr>
          <w:tab/>
        </w:r>
        <w:r w:rsidR="000F3566" w:rsidRPr="005E35B2">
          <w:rPr>
            <w:rStyle w:val="Hypertextovodkaz"/>
            <w:noProof/>
          </w:rPr>
          <w:t>Indikátory</w:t>
        </w:r>
        <w:r w:rsidR="000F3566">
          <w:rPr>
            <w:noProof/>
            <w:webHidden/>
          </w:rPr>
          <w:tab/>
        </w:r>
        <w:r w:rsidR="000F3566">
          <w:rPr>
            <w:noProof/>
            <w:webHidden/>
          </w:rPr>
          <w:fldChar w:fldCharType="begin"/>
        </w:r>
        <w:r w:rsidR="000F3566">
          <w:rPr>
            <w:noProof/>
            <w:webHidden/>
          </w:rPr>
          <w:instrText xml:space="preserve"> PAGEREF _Toc444247657 \h </w:instrText>
        </w:r>
        <w:r w:rsidR="000F3566">
          <w:rPr>
            <w:noProof/>
            <w:webHidden/>
          </w:rPr>
        </w:r>
        <w:r w:rsidR="000F3566">
          <w:rPr>
            <w:noProof/>
            <w:webHidden/>
          </w:rPr>
          <w:fldChar w:fldCharType="separate"/>
        </w:r>
        <w:r w:rsidR="000F3566">
          <w:rPr>
            <w:noProof/>
            <w:webHidden/>
          </w:rPr>
          <w:t>29</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8" w:history="1">
        <w:r w:rsidR="000F3566" w:rsidRPr="005E35B2">
          <w:rPr>
            <w:rStyle w:val="Hypertextovodkaz"/>
            <w:noProof/>
          </w:rPr>
          <w:t>2.7</w:t>
        </w:r>
        <w:r w:rsidR="000F3566">
          <w:rPr>
            <w:rFonts w:asciiTheme="minorHAnsi" w:eastAsiaTheme="minorEastAsia" w:hAnsiTheme="minorHAnsi" w:cstheme="minorBidi"/>
            <w:noProof/>
            <w:sz w:val="22"/>
            <w:szCs w:val="22"/>
            <w:lang w:eastAsia="cs-CZ"/>
          </w:rPr>
          <w:tab/>
        </w:r>
        <w:r w:rsidR="000F3566" w:rsidRPr="005E35B2">
          <w:rPr>
            <w:rStyle w:val="Hypertextovodkaz"/>
            <w:noProof/>
          </w:rPr>
          <w:t>Místo realizace projektů</w:t>
        </w:r>
        <w:r w:rsidR="000F3566">
          <w:rPr>
            <w:noProof/>
            <w:webHidden/>
          </w:rPr>
          <w:tab/>
        </w:r>
        <w:r w:rsidR="000F3566">
          <w:rPr>
            <w:noProof/>
            <w:webHidden/>
          </w:rPr>
          <w:fldChar w:fldCharType="begin"/>
        </w:r>
        <w:r w:rsidR="000F3566">
          <w:rPr>
            <w:noProof/>
            <w:webHidden/>
          </w:rPr>
          <w:instrText xml:space="preserve"> PAGEREF _Toc444247658 \h </w:instrText>
        </w:r>
        <w:r w:rsidR="000F3566">
          <w:rPr>
            <w:noProof/>
            <w:webHidden/>
          </w:rPr>
        </w:r>
        <w:r w:rsidR="000F3566">
          <w:rPr>
            <w:noProof/>
            <w:webHidden/>
          </w:rPr>
          <w:fldChar w:fldCharType="separate"/>
        </w:r>
        <w:r w:rsidR="000F3566">
          <w:rPr>
            <w:noProof/>
            <w:webHidden/>
          </w:rPr>
          <w:t>30</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59" w:history="1">
        <w:r w:rsidR="000F3566" w:rsidRPr="005E35B2">
          <w:rPr>
            <w:rStyle w:val="Hypertextovodkaz"/>
            <w:noProof/>
          </w:rPr>
          <w:t>2.8</w:t>
        </w:r>
        <w:r w:rsidR="000F3566">
          <w:rPr>
            <w:rFonts w:asciiTheme="minorHAnsi" w:eastAsiaTheme="minorEastAsia" w:hAnsiTheme="minorHAnsi" w:cstheme="minorBidi"/>
            <w:noProof/>
            <w:sz w:val="22"/>
            <w:szCs w:val="22"/>
            <w:lang w:eastAsia="cs-CZ"/>
          </w:rPr>
          <w:tab/>
        </w:r>
        <w:r w:rsidR="000F3566" w:rsidRPr="005E35B2">
          <w:rPr>
            <w:rStyle w:val="Hypertextovodkaz"/>
            <w:noProof/>
          </w:rPr>
          <w:t>Projekty generující příjmy</w:t>
        </w:r>
        <w:r w:rsidR="000F3566">
          <w:rPr>
            <w:noProof/>
            <w:webHidden/>
          </w:rPr>
          <w:tab/>
        </w:r>
        <w:r w:rsidR="000F3566">
          <w:rPr>
            <w:noProof/>
            <w:webHidden/>
          </w:rPr>
          <w:fldChar w:fldCharType="begin"/>
        </w:r>
        <w:r w:rsidR="000F3566">
          <w:rPr>
            <w:noProof/>
            <w:webHidden/>
          </w:rPr>
          <w:instrText xml:space="preserve"> PAGEREF _Toc444247659 \h </w:instrText>
        </w:r>
        <w:r w:rsidR="000F3566">
          <w:rPr>
            <w:noProof/>
            <w:webHidden/>
          </w:rPr>
        </w:r>
        <w:r w:rsidR="000F3566">
          <w:rPr>
            <w:noProof/>
            <w:webHidden/>
          </w:rPr>
          <w:fldChar w:fldCharType="separate"/>
        </w:r>
        <w:r w:rsidR="000F3566">
          <w:rPr>
            <w:noProof/>
            <w:webHidden/>
          </w:rPr>
          <w:t>30</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60" w:history="1">
        <w:r w:rsidR="000F3566" w:rsidRPr="005E35B2">
          <w:rPr>
            <w:rStyle w:val="Hypertextovodkaz"/>
            <w:noProof/>
          </w:rPr>
          <w:t>2.9</w:t>
        </w:r>
        <w:r w:rsidR="000F3566">
          <w:rPr>
            <w:rFonts w:asciiTheme="minorHAnsi" w:eastAsiaTheme="minorEastAsia" w:hAnsiTheme="minorHAnsi" w:cstheme="minorBidi"/>
            <w:noProof/>
            <w:sz w:val="22"/>
            <w:szCs w:val="22"/>
            <w:lang w:eastAsia="cs-CZ"/>
          </w:rPr>
          <w:tab/>
        </w:r>
        <w:r w:rsidR="000F3566" w:rsidRPr="005E35B2">
          <w:rPr>
            <w:rStyle w:val="Hypertextovodkaz"/>
            <w:noProof/>
          </w:rPr>
          <w:t>Přenesená daňová povinnost</w:t>
        </w:r>
        <w:r w:rsidR="000F3566">
          <w:rPr>
            <w:noProof/>
            <w:webHidden/>
          </w:rPr>
          <w:tab/>
        </w:r>
        <w:r w:rsidR="000F3566">
          <w:rPr>
            <w:noProof/>
            <w:webHidden/>
          </w:rPr>
          <w:fldChar w:fldCharType="begin"/>
        </w:r>
        <w:r w:rsidR="000F3566">
          <w:rPr>
            <w:noProof/>
            <w:webHidden/>
          </w:rPr>
          <w:instrText xml:space="preserve"> PAGEREF _Toc444247660 \h </w:instrText>
        </w:r>
        <w:r w:rsidR="000F3566">
          <w:rPr>
            <w:noProof/>
            <w:webHidden/>
          </w:rPr>
        </w:r>
        <w:r w:rsidR="000F3566">
          <w:rPr>
            <w:noProof/>
            <w:webHidden/>
          </w:rPr>
          <w:fldChar w:fldCharType="separate"/>
        </w:r>
        <w:r w:rsidR="000F3566">
          <w:rPr>
            <w:noProof/>
            <w:webHidden/>
          </w:rPr>
          <w:t>30</w:t>
        </w:r>
        <w:r w:rsidR="000F3566">
          <w:rPr>
            <w:noProof/>
            <w:webHidden/>
          </w:rPr>
          <w:fldChar w:fldCharType="end"/>
        </w:r>
      </w:hyperlink>
    </w:p>
    <w:p w:rsidR="000F3566" w:rsidRDefault="00150503">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44247661" w:history="1">
        <w:r w:rsidR="000F3566" w:rsidRPr="005E35B2">
          <w:rPr>
            <w:rStyle w:val="Hypertextovodkaz"/>
            <w:noProof/>
          </w:rPr>
          <w:t>2.10</w:t>
        </w:r>
        <w:r w:rsidR="000F3566">
          <w:rPr>
            <w:rFonts w:asciiTheme="minorHAnsi" w:eastAsiaTheme="minorEastAsia" w:hAnsiTheme="minorHAnsi" w:cstheme="minorBidi"/>
            <w:noProof/>
            <w:sz w:val="22"/>
            <w:szCs w:val="22"/>
            <w:lang w:eastAsia="cs-CZ"/>
          </w:rPr>
          <w:tab/>
        </w:r>
        <w:r w:rsidR="000F3566" w:rsidRPr="005E35B2">
          <w:rPr>
            <w:rStyle w:val="Hypertextovodkaz"/>
            <w:noProof/>
          </w:rPr>
          <w:t>Dodatečné stavební práce</w:t>
        </w:r>
        <w:r w:rsidR="000F3566">
          <w:rPr>
            <w:noProof/>
            <w:webHidden/>
          </w:rPr>
          <w:tab/>
        </w:r>
        <w:r w:rsidR="000F3566">
          <w:rPr>
            <w:noProof/>
            <w:webHidden/>
          </w:rPr>
          <w:fldChar w:fldCharType="begin"/>
        </w:r>
        <w:r w:rsidR="000F3566">
          <w:rPr>
            <w:noProof/>
            <w:webHidden/>
          </w:rPr>
          <w:instrText xml:space="preserve"> PAGEREF _Toc444247661 \h </w:instrText>
        </w:r>
        <w:r w:rsidR="000F3566">
          <w:rPr>
            <w:noProof/>
            <w:webHidden/>
          </w:rPr>
        </w:r>
        <w:r w:rsidR="000F3566">
          <w:rPr>
            <w:noProof/>
            <w:webHidden/>
          </w:rPr>
          <w:fldChar w:fldCharType="separate"/>
        </w:r>
        <w:r w:rsidR="000F3566">
          <w:rPr>
            <w:noProof/>
            <w:webHidden/>
          </w:rPr>
          <w:t>30</w:t>
        </w:r>
        <w:r w:rsidR="000F3566">
          <w:rPr>
            <w:noProof/>
            <w:webHidden/>
          </w:rPr>
          <w:fldChar w:fldCharType="end"/>
        </w:r>
      </w:hyperlink>
    </w:p>
    <w:p w:rsidR="000F3566" w:rsidRDefault="00150503">
      <w:pPr>
        <w:pStyle w:val="Obsah1"/>
        <w:tabs>
          <w:tab w:val="left" w:pos="880"/>
          <w:tab w:val="right" w:leader="dot" w:pos="9062"/>
        </w:tabs>
        <w:rPr>
          <w:rFonts w:asciiTheme="minorHAnsi" w:eastAsiaTheme="minorEastAsia" w:hAnsiTheme="minorHAnsi" w:cstheme="minorBidi"/>
          <w:noProof/>
          <w:sz w:val="22"/>
          <w:szCs w:val="22"/>
          <w:lang w:eastAsia="cs-CZ"/>
        </w:rPr>
      </w:pPr>
      <w:hyperlink w:anchor="_Toc444247662" w:history="1">
        <w:r w:rsidR="000F3566" w:rsidRPr="005E35B2">
          <w:rPr>
            <w:rStyle w:val="Hypertextovodkaz"/>
            <w:noProof/>
          </w:rPr>
          <w:t>2.11</w:t>
        </w:r>
        <w:r w:rsidR="000F3566">
          <w:rPr>
            <w:rFonts w:asciiTheme="minorHAnsi" w:eastAsiaTheme="minorEastAsia" w:hAnsiTheme="minorHAnsi" w:cstheme="minorBidi"/>
            <w:noProof/>
            <w:sz w:val="22"/>
            <w:szCs w:val="22"/>
            <w:lang w:eastAsia="cs-CZ"/>
          </w:rPr>
          <w:tab/>
        </w:r>
        <w:r w:rsidR="000F3566" w:rsidRPr="005E35B2">
          <w:rPr>
            <w:rStyle w:val="Hypertextovodkaz"/>
            <w:noProof/>
          </w:rPr>
          <w:t>Veřejná podpora</w:t>
        </w:r>
        <w:r w:rsidR="000F3566">
          <w:rPr>
            <w:noProof/>
            <w:webHidden/>
          </w:rPr>
          <w:tab/>
        </w:r>
        <w:r w:rsidR="000F3566">
          <w:rPr>
            <w:noProof/>
            <w:webHidden/>
          </w:rPr>
          <w:fldChar w:fldCharType="begin"/>
        </w:r>
        <w:r w:rsidR="000F3566">
          <w:rPr>
            <w:noProof/>
            <w:webHidden/>
          </w:rPr>
          <w:instrText xml:space="preserve"> PAGEREF _Toc444247662 \h </w:instrText>
        </w:r>
        <w:r w:rsidR="000F3566">
          <w:rPr>
            <w:noProof/>
            <w:webHidden/>
          </w:rPr>
        </w:r>
        <w:r w:rsidR="000F3566">
          <w:rPr>
            <w:noProof/>
            <w:webHidden/>
          </w:rPr>
          <w:fldChar w:fldCharType="separate"/>
        </w:r>
        <w:r w:rsidR="000F3566">
          <w:rPr>
            <w:noProof/>
            <w:webHidden/>
          </w:rPr>
          <w:t>31</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63" w:history="1">
        <w:r w:rsidR="000F3566" w:rsidRPr="005E35B2">
          <w:rPr>
            <w:rStyle w:val="Hypertextovodkaz"/>
            <w:noProof/>
          </w:rPr>
          <w:t>3.</w:t>
        </w:r>
        <w:r w:rsidR="000F3566">
          <w:rPr>
            <w:rFonts w:asciiTheme="minorHAnsi" w:eastAsiaTheme="minorEastAsia" w:hAnsiTheme="minorHAnsi" w:cstheme="minorBidi"/>
            <w:noProof/>
            <w:sz w:val="22"/>
            <w:szCs w:val="22"/>
            <w:lang w:eastAsia="cs-CZ"/>
          </w:rPr>
          <w:tab/>
        </w:r>
        <w:r w:rsidR="000F3566" w:rsidRPr="005E35B2">
          <w:rPr>
            <w:rStyle w:val="Hypertextovodkaz"/>
            <w:noProof/>
          </w:rPr>
          <w:t>Kontaktní místa pro poskytování informací</w:t>
        </w:r>
        <w:r w:rsidR="000F3566">
          <w:rPr>
            <w:noProof/>
            <w:webHidden/>
          </w:rPr>
          <w:tab/>
        </w:r>
        <w:r w:rsidR="000F3566">
          <w:rPr>
            <w:noProof/>
            <w:webHidden/>
          </w:rPr>
          <w:fldChar w:fldCharType="begin"/>
        </w:r>
        <w:r w:rsidR="000F3566">
          <w:rPr>
            <w:noProof/>
            <w:webHidden/>
          </w:rPr>
          <w:instrText xml:space="preserve"> PAGEREF _Toc444247663 \h </w:instrText>
        </w:r>
        <w:r w:rsidR="000F3566">
          <w:rPr>
            <w:noProof/>
            <w:webHidden/>
          </w:rPr>
        </w:r>
        <w:r w:rsidR="000F3566">
          <w:rPr>
            <w:noProof/>
            <w:webHidden/>
          </w:rPr>
          <w:fldChar w:fldCharType="separate"/>
        </w:r>
        <w:r w:rsidR="000F3566">
          <w:rPr>
            <w:noProof/>
            <w:webHidden/>
          </w:rPr>
          <w:t>32</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64" w:history="1">
        <w:r w:rsidR="000F3566" w:rsidRPr="005E35B2">
          <w:rPr>
            <w:rStyle w:val="Hypertextovodkaz"/>
            <w:noProof/>
          </w:rPr>
          <w:t>4.</w:t>
        </w:r>
        <w:r w:rsidR="000F3566">
          <w:rPr>
            <w:rFonts w:asciiTheme="minorHAnsi" w:eastAsiaTheme="minorEastAsia" w:hAnsiTheme="minorHAnsi" w:cstheme="minorBidi"/>
            <w:noProof/>
            <w:sz w:val="22"/>
            <w:szCs w:val="22"/>
            <w:lang w:eastAsia="cs-CZ"/>
          </w:rPr>
          <w:tab/>
        </w:r>
        <w:r w:rsidR="000F3566" w:rsidRPr="005E35B2">
          <w:rPr>
            <w:rStyle w:val="Hypertextovodkaz"/>
            <w:noProof/>
          </w:rPr>
          <w:t>Hodnocení a výběr projektů</w:t>
        </w:r>
        <w:r w:rsidR="000F3566">
          <w:rPr>
            <w:noProof/>
            <w:webHidden/>
          </w:rPr>
          <w:tab/>
        </w:r>
        <w:r w:rsidR="000F3566">
          <w:rPr>
            <w:noProof/>
            <w:webHidden/>
          </w:rPr>
          <w:fldChar w:fldCharType="begin"/>
        </w:r>
        <w:r w:rsidR="000F3566">
          <w:rPr>
            <w:noProof/>
            <w:webHidden/>
          </w:rPr>
          <w:instrText xml:space="preserve"> PAGEREF _Toc444247664 \h </w:instrText>
        </w:r>
        <w:r w:rsidR="000F3566">
          <w:rPr>
            <w:noProof/>
            <w:webHidden/>
          </w:rPr>
        </w:r>
        <w:r w:rsidR="000F3566">
          <w:rPr>
            <w:noProof/>
            <w:webHidden/>
          </w:rPr>
          <w:fldChar w:fldCharType="separate"/>
        </w:r>
        <w:r w:rsidR="000F3566">
          <w:rPr>
            <w:noProof/>
            <w:webHidden/>
          </w:rPr>
          <w:t>33</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67" w:history="1">
        <w:r w:rsidR="000F3566" w:rsidRPr="005E35B2">
          <w:rPr>
            <w:rStyle w:val="Hypertextovodkaz"/>
            <w:noProof/>
          </w:rPr>
          <w:t>4.1</w:t>
        </w:r>
        <w:r w:rsidR="000F3566">
          <w:rPr>
            <w:rFonts w:asciiTheme="minorHAnsi" w:eastAsiaTheme="minorEastAsia" w:hAnsiTheme="minorHAnsi" w:cstheme="minorBidi"/>
            <w:noProof/>
            <w:sz w:val="22"/>
            <w:szCs w:val="22"/>
            <w:lang w:eastAsia="cs-CZ"/>
          </w:rPr>
          <w:tab/>
        </w:r>
        <w:r w:rsidR="000F3566" w:rsidRPr="005E35B2">
          <w:rPr>
            <w:rStyle w:val="Hypertextovodkaz"/>
            <w:noProof/>
          </w:rPr>
          <w:t>Hodnocení žádostí o podporu</w:t>
        </w:r>
        <w:r w:rsidR="000F3566">
          <w:rPr>
            <w:noProof/>
            <w:webHidden/>
          </w:rPr>
          <w:tab/>
        </w:r>
        <w:r w:rsidR="000F3566">
          <w:rPr>
            <w:noProof/>
            <w:webHidden/>
          </w:rPr>
          <w:fldChar w:fldCharType="begin"/>
        </w:r>
        <w:r w:rsidR="000F3566">
          <w:rPr>
            <w:noProof/>
            <w:webHidden/>
          </w:rPr>
          <w:instrText xml:space="preserve"> PAGEREF _Toc444247667 \h </w:instrText>
        </w:r>
        <w:r w:rsidR="000F3566">
          <w:rPr>
            <w:noProof/>
            <w:webHidden/>
          </w:rPr>
        </w:r>
        <w:r w:rsidR="000F3566">
          <w:rPr>
            <w:noProof/>
            <w:webHidden/>
          </w:rPr>
          <w:fldChar w:fldCharType="separate"/>
        </w:r>
        <w:r w:rsidR="000F3566">
          <w:rPr>
            <w:noProof/>
            <w:webHidden/>
          </w:rPr>
          <w:t>33</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68" w:history="1">
        <w:r w:rsidR="000F3566" w:rsidRPr="005E35B2">
          <w:rPr>
            <w:rStyle w:val="Hypertextovodkaz"/>
            <w:noProof/>
          </w:rPr>
          <w:t>Kontrola přijatelnosti a formálních náležitostí projektu</w:t>
        </w:r>
        <w:r w:rsidR="000F3566">
          <w:rPr>
            <w:noProof/>
            <w:webHidden/>
          </w:rPr>
          <w:tab/>
        </w:r>
        <w:r w:rsidR="000F3566">
          <w:rPr>
            <w:noProof/>
            <w:webHidden/>
          </w:rPr>
          <w:fldChar w:fldCharType="begin"/>
        </w:r>
        <w:r w:rsidR="000F3566">
          <w:rPr>
            <w:noProof/>
            <w:webHidden/>
          </w:rPr>
          <w:instrText xml:space="preserve"> PAGEREF _Toc444247668 \h </w:instrText>
        </w:r>
        <w:r w:rsidR="000F3566">
          <w:rPr>
            <w:noProof/>
            <w:webHidden/>
          </w:rPr>
        </w:r>
        <w:r w:rsidR="000F3566">
          <w:rPr>
            <w:noProof/>
            <w:webHidden/>
          </w:rPr>
          <w:fldChar w:fldCharType="separate"/>
        </w:r>
        <w:r w:rsidR="000F3566">
          <w:rPr>
            <w:noProof/>
            <w:webHidden/>
          </w:rPr>
          <w:t>33</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69" w:history="1">
        <w:r w:rsidR="000F3566" w:rsidRPr="005E35B2">
          <w:rPr>
            <w:rStyle w:val="Hypertextovodkaz"/>
            <w:noProof/>
          </w:rPr>
          <w:t>Věcné hodnocení projektu</w:t>
        </w:r>
        <w:r w:rsidR="000F3566">
          <w:rPr>
            <w:noProof/>
            <w:webHidden/>
          </w:rPr>
          <w:tab/>
        </w:r>
        <w:r w:rsidR="000F3566">
          <w:rPr>
            <w:noProof/>
            <w:webHidden/>
          </w:rPr>
          <w:fldChar w:fldCharType="begin"/>
        </w:r>
        <w:r w:rsidR="000F3566">
          <w:rPr>
            <w:noProof/>
            <w:webHidden/>
          </w:rPr>
          <w:instrText xml:space="preserve"> PAGEREF _Toc444247669 \h </w:instrText>
        </w:r>
        <w:r w:rsidR="000F3566">
          <w:rPr>
            <w:noProof/>
            <w:webHidden/>
          </w:rPr>
        </w:r>
        <w:r w:rsidR="000F3566">
          <w:rPr>
            <w:noProof/>
            <w:webHidden/>
          </w:rPr>
          <w:fldChar w:fldCharType="separate"/>
        </w:r>
        <w:r w:rsidR="000F3566">
          <w:rPr>
            <w:noProof/>
            <w:webHidden/>
          </w:rPr>
          <w:t>41</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70" w:history="1">
        <w:r w:rsidR="000F3566" w:rsidRPr="005E35B2">
          <w:rPr>
            <w:rStyle w:val="Hypertextovodkaz"/>
            <w:noProof/>
          </w:rPr>
          <w:t>Ex-ante analýza rizik</w:t>
        </w:r>
        <w:r w:rsidR="000F3566">
          <w:rPr>
            <w:noProof/>
            <w:webHidden/>
          </w:rPr>
          <w:tab/>
        </w:r>
        <w:r w:rsidR="000F3566">
          <w:rPr>
            <w:noProof/>
            <w:webHidden/>
          </w:rPr>
          <w:fldChar w:fldCharType="begin"/>
        </w:r>
        <w:r w:rsidR="000F3566">
          <w:rPr>
            <w:noProof/>
            <w:webHidden/>
          </w:rPr>
          <w:instrText xml:space="preserve"> PAGEREF _Toc444247670 \h </w:instrText>
        </w:r>
        <w:r w:rsidR="000F3566">
          <w:rPr>
            <w:noProof/>
            <w:webHidden/>
          </w:rPr>
        </w:r>
        <w:r w:rsidR="000F3566">
          <w:rPr>
            <w:noProof/>
            <w:webHidden/>
          </w:rPr>
          <w:fldChar w:fldCharType="separate"/>
        </w:r>
        <w:r w:rsidR="000F3566">
          <w:rPr>
            <w:noProof/>
            <w:webHidden/>
          </w:rPr>
          <w:t>41</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71" w:history="1">
        <w:r w:rsidR="000F3566" w:rsidRPr="005E35B2">
          <w:rPr>
            <w:rStyle w:val="Hypertextovodkaz"/>
            <w:noProof/>
          </w:rPr>
          <w:t>Ex-ante kontrola</w:t>
        </w:r>
        <w:r w:rsidR="000F3566">
          <w:rPr>
            <w:noProof/>
            <w:webHidden/>
          </w:rPr>
          <w:tab/>
        </w:r>
        <w:r w:rsidR="000F3566">
          <w:rPr>
            <w:noProof/>
            <w:webHidden/>
          </w:rPr>
          <w:fldChar w:fldCharType="begin"/>
        </w:r>
        <w:r w:rsidR="000F3566">
          <w:rPr>
            <w:noProof/>
            <w:webHidden/>
          </w:rPr>
          <w:instrText xml:space="preserve"> PAGEREF _Toc444247671 \h </w:instrText>
        </w:r>
        <w:r w:rsidR="000F3566">
          <w:rPr>
            <w:noProof/>
            <w:webHidden/>
          </w:rPr>
        </w:r>
        <w:r w:rsidR="000F3566">
          <w:rPr>
            <w:noProof/>
            <w:webHidden/>
          </w:rPr>
          <w:fldChar w:fldCharType="separate"/>
        </w:r>
        <w:r w:rsidR="000F3566">
          <w:rPr>
            <w:noProof/>
            <w:webHidden/>
          </w:rPr>
          <w:t>41</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72" w:history="1">
        <w:r w:rsidR="000F3566" w:rsidRPr="005E35B2">
          <w:rPr>
            <w:rStyle w:val="Hypertextovodkaz"/>
            <w:noProof/>
          </w:rPr>
          <w:t>4.2</w:t>
        </w:r>
        <w:r w:rsidR="000F3566">
          <w:rPr>
            <w:rFonts w:asciiTheme="minorHAnsi" w:eastAsiaTheme="minorEastAsia" w:hAnsiTheme="minorHAnsi" w:cstheme="minorBidi"/>
            <w:noProof/>
            <w:sz w:val="22"/>
            <w:szCs w:val="22"/>
            <w:lang w:eastAsia="cs-CZ"/>
          </w:rPr>
          <w:tab/>
        </w:r>
        <w:r w:rsidR="000F3566" w:rsidRPr="005E35B2">
          <w:rPr>
            <w:rStyle w:val="Hypertextovodkaz"/>
            <w:noProof/>
          </w:rPr>
          <w:t>Výběr projektů</w:t>
        </w:r>
        <w:r w:rsidR="000F3566">
          <w:rPr>
            <w:noProof/>
            <w:webHidden/>
          </w:rPr>
          <w:tab/>
        </w:r>
        <w:r w:rsidR="000F3566">
          <w:rPr>
            <w:noProof/>
            <w:webHidden/>
          </w:rPr>
          <w:fldChar w:fldCharType="begin"/>
        </w:r>
        <w:r w:rsidR="000F3566">
          <w:rPr>
            <w:noProof/>
            <w:webHidden/>
          </w:rPr>
          <w:instrText xml:space="preserve"> PAGEREF _Toc444247672 \h </w:instrText>
        </w:r>
        <w:r w:rsidR="000F3566">
          <w:rPr>
            <w:noProof/>
            <w:webHidden/>
          </w:rPr>
        </w:r>
        <w:r w:rsidR="000F3566">
          <w:rPr>
            <w:noProof/>
            <w:webHidden/>
          </w:rPr>
          <w:fldChar w:fldCharType="separate"/>
        </w:r>
        <w:r w:rsidR="000F3566">
          <w:rPr>
            <w:noProof/>
            <w:webHidden/>
          </w:rPr>
          <w:t>41</w:t>
        </w:r>
        <w:r w:rsidR="000F3566">
          <w:rPr>
            <w:noProof/>
            <w:webHidden/>
          </w:rPr>
          <w:fldChar w:fldCharType="end"/>
        </w:r>
      </w:hyperlink>
    </w:p>
    <w:p w:rsidR="000F3566" w:rsidRDefault="00150503">
      <w:pPr>
        <w:pStyle w:val="Obsah3"/>
        <w:tabs>
          <w:tab w:val="right" w:leader="dot" w:pos="9062"/>
        </w:tabs>
        <w:rPr>
          <w:rFonts w:asciiTheme="minorHAnsi" w:eastAsiaTheme="minorEastAsia" w:hAnsiTheme="minorHAnsi" w:cstheme="minorBidi"/>
          <w:noProof/>
          <w:sz w:val="22"/>
          <w:szCs w:val="22"/>
          <w:lang w:eastAsia="cs-CZ"/>
        </w:rPr>
      </w:pPr>
      <w:hyperlink w:anchor="_Toc444247673" w:history="1">
        <w:r w:rsidR="000F3566" w:rsidRPr="005E35B2">
          <w:rPr>
            <w:rStyle w:val="Hypertextovodkaz"/>
            <w:noProof/>
          </w:rPr>
          <w:t>Výběr projektů a příprava a vydání Rozhodnutí/Stanovení výdajů</w:t>
        </w:r>
        <w:r w:rsidR="000F3566">
          <w:rPr>
            <w:noProof/>
            <w:webHidden/>
          </w:rPr>
          <w:tab/>
        </w:r>
        <w:r w:rsidR="000F3566">
          <w:rPr>
            <w:noProof/>
            <w:webHidden/>
          </w:rPr>
          <w:fldChar w:fldCharType="begin"/>
        </w:r>
        <w:r w:rsidR="000F3566">
          <w:rPr>
            <w:noProof/>
            <w:webHidden/>
          </w:rPr>
          <w:instrText xml:space="preserve"> PAGEREF _Toc444247673 \h </w:instrText>
        </w:r>
        <w:r w:rsidR="000F3566">
          <w:rPr>
            <w:noProof/>
            <w:webHidden/>
          </w:rPr>
        </w:r>
        <w:r w:rsidR="000F3566">
          <w:rPr>
            <w:noProof/>
            <w:webHidden/>
          </w:rPr>
          <w:fldChar w:fldCharType="separate"/>
        </w:r>
        <w:r w:rsidR="000F3566">
          <w:rPr>
            <w:noProof/>
            <w:webHidden/>
          </w:rPr>
          <w:t>41</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74" w:history="1">
        <w:r w:rsidR="000F3566" w:rsidRPr="005E35B2">
          <w:rPr>
            <w:rStyle w:val="Hypertextovodkaz"/>
            <w:noProof/>
          </w:rPr>
          <w:t>5.</w:t>
        </w:r>
        <w:r w:rsidR="000F3566">
          <w:rPr>
            <w:rFonts w:asciiTheme="minorHAnsi" w:eastAsiaTheme="minorEastAsia" w:hAnsiTheme="minorHAnsi" w:cstheme="minorBidi"/>
            <w:noProof/>
            <w:sz w:val="22"/>
            <w:szCs w:val="22"/>
            <w:lang w:eastAsia="cs-CZ"/>
          </w:rPr>
          <w:tab/>
        </w:r>
        <w:r w:rsidR="000F3566" w:rsidRPr="005E35B2">
          <w:rPr>
            <w:rStyle w:val="Hypertextovodkaz"/>
            <w:noProof/>
          </w:rPr>
          <w:t>Monitorování projektů</w:t>
        </w:r>
        <w:r w:rsidR="000F3566">
          <w:rPr>
            <w:noProof/>
            <w:webHidden/>
          </w:rPr>
          <w:tab/>
        </w:r>
        <w:r w:rsidR="000F3566">
          <w:rPr>
            <w:noProof/>
            <w:webHidden/>
          </w:rPr>
          <w:fldChar w:fldCharType="begin"/>
        </w:r>
        <w:r w:rsidR="000F3566">
          <w:rPr>
            <w:noProof/>
            <w:webHidden/>
          </w:rPr>
          <w:instrText xml:space="preserve"> PAGEREF _Toc444247674 \h </w:instrText>
        </w:r>
        <w:r w:rsidR="000F3566">
          <w:rPr>
            <w:noProof/>
            <w:webHidden/>
          </w:rPr>
        </w:r>
        <w:r w:rsidR="000F3566">
          <w:rPr>
            <w:noProof/>
            <w:webHidden/>
          </w:rPr>
          <w:fldChar w:fldCharType="separate"/>
        </w:r>
        <w:r w:rsidR="000F3566">
          <w:rPr>
            <w:noProof/>
            <w:webHidden/>
          </w:rPr>
          <w:t>42</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75" w:history="1">
        <w:r w:rsidR="000F3566" w:rsidRPr="005E35B2">
          <w:rPr>
            <w:rStyle w:val="Hypertextovodkaz"/>
            <w:noProof/>
          </w:rPr>
          <w:t>6.</w:t>
        </w:r>
        <w:r w:rsidR="000F3566">
          <w:rPr>
            <w:rFonts w:asciiTheme="minorHAnsi" w:eastAsiaTheme="minorEastAsia" w:hAnsiTheme="minorHAnsi" w:cstheme="minorBidi"/>
            <w:noProof/>
            <w:sz w:val="22"/>
            <w:szCs w:val="22"/>
            <w:lang w:eastAsia="cs-CZ"/>
          </w:rPr>
          <w:tab/>
        </w:r>
        <w:r w:rsidR="000F3566" w:rsidRPr="005E35B2">
          <w:rPr>
            <w:rStyle w:val="Hypertextovodkaz"/>
            <w:noProof/>
          </w:rPr>
          <w:t>Financování</w:t>
        </w:r>
        <w:r w:rsidR="000F3566">
          <w:rPr>
            <w:noProof/>
            <w:webHidden/>
          </w:rPr>
          <w:tab/>
        </w:r>
        <w:r w:rsidR="000F3566">
          <w:rPr>
            <w:noProof/>
            <w:webHidden/>
          </w:rPr>
          <w:fldChar w:fldCharType="begin"/>
        </w:r>
        <w:r w:rsidR="000F3566">
          <w:rPr>
            <w:noProof/>
            <w:webHidden/>
          </w:rPr>
          <w:instrText xml:space="preserve"> PAGEREF _Toc444247675 \h </w:instrText>
        </w:r>
        <w:r w:rsidR="000F3566">
          <w:rPr>
            <w:noProof/>
            <w:webHidden/>
          </w:rPr>
        </w:r>
        <w:r w:rsidR="000F3566">
          <w:rPr>
            <w:noProof/>
            <w:webHidden/>
          </w:rPr>
          <w:fldChar w:fldCharType="separate"/>
        </w:r>
        <w:r w:rsidR="000F3566">
          <w:rPr>
            <w:noProof/>
            <w:webHidden/>
          </w:rPr>
          <w:t>43</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82" w:history="1">
        <w:r w:rsidR="000F3566" w:rsidRPr="005E35B2">
          <w:rPr>
            <w:rStyle w:val="Hypertextovodkaz"/>
            <w:noProof/>
          </w:rPr>
          <w:t>6.1.</w:t>
        </w:r>
        <w:r w:rsidR="000F3566">
          <w:rPr>
            <w:rFonts w:asciiTheme="minorHAnsi" w:eastAsiaTheme="minorEastAsia" w:hAnsiTheme="minorHAnsi" w:cstheme="minorBidi"/>
            <w:noProof/>
            <w:sz w:val="22"/>
            <w:szCs w:val="22"/>
            <w:lang w:eastAsia="cs-CZ"/>
          </w:rPr>
          <w:tab/>
        </w:r>
        <w:r w:rsidR="000F3566" w:rsidRPr="005E35B2">
          <w:rPr>
            <w:rStyle w:val="Hypertextovodkaz"/>
            <w:noProof/>
          </w:rPr>
          <w:t>Zjednodušená žádost o platbu</w:t>
        </w:r>
        <w:r w:rsidR="000F3566">
          <w:rPr>
            <w:noProof/>
            <w:webHidden/>
          </w:rPr>
          <w:tab/>
        </w:r>
        <w:r w:rsidR="000F3566">
          <w:rPr>
            <w:noProof/>
            <w:webHidden/>
          </w:rPr>
          <w:fldChar w:fldCharType="begin"/>
        </w:r>
        <w:r w:rsidR="000F3566">
          <w:rPr>
            <w:noProof/>
            <w:webHidden/>
          </w:rPr>
          <w:instrText xml:space="preserve"> PAGEREF _Toc444247682 \h </w:instrText>
        </w:r>
        <w:r w:rsidR="000F3566">
          <w:rPr>
            <w:noProof/>
            <w:webHidden/>
          </w:rPr>
        </w:r>
        <w:r w:rsidR="000F3566">
          <w:rPr>
            <w:noProof/>
            <w:webHidden/>
          </w:rPr>
          <w:fldChar w:fldCharType="separate"/>
        </w:r>
        <w:r w:rsidR="000F3566">
          <w:rPr>
            <w:noProof/>
            <w:webHidden/>
          </w:rPr>
          <w:t>43</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83" w:history="1">
        <w:r w:rsidR="000F3566" w:rsidRPr="005E35B2">
          <w:rPr>
            <w:rStyle w:val="Hypertextovodkaz"/>
            <w:noProof/>
          </w:rPr>
          <w:t>6.2.</w:t>
        </w:r>
        <w:r w:rsidR="000F3566">
          <w:rPr>
            <w:rFonts w:asciiTheme="minorHAnsi" w:eastAsiaTheme="minorEastAsia" w:hAnsiTheme="minorHAnsi" w:cstheme="minorBidi"/>
            <w:noProof/>
            <w:sz w:val="22"/>
            <w:szCs w:val="22"/>
            <w:lang w:eastAsia="cs-CZ"/>
          </w:rPr>
          <w:tab/>
        </w:r>
        <w:r w:rsidR="000F3566" w:rsidRPr="005E35B2">
          <w:rPr>
            <w:rStyle w:val="Hypertextovodkaz"/>
            <w:noProof/>
          </w:rPr>
          <w:t>Účelové znaky</w:t>
        </w:r>
        <w:r w:rsidR="000F3566">
          <w:rPr>
            <w:noProof/>
            <w:webHidden/>
          </w:rPr>
          <w:tab/>
        </w:r>
        <w:r w:rsidR="000F3566">
          <w:rPr>
            <w:noProof/>
            <w:webHidden/>
          </w:rPr>
          <w:fldChar w:fldCharType="begin"/>
        </w:r>
        <w:r w:rsidR="000F3566">
          <w:rPr>
            <w:noProof/>
            <w:webHidden/>
          </w:rPr>
          <w:instrText xml:space="preserve"> PAGEREF _Toc444247683 \h </w:instrText>
        </w:r>
        <w:r w:rsidR="000F3566">
          <w:rPr>
            <w:noProof/>
            <w:webHidden/>
          </w:rPr>
        </w:r>
        <w:r w:rsidR="000F3566">
          <w:rPr>
            <w:noProof/>
            <w:webHidden/>
          </w:rPr>
          <w:fldChar w:fldCharType="separate"/>
        </w:r>
        <w:r w:rsidR="000F3566">
          <w:rPr>
            <w:noProof/>
            <w:webHidden/>
          </w:rPr>
          <w:t>43</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84" w:history="1">
        <w:r w:rsidR="000F3566" w:rsidRPr="005E35B2">
          <w:rPr>
            <w:rStyle w:val="Hypertextovodkaz"/>
            <w:noProof/>
          </w:rPr>
          <w:t>7.</w:t>
        </w:r>
        <w:r w:rsidR="000F3566">
          <w:rPr>
            <w:rFonts w:asciiTheme="minorHAnsi" w:eastAsiaTheme="minorEastAsia" w:hAnsiTheme="minorHAnsi" w:cstheme="minorBidi"/>
            <w:noProof/>
            <w:sz w:val="22"/>
            <w:szCs w:val="22"/>
            <w:lang w:eastAsia="cs-CZ"/>
          </w:rPr>
          <w:tab/>
        </w:r>
        <w:r w:rsidR="000F3566" w:rsidRPr="005E35B2">
          <w:rPr>
            <w:rStyle w:val="Hypertextovodkaz"/>
            <w:noProof/>
          </w:rPr>
          <w:t>Udržitelnost</w:t>
        </w:r>
        <w:r w:rsidR="000F3566">
          <w:rPr>
            <w:noProof/>
            <w:webHidden/>
          </w:rPr>
          <w:tab/>
        </w:r>
        <w:r w:rsidR="000F3566">
          <w:rPr>
            <w:noProof/>
            <w:webHidden/>
          </w:rPr>
          <w:fldChar w:fldCharType="begin"/>
        </w:r>
        <w:r w:rsidR="000F3566">
          <w:rPr>
            <w:noProof/>
            <w:webHidden/>
          </w:rPr>
          <w:instrText xml:space="preserve"> PAGEREF _Toc444247684 \h </w:instrText>
        </w:r>
        <w:r w:rsidR="000F3566">
          <w:rPr>
            <w:noProof/>
            <w:webHidden/>
          </w:rPr>
        </w:r>
        <w:r w:rsidR="000F3566">
          <w:rPr>
            <w:noProof/>
            <w:webHidden/>
          </w:rPr>
          <w:fldChar w:fldCharType="separate"/>
        </w:r>
        <w:r w:rsidR="000F3566">
          <w:rPr>
            <w:noProof/>
            <w:webHidden/>
          </w:rPr>
          <w:t>44</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85" w:history="1">
        <w:r w:rsidR="000F3566" w:rsidRPr="005E35B2">
          <w:rPr>
            <w:rStyle w:val="Hypertextovodkaz"/>
            <w:noProof/>
          </w:rPr>
          <w:t>8.</w:t>
        </w:r>
        <w:r w:rsidR="000F3566">
          <w:rPr>
            <w:rFonts w:asciiTheme="minorHAnsi" w:eastAsiaTheme="minorEastAsia" w:hAnsiTheme="minorHAnsi" w:cstheme="minorBidi"/>
            <w:noProof/>
            <w:sz w:val="22"/>
            <w:szCs w:val="22"/>
            <w:lang w:eastAsia="cs-CZ"/>
          </w:rPr>
          <w:tab/>
        </w:r>
        <w:r w:rsidR="000F3566" w:rsidRPr="005E35B2">
          <w:rPr>
            <w:rStyle w:val="Hypertextovodkaz"/>
            <w:noProof/>
          </w:rPr>
          <w:t>Seznam zkratek</w:t>
        </w:r>
        <w:r w:rsidR="000F3566">
          <w:rPr>
            <w:noProof/>
            <w:webHidden/>
          </w:rPr>
          <w:tab/>
        </w:r>
        <w:r w:rsidR="000F3566">
          <w:rPr>
            <w:noProof/>
            <w:webHidden/>
          </w:rPr>
          <w:fldChar w:fldCharType="begin"/>
        </w:r>
        <w:r w:rsidR="000F3566">
          <w:rPr>
            <w:noProof/>
            <w:webHidden/>
          </w:rPr>
          <w:instrText xml:space="preserve"> PAGEREF _Toc444247685 \h </w:instrText>
        </w:r>
        <w:r w:rsidR="000F3566">
          <w:rPr>
            <w:noProof/>
            <w:webHidden/>
          </w:rPr>
        </w:r>
        <w:r w:rsidR="000F3566">
          <w:rPr>
            <w:noProof/>
            <w:webHidden/>
          </w:rPr>
          <w:fldChar w:fldCharType="separate"/>
        </w:r>
        <w:r w:rsidR="000F3566">
          <w:rPr>
            <w:noProof/>
            <w:webHidden/>
          </w:rPr>
          <w:t>45</w:t>
        </w:r>
        <w:r w:rsidR="000F3566">
          <w:rPr>
            <w:noProof/>
            <w:webHidden/>
          </w:rPr>
          <w:fldChar w:fldCharType="end"/>
        </w:r>
      </w:hyperlink>
    </w:p>
    <w:p w:rsidR="000F3566" w:rsidRDefault="00150503">
      <w:pPr>
        <w:pStyle w:val="Obsah1"/>
        <w:tabs>
          <w:tab w:val="left" w:pos="480"/>
          <w:tab w:val="right" w:leader="dot" w:pos="9062"/>
        </w:tabs>
        <w:rPr>
          <w:rFonts w:asciiTheme="minorHAnsi" w:eastAsiaTheme="minorEastAsia" w:hAnsiTheme="minorHAnsi" w:cstheme="minorBidi"/>
          <w:noProof/>
          <w:sz w:val="22"/>
          <w:szCs w:val="22"/>
          <w:lang w:eastAsia="cs-CZ"/>
        </w:rPr>
      </w:pPr>
      <w:hyperlink w:anchor="_Toc444247686" w:history="1">
        <w:r w:rsidR="000F3566" w:rsidRPr="005E35B2">
          <w:rPr>
            <w:rStyle w:val="Hypertextovodkaz"/>
            <w:noProof/>
          </w:rPr>
          <w:t>9.</w:t>
        </w:r>
        <w:r w:rsidR="000F3566">
          <w:rPr>
            <w:rFonts w:asciiTheme="minorHAnsi" w:eastAsiaTheme="minorEastAsia" w:hAnsiTheme="minorHAnsi" w:cstheme="minorBidi"/>
            <w:noProof/>
            <w:sz w:val="22"/>
            <w:szCs w:val="22"/>
            <w:lang w:eastAsia="cs-CZ"/>
          </w:rPr>
          <w:tab/>
        </w:r>
        <w:r w:rsidR="000F3566" w:rsidRPr="005E35B2">
          <w:rPr>
            <w:rStyle w:val="Hypertextovodkaz"/>
            <w:noProof/>
          </w:rPr>
          <w:t>Právní a metodický rámec</w:t>
        </w:r>
        <w:r w:rsidR="000F3566">
          <w:rPr>
            <w:noProof/>
            <w:webHidden/>
          </w:rPr>
          <w:tab/>
        </w:r>
        <w:r w:rsidR="000F3566">
          <w:rPr>
            <w:noProof/>
            <w:webHidden/>
          </w:rPr>
          <w:fldChar w:fldCharType="begin"/>
        </w:r>
        <w:r w:rsidR="000F3566">
          <w:rPr>
            <w:noProof/>
            <w:webHidden/>
          </w:rPr>
          <w:instrText xml:space="preserve"> PAGEREF _Toc444247686 \h </w:instrText>
        </w:r>
        <w:r w:rsidR="000F3566">
          <w:rPr>
            <w:noProof/>
            <w:webHidden/>
          </w:rPr>
        </w:r>
        <w:r w:rsidR="000F3566">
          <w:rPr>
            <w:noProof/>
            <w:webHidden/>
          </w:rPr>
          <w:fldChar w:fldCharType="separate"/>
        </w:r>
        <w:r w:rsidR="000F3566">
          <w:rPr>
            <w:noProof/>
            <w:webHidden/>
          </w:rPr>
          <w:t>46</w:t>
        </w:r>
        <w:r w:rsidR="000F3566">
          <w:rPr>
            <w:noProof/>
            <w:webHidden/>
          </w:rPr>
          <w:fldChar w:fldCharType="end"/>
        </w:r>
      </w:hyperlink>
    </w:p>
    <w:p w:rsidR="000F3566" w:rsidRDefault="00150503">
      <w:pPr>
        <w:pStyle w:val="Obsah1"/>
        <w:tabs>
          <w:tab w:val="left" w:pos="660"/>
          <w:tab w:val="right" w:leader="dot" w:pos="9062"/>
        </w:tabs>
        <w:rPr>
          <w:rFonts w:asciiTheme="minorHAnsi" w:eastAsiaTheme="minorEastAsia" w:hAnsiTheme="minorHAnsi" w:cstheme="minorBidi"/>
          <w:noProof/>
          <w:sz w:val="22"/>
          <w:szCs w:val="22"/>
          <w:lang w:eastAsia="cs-CZ"/>
        </w:rPr>
      </w:pPr>
      <w:hyperlink w:anchor="_Toc444247687" w:history="1">
        <w:r w:rsidR="000F3566" w:rsidRPr="005E35B2">
          <w:rPr>
            <w:rStyle w:val="Hypertextovodkaz"/>
            <w:noProof/>
          </w:rPr>
          <w:t>10.</w:t>
        </w:r>
        <w:r w:rsidR="000F3566">
          <w:rPr>
            <w:rFonts w:asciiTheme="minorHAnsi" w:eastAsiaTheme="minorEastAsia" w:hAnsiTheme="minorHAnsi" w:cstheme="minorBidi"/>
            <w:noProof/>
            <w:sz w:val="22"/>
            <w:szCs w:val="22"/>
            <w:lang w:eastAsia="cs-CZ"/>
          </w:rPr>
          <w:tab/>
        </w:r>
        <w:r w:rsidR="000F3566" w:rsidRPr="005E35B2">
          <w:rPr>
            <w:rStyle w:val="Hypertextovodkaz"/>
            <w:noProof/>
          </w:rPr>
          <w:t>Seznam příloh Pravidel</w:t>
        </w:r>
        <w:r w:rsidR="000F3566">
          <w:rPr>
            <w:noProof/>
            <w:webHidden/>
          </w:rPr>
          <w:tab/>
        </w:r>
        <w:r w:rsidR="000F3566">
          <w:rPr>
            <w:noProof/>
            <w:webHidden/>
          </w:rPr>
          <w:fldChar w:fldCharType="begin"/>
        </w:r>
        <w:r w:rsidR="000F3566">
          <w:rPr>
            <w:noProof/>
            <w:webHidden/>
          </w:rPr>
          <w:instrText xml:space="preserve"> PAGEREF _Toc444247687 \h </w:instrText>
        </w:r>
        <w:r w:rsidR="000F3566">
          <w:rPr>
            <w:noProof/>
            <w:webHidden/>
          </w:rPr>
        </w:r>
        <w:r w:rsidR="000F3566">
          <w:rPr>
            <w:noProof/>
            <w:webHidden/>
          </w:rPr>
          <w:fldChar w:fldCharType="separate"/>
        </w:r>
        <w:r w:rsidR="000F3566">
          <w:rPr>
            <w:noProof/>
            <w:webHidden/>
          </w:rPr>
          <w:t>47</w:t>
        </w:r>
        <w:r w:rsidR="000F3566">
          <w:rPr>
            <w:noProof/>
            <w:webHidden/>
          </w:rPr>
          <w:fldChar w:fldCharType="end"/>
        </w:r>
      </w:hyperlink>
    </w:p>
    <w:p w:rsidR="00D02F46" w:rsidRDefault="00F64B9F" w:rsidP="00F9255E">
      <w:pPr>
        <w:tabs>
          <w:tab w:val="left" w:pos="2085"/>
        </w:tabs>
        <w:jc w:val="both"/>
        <w:rPr>
          <w:rFonts w:asciiTheme="majorHAnsi" w:hAnsiTheme="majorHAnsi" w:cs="Arial"/>
        </w:rPr>
      </w:pPr>
      <w:r>
        <w:rPr>
          <w:rFonts w:asciiTheme="majorHAnsi" w:hAnsiTheme="majorHAnsi" w:cs="Arial"/>
        </w:rPr>
        <w:fldChar w:fldCharType="end"/>
      </w:r>
    </w:p>
    <w:p w:rsidR="000616B8" w:rsidRDefault="000616B8" w:rsidP="00F9255E">
      <w:pPr>
        <w:tabs>
          <w:tab w:val="left" w:pos="2085"/>
        </w:tabs>
        <w:jc w:val="both"/>
        <w:rPr>
          <w:rFonts w:asciiTheme="majorHAnsi" w:hAnsiTheme="majorHAnsi" w:cs="Arial"/>
        </w:rPr>
      </w:pPr>
    </w:p>
    <w:p w:rsidR="000616B8" w:rsidRDefault="000616B8" w:rsidP="00F9255E">
      <w:pPr>
        <w:tabs>
          <w:tab w:val="left" w:pos="2085"/>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5D35E5" w:rsidRPr="00C47232" w:rsidRDefault="005D35E5" w:rsidP="00C47232">
      <w:pPr>
        <w:rPr>
          <w:b/>
          <w:sz w:val="36"/>
        </w:rPr>
      </w:pPr>
      <w:r w:rsidRPr="00C47232">
        <w:rPr>
          <w:b/>
          <w:sz w:val="36"/>
        </w:rPr>
        <w:lastRenderedPageBreak/>
        <w:t>Přehled změn</w:t>
      </w:r>
    </w:p>
    <w:p w:rsidR="00F64B9F" w:rsidRPr="005D35E5" w:rsidRDefault="00F64B9F" w:rsidP="00F64B9F"/>
    <w:tbl>
      <w:tblPr>
        <w:tblStyle w:val="Mkatabulky"/>
        <w:tblW w:w="9180" w:type="dxa"/>
        <w:tblLayout w:type="fixed"/>
        <w:tblLook w:val="04A0" w:firstRow="1" w:lastRow="0" w:firstColumn="1" w:lastColumn="0" w:noHBand="0" w:noVBand="1"/>
      </w:tblPr>
      <w:tblGrid>
        <w:gridCol w:w="896"/>
        <w:gridCol w:w="1197"/>
        <w:gridCol w:w="2693"/>
        <w:gridCol w:w="1985"/>
        <w:gridCol w:w="1275"/>
        <w:gridCol w:w="1134"/>
      </w:tblGrid>
      <w:tr w:rsidR="000616B8" w:rsidRPr="005D35E5" w:rsidTr="00A14FAD">
        <w:trPr>
          <w:trHeight w:val="644"/>
        </w:trPr>
        <w:tc>
          <w:tcPr>
            <w:tcW w:w="896"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Revize č.</w:t>
            </w:r>
          </w:p>
        </w:tc>
        <w:tc>
          <w:tcPr>
            <w:tcW w:w="1197"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Kapitola</w:t>
            </w:r>
          </w:p>
        </w:tc>
        <w:tc>
          <w:tcPr>
            <w:tcW w:w="2693"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Předmět revize</w:t>
            </w:r>
          </w:p>
        </w:tc>
        <w:tc>
          <w:tcPr>
            <w:tcW w:w="198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Zdůvodnění revize</w:t>
            </w:r>
          </w:p>
        </w:tc>
        <w:tc>
          <w:tcPr>
            <w:tcW w:w="1275"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Za správnost</w:t>
            </w:r>
          </w:p>
        </w:tc>
        <w:tc>
          <w:tcPr>
            <w:tcW w:w="1134" w:type="dxa"/>
          </w:tcPr>
          <w:p w:rsidR="005D35E5" w:rsidRPr="005D35E5" w:rsidRDefault="005D35E5" w:rsidP="00F9255E">
            <w:pPr>
              <w:tabs>
                <w:tab w:val="left" w:pos="2085"/>
              </w:tabs>
              <w:jc w:val="both"/>
              <w:rPr>
                <w:rFonts w:asciiTheme="majorHAnsi" w:hAnsiTheme="majorHAnsi" w:cs="Arial"/>
                <w:lang w:val="cs-CZ"/>
              </w:rPr>
            </w:pPr>
            <w:r w:rsidRPr="005D35E5">
              <w:rPr>
                <w:rFonts w:asciiTheme="majorHAnsi" w:hAnsiTheme="majorHAnsi" w:cs="Arial"/>
                <w:lang w:val="cs-CZ"/>
              </w:rPr>
              <w:t>Datum platnosti revize</w:t>
            </w:r>
          </w:p>
        </w:tc>
      </w:tr>
      <w:tr w:rsidR="000616B8" w:rsidRPr="005D35E5" w:rsidTr="00A14FAD">
        <w:tc>
          <w:tcPr>
            <w:tcW w:w="896" w:type="dxa"/>
          </w:tcPr>
          <w:p w:rsidR="005D35E5" w:rsidRPr="005D35E5" w:rsidRDefault="00D27182" w:rsidP="00F9255E">
            <w:pPr>
              <w:tabs>
                <w:tab w:val="left" w:pos="2085"/>
              </w:tabs>
              <w:jc w:val="both"/>
              <w:rPr>
                <w:rFonts w:asciiTheme="majorHAnsi" w:hAnsiTheme="majorHAnsi" w:cs="Arial"/>
                <w:lang w:val="cs-CZ"/>
              </w:rPr>
            </w:pPr>
            <w:r>
              <w:rPr>
                <w:rFonts w:asciiTheme="majorHAnsi" w:hAnsiTheme="majorHAnsi" w:cs="Arial"/>
                <w:lang w:val="cs-CZ"/>
              </w:rPr>
              <w:t>1</w:t>
            </w:r>
          </w:p>
        </w:tc>
        <w:tc>
          <w:tcPr>
            <w:tcW w:w="1197" w:type="dxa"/>
          </w:tcPr>
          <w:p w:rsidR="005D35E5" w:rsidRPr="005D35E5" w:rsidRDefault="00CE6A8E" w:rsidP="00F9255E">
            <w:pPr>
              <w:tabs>
                <w:tab w:val="left" w:pos="2085"/>
              </w:tabs>
              <w:jc w:val="both"/>
              <w:rPr>
                <w:rFonts w:asciiTheme="majorHAnsi" w:hAnsiTheme="majorHAnsi" w:cs="Arial"/>
                <w:lang w:val="cs-CZ"/>
              </w:rPr>
            </w:pPr>
            <w:r>
              <w:rPr>
                <w:rFonts w:asciiTheme="majorHAnsi" w:hAnsiTheme="majorHAnsi" w:cs="Arial"/>
                <w:lang w:val="cs-CZ"/>
              </w:rPr>
              <w:t>2.1</w:t>
            </w:r>
          </w:p>
        </w:tc>
        <w:tc>
          <w:tcPr>
            <w:tcW w:w="2693" w:type="dxa"/>
          </w:tcPr>
          <w:p w:rsidR="005D35E5" w:rsidRPr="005D35E5" w:rsidRDefault="00F6581D" w:rsidP="00431946">
            <w:pPr>
              <w:tabs>
                <w:tab w:val="left" w:pos="2085"/>
              </w:tabs>
              <w:rPr>
                <w:rFonts w:asciiTheme="majorHAnsi" w:hAnsiTheme="majorHAnsi" w:cs="Arial"/>
                <w:lang w:val="cs-CZ"/>
              </w:rPr>
            </w:pPr>
            <w:r>
              <w:rPr>
                <w:rFonts w:asciiTheme="majorHAnsi" w:hAnsiTheme="majorHAnsi" w:cs="Arial"/>
                <w:lang w:val="cs-CZ"/>
              </w:rPr>
              <w:t>O</w:t>
            </w:r>
            <w:r w:rsidR="00CE6A8E">
              <w:rPr>
                <w:rFonts w:asciiTheme="majorHAnsi" w:hAnsiTheme="majorHAnsi" w:cs="Arial"/>
                <w:lang w:val="cs-CZ"/>
              </w:rPr>
              <w:t>právnění žadatelé: vlastníci bytových domů, kromě fyzických osob nepodnikajících</w:t>
            </w:r>
          </w:p>
        </w:tc>
        <w:tc>
          <w:tcPr>
            <w:tcW w:w="1985" w:type="dxa"/>
          </w:tcPr>
          <w:p w:rsidR="005D35E5" w:rsidRPr="005D35E5" w:rsidRDefault="00EF3A90" w:rsidP="00431946">
            <w:pPr>
              <w:tabs>
                <w:tab w:val="left" w:pos="2085"/>
              </w:tabs>
              <w:rPr>
                <w:rFonts w:asciiTheme="majorHAnsi" w:hAnsiTheme="majorHAnsi" w:cs="Arial"/>
                <w:lang w:val="cs-CZ"/>
              </w:rPr>
            </w:pPr>
            <w:r>
              <w:rPr>
                <w:rFonts w:asciiTheme="majorHAnsi" w:hAnsiTheme="majorHAnsi" w:cs="Arial"/>
                <w:lang w:val="cs-CZ"/>
              </w:rPr>
              <w:t>U</w:t>
            </w:r>
            <w:r w:rsidR="00CE6A8E">
              <w:rPr>
                <w:rFonts w:asciiTheme="majorHAnsi" w:hAnsiTheme="majorHAnsi" w:cs="Arial"/>
                <w:lang w:val="cs-CZ"/>
              </w:rPr>
              <w:t>přesnění textu v souladu se zněním výzvy</w:t>
            </w:r>
          </w:p>
        </w:tc>
        <w:tc>
          <w:tcPr>
            <w:tcW w:w="1275" w:type="dxa"/>
          </w:tcPr>
          <w:p w:rsidR="005D35E5" w:rsidRPr="005D35E5" w:rsidRDefault="00B73C8D" w:rsidP="00F9255E">
            <w:pPr>
              <w:tabs>
                <w:tab w:val="left" w:pos="2085"/>
              </w:tabs>
              <w:jc w:val="both"/>
              <w:rPr>
                <w:rFonts w:asciiTheme="majorHAnsi" w:hAnsiTheme="majorHAnsi" w:cs="Arial"/>
                <w:lang w:val="cs-CZ"/>
              </w:rPr>
            </w:pPr>
            <w:r>
              <w:rPr>
                <w:rFonts w:asciiTheme="majorHAnsi" w:hAnsiTheme="majorHAnsi" w:cs="Arial"/>
                <w:lang w:val="cs-CZ"/>
              </w:rPr>
              <w:t>M. Krob</w:t>
            </w:r>
          </w:p>
        </w:tc>
        <w:tc>
          <w:tcPr>
            <w:tcW w:w="1134" w:type="dxa"/>
          </w:tcPr>
          <w:p w:rsidR="005D35E5" w:rsidRPr="005D35E5" w:rsidRDefault="00410C75" w:rsidP="00410C75">
            <w:pPr>
              <w:tabs>
                <w:tab w:val="left" w:pos="2085"/>
              </w:tabs>
              <w:rPr>
                <w:rFonts w:asciiTheme="majorHAnsi" w:hAnsiTheme="majorHAnsi" w:cs="Arial"/>
                <w:lang w:val="cs-CZ"/>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CE6A8E" w:rsidP="00F9255E">
            <w:pPr>
              <w:tabs>
                <w:tab w:val="left" w:pos="2085"/>
              </w:tabs>
              <w:jc w:val="both"/>
              <w:rPr>
                <w:rFonts w:asciiTheme="majorHAnsi" w:hAnsiTheme="majorHAnsi" w:cs="Arial"/>
              </w:rPr>
            </w:pPr>
            <w:r>
              <w:rPr>
                <w:rFonts w:asciiTheme="majorHAnsi" w:hAnsiTheme="majorHAnsi" w:cs="Arial"/>
              </w:rPr>
              <w:t>2.1</w:t>
            </w:r>
          </w:p>
        </w:tc>
        <w:tc>
          <w:tcPr>
            <w:tcW w:w="2693"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D</w:t>
            </w:r>
            <w:r w:rsidR="00CE6A8E">
              <w:rPr>
                <w:rFonts w:asciiTheme="majorHAnsi" w:hAnsiTheme="majorHAnsi" w:cs="Arial"/>
              </w:rPr>
              <w:t>efinice bytového domu</w:t>
            </w:r>
          </w:p>
        </w:tc>
        <w:tc>
          <w:tcPr>
            <w:tcW w:w="1985" w:type="dxa"/>
          </w:tcPr>
          <w:p w:rsidR="00D27182" w:rsidRPr="005D35E5" w:rsidRDefault="00EF3A90" w:rsidP="00431946">
            <w:pPr>
              <w:tabs>
                <w:tab w:val="left" w:pos="2085"/>
              </w:tabs>
              <w:rPr>
                <w:rFonts w:asciiTheme="majorHAnsi" w:hAnsiTheme="majorHAnsi" w:cs="Arial"/>
              </w:rPr>
            </w:pPr>
            <w:r>
              <w:rPr>
                <w:rFonts w:asciiTheme="majorHAnsi" w:hAnsiTheme="majorHAnsi" w:cs="Arial"/>
              </w:rPr>
              <w:t>U</w:t>
            </w:r>
            <w:r w:rsidR="00CE6A8E">
              <w:rPr>
                <w:rFonts w:asciiTheme="majorHAnsi" w:hAnsiTheme="majorHAnsi" w:cs="Arial"/>
              </w:rPr>
              <w:t>přesnění textu v souladu se zněním výzvy</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CE6A8E" w:rsidP="00F9255E">
            <w:pPr>
              <w:tabs>
                <w:tab w:val="left" w:pos="2085"/>
              </w:tabs>
              <w:jc w:val="both"/>
              <w:rPr>
                <w:rFonts w:asciiTheme="majorHAnsi" w:hAnsiTheme="majorHAnsi" w:cs="Arial"/>
              </w:rPr>
            </w:pPr>
            <w:r>
              <w:rPr>
                <w:rFonts w:asciiTheme="majorHAnsi" w:hAnsiTheme="majorHAnsi" w:cs="Arial"/>
              </w:rPr>
              <w:t>2.2</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U</w:t>
            </w:r>
            <w:r w:rsidR="00CE6A8E">
              <w:rPr>
                <w:rFonts w:asciiTheme="majorHAnsi" w:hAnsiTheme="majorHAnsi" w:cs="Arial"/>
              </w:rPr>
              <w:t>přesnění povinnosti provedení vyregulování otopné soustavy</w:t>
            </w:r>
            <w:r w:rsidR="005D19D0">
              <w:rPr>
                <w:rFonts w:asciiTheme="majorHAnsi" w:hAnsiTheme="majorHAnsi" w:cs="Arial"/>
              </w:rPr>
              <w:t xml:space="preserve"> </w:t>
            </w:r>
          </w:p>
        </w:tc>
        <w:tc>
          <w:tcPr>
            <w:tcW w:w="1985" w:type="dxa"/>
          </w:tcPr>
          <w:p w:rsidR="00D27182" w:rsidRPr="005D35E5" w:rsidRDefault="00EF3A90" w:rsidP="00431946">
            <w:pPr>
              <w:tabs>
                <w:tab w:val="left" w:pos="2085"/>
              </w:tabs>
              <w:rPr>
                <w:rFonts w:asciiTheme="majorHAnsi" w:hAnsiTheme="majorHAnsi" w:cs="Arial"/>
              </w:rPr>
            </w:pPr>
            <w:r>
              <w:rPr>
                <w:rFonts w:asciiTheme="majorHAnsi" w:hAnsiTheme="majorHAnsi" w:cs="Arial"/>
              </w:rPr>
              <w:t>U</w:t>
            </w:r>
            <w:r w:rsidR="00CE6A8E">
              <w:rPr>
                <w:rFonts w:asciiTheme="majorHAnsi" w:hAnsiTheme="majorHAnsi" w:cs="Arial"/>
              </w:rPr>
              <w:t xml:space="preserve">přesnění textu </w:t>
            </w:r>
            <w:r w:rsidR="006D295E">
              <w:rPr>
                <w:rFonts w:asciiTheme="majorHAnsi" w:hAnsiTheme="majorHAnsi" w:cs="Arial"/>
              </w:rPr>
              <w:t>na základě seminářů</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713D2B" w:rsidP="00F9255E">
            <w:pPr>
              <w:tabs>
                <w:tab w:val="left" w:pos="2085"/>
              </w:tabs>
              <w:jc w:val="both"/>
              <w:rPr>
                <w:rFonts w:asciiTheme="majorHAnsi" w:hAnsiTheme="majorHAnsi" w:cs="Arial"/>
              </w:rPr>
            </w:pPr>
            <w:r>
              <w:rPr>
                <w:rFonts w:asciiTheme="majorHAnsi" w:hAnsiTheme="majorHAnsi" w:cs="Arial"/>
              </w:rPr>
              <w:t>2.2</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U</w:t>
            </w:r>
            <w:r w:rsidR="00713D2B">
              <w:rPr>
                <w:rFonts w:asciiTheme="majorHAnsi" w:hAnsiTheme="majorHAnsi" w:cs="Arial"/>
              </w:rPr>
              <w:t>přesnění možnosti podpory nového hlavního zdroje náhradou za lokální zdroje</w:t>
            </w:r>
          </w:p>
        </w:tc>
        <w:tc>
          <w:tcPr>
            <w:tcW w:w="1985" w:type="dxa"/>
          </w:tcPr>
          <w:p w:rsidR="00D27182" w:rsidRPr="005D35E5" w:rsidRDefault="00EF3A90" w:rsidP="00431946">
            <w:pPr>
              <w:tabs>
                <w:tab w:val="left" w:pos="2085"/>
              </w:tabs>
              <w:rPr>
                <w:rFonts w:asciiTheme="majorHAnsi" w:hAnsiTheme="majorHAnsi" w:cs="Arial"/>
              </w:rPr>
            </w:pPr>
            <w:r>
              <w:rPr>
                <w:rFonts w:asciiTheme="majorHAnsi" w:hAnsiTheme="majorHAnsi" w:cs="Arial"/>
              </w:rPr>
              <w:t>U</w:t>
            </w:r>
            <w:r w:rsidR="00713D2B">
              <w:rPr>
                <w:rFonts w:asciiTheme="majorHAnsi" w:hAnsiTheme="majorHAnsi" w:cs="Arial"/>
              </w:rPr>
              <w:t xml:space="preserve">přesnění textu na základě jednání s Evropskou </w:t>
            </w:r>
            <w:r w:rsidR="00671F54">
              <w:rPr>
                <w:rFonts w:asciiTheme="majorHAnsi" w:hAnsiTheme="majorHAnsi" w:cs="Arial"/>
              </w:rPr>
              <w:t>k</w:t>
            </w:r>
            <w:r w:rsidR="00713D2B">
              <w:rPr>
                <w:rFonts w:asciiTheme="majorHAnsi" w:hAnsiTheme="majorHAnsi" w:cs="Arial"/>
              </w:rPr>
              <w:t>omisí</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713D2B" w:rsidP="00F9255E">
            <w:pPr>
              <w:tabs>
                <w:tab w:val="left" w:pos="2085"/>
              </w:tabs>
              <w:jc w:val="both"/>
              <w:rPr>
                <w:rFonts w:asciiTheme="majorHAnsi" w:hAnsiTheme="majorHAnsi" w:cs="Arial"/>
              </w:rPr>
            </w:pPr>
            <w:r>
              <w:rPr>
                <w:rFonts w:asciiTheme="majorHAnsi" w:hAnsiTheme="majorHAnsi" w:cs="Arial"/>
              </w:rPr>
              <w:t>2.2</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U</w:t>
            </w:r>
            <w:r w:rsidR="00713D2B">
              <w:rPr>
                <w:rFonts w:asciiTheme="majorHAnsi" w:hAnsiTheme="majorHAnsi" w:cs="Arial"/>
              </w:rPr>
              <w:t xml:space="preserve">přesnění povinnosti ochrany hnízdišť rorýsů </w:t>
            </w:r>
          </w:p>
        </w:tc>
        <w:tc>
          <w:tcPr>
            <w:tcW w:w="1985" w:type="dxa"/>
          </w:tcPr>
          <w:p w:rsidR="00D27182" w:rsidRPr="005D35E5" w:rsidRDefault="00EF3A90" w:rsidP="00431946">
            <w:pPr>
              <w:tabs>
                <w:tab w:val="left" w:pos="2085"/>
              </w:tabs>
              <w:rPr>
                <w:rFonts w:asciiTheme="majorHAnsi" w:hAnsiTheme="majorHAnsi" w:cs="Arial"/>
              </w:rPr>
            </w:pPr>
            <w:r>
              <w:rPr>
                <w:rFonts w:asciiTheme="majorHAnsi" w:hAnsiTheme="majorHAnsi" w:cs="Arial"/>
              </w:rPr>
              <w:t>P</w:t>
            </w:r>
            <w:r w:rsidR="00713D2B">
              <w:rPr>
                <w:rFonts w:asciiTheme="majorHAnsi" w:hAnsiTheme="majorHAnsi" w:cs="Arial"/>
              </w:rPr>
              <w:t>řeformulování textu na základě dotazů ze seminářů</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EA5C15" w:rsidRPr="005D35E5" w:rsidTr="00A14FAD">
        <w:tc>
          <w:tcPr>
            <w:tcW w:w="896" w:type="dxa"/>
          </w:tcPr>
          <w:p w:rsidR="00EA5C15" w:rsidRDefault="00EA5C15"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EA5C15" w:rsidRDefault="00EA5C15" w:rsidP="00F9255E">
            <w:pPr>
              <w:tabs>
                <w:tab w:val="left" w:pos="2085"/>
              </w:tabs>
              <w:jc w:val="both"/>
              <w:rPr>
                <w:rFonts w:asciiTheme="majorHAnsi" w:hAnsiTheme="majorHAnsi" w:cs="Arial"/>
              </w:rPr>
            </w:pPr>
            <w:r>
              <w:rPr>
                <w:rFonts w:asciiTheme="majorHAnsi" w:hAnsiTheme="majorHAnsi" w:cs="Arial"/>
              </w:rPr>
              <w:t>2.2</w:t>
            </w:r>
          </w:p>
        </w:tc>
        <w:tc>
          <w:tcPr>
            <w:tcW w:w="2693" w:type="dxa"/>
          </w:tcPr>
          <w:p w:rsidR="00EA5C15" w:rsidRDefault="00EA5C15" w:rsidP="00431946">
            <w:pPr>
              <w:tabs>
                <w:tab w:val="left" w:pos="2085"/>
              </w:tabs>
              <w:rPr>
                <w:rFonts w:asciiTheme="majorHAnsi" w:hAnsiTheme="majorHAnsi" w:cs="Arial"/>
              </w:rPr>
            </w:pPr>
            <w:r>
              <w:rPr>
                <w:rFonts w:asciiTheme="majorHAnsi" w:hAnsiTheme="majorHAnsi" w:cs="Arial"/>
              </w:rPr>
              <w:t>Žadatel je povinen zajistit technický dozor stavebníka nad prováděním stavby.</w:t>
            </w:r>
          </w:p>
        </w:tc>
        <w:tc>
          <w:tcPr>
            <w:tcW w:w="1985" w:type="dxa"/>
          </w:tcPr>
          <w:p w:rsidR="00EA5C15" w:rsidRDefault="00EA5C15" w:rsidP="00431946">
            <w:pPr>
              <w:tabs>
                <w:tab w:val="left" w:pos="2085"/>
              </w:tabs>
              <w:rPr>
                <w:rFonts w:asciiTheme="majorHAnsi" w:hAnsiTheme="majorHAnsi" w:cs="Arial"/>
              </w:rPr>
            </w:pPr>
            <w:r>
              <w:rPr>
                <w:rFonts w:asciiTheme="majorHAnsi" w:hAnsiTheme="majorHAnsi" w:cs="Arial"/>
              </w:rPr>
              <w:t>Doplnění na základě dotazů ze seminářů</w:t>
            </w:r>
          </w:p>
        </w:tc>
        <w:tc>
          <w:tcPr>
            <w:tcW w:w="1275" w:type="dxa"/>
          </w:tcPr>
          <w:p w:rsidR="00EA5C15" w:rsidRDefault="00EA5C15" w:rsidP="00F9255E">
            <w:pPr>
              <w:tabs>
                <w:tab w:val="left" w:pos="2085"/>
              </w:tabs>
              <w:jc w:val="both"/>
              <w:rPr>
                <w:rFonts w:asciiTheme="majorHAnsi" w:hAnsiTheme="majorHAnsi" w:cs="Arial"/>
              </w:rPr>
            </w:pPr>
            <w:r>
              <w:rPr>
                <w:rFonts w:asciiTheme="majorHAnsi" w:hAnsiTheme="majorHAnsi" w:cs="Arial"/>
              </w:rPr>
              <w:t>M. Krob</w:t>
            </w:r>
          </w:p>
        </w:tc>
        <w:tc>
          <w:tcPr>
            <w:tcW w:w="1134" w:type="dxa"/>
          </w:tcPr>
          <w:p w:rsidR="00EA5C15" w:rsidRDefault="00EA5C15" w:rsidP="00410C75">
            <w:pPr>
              <w:tabs>
                <w:tab w:val="left" w:pos="2085"/>
              </w:tabs>
              <w:rPr>
                <w:rFonts w:asciiTheme="majorHAnsi" w:hAnsiTheme="majorHAnsi" w:cs="Arial"/>
              </w:rPr>
            </w:pPr>
            <w:r>
              <w:rPr>
                <w:rFonts w:asciiTheme="majorHAnsi" w:hAnsiTheme="majorHAnsi" w:cs="Arial"/>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713D2B"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P</w:t>
            </w:r>
            <w:r w:rsidR="00713D2B">
              <w:rPr>
                <w:rFonts w:asciiTheme="majorHAnsi" w:hAnsiTheme="majorHAnsi" w:cs="Arial"/>
              </w:rPr>
              <w:t xml:space="preserve">říloha </w:t>
            </w:r>
            <w:r w:rsidR="00992771">
              <w:rPr>
                <w:rFonts w:asciiTheme="majorHAnsi" w:hAnsiTheme="majorHAnsi" w:cs="Arial"/>
              </w:rPr>
              <w:t>P</w:t>
            </w:r>
            <w:r w:rsidR="00713D2B">
              <w:rPr>
                <w:rFonts w:asciiTheme="majorHAnsi" w:hAnsiTheme="majorHAnsi" w:cs="Arial"/>
              </w:rPr>
              <w:t>odklady pro hodnocení: změna čísla přílohy podklady pro hodnocení</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S</w:t>
            </w:r>
            <w:r w:rsidR="00D80A8D">
              <w:rPr>
                <w:rFonts w:asciiTheme="majorHAnsi" w:hAnsiTheme="majorHAnsi" w:cs="Arial"/>
              </w:rPr>
              <w:t>oulad s číslováním příloh specifických pravidel</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D80A8D"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P</w:t>
            </w:r>
            <w:r w:rsidR="00D80A8D">
              <w:rPr>
                <w:rFonts w:asciiTheme="majorHAnsi" w:hAnsiTheme="majorHAnsi" w:cs="Arial"/>
              </w:rPr>
              <w:t>opis k příloze žádosti č. 8 Položkový rozpočet</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P</w:t>
            </w:r>
            <w:r w:rsidR="00D80A8D">
              <w:rPr>
                <w:rFonts w:asciiTheme="majorHAnsi" w:hAnsiTheme="majorHAnsi" w:cs="Arial"/>
              </w:rPr>
              <w:t>řeformulování textu na základě dotazů ze seminářů</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D80A8D"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P</w:t>
            </w:r>
            <w:r w:rsidR="00D80A8D">
              <w:rPr>
                <w:rFonts w:asciiTheme="majorHAnsi" w:hAnsiTheme="majorHAnsi" w:cs="Arial"/>
              </w:rPr>
              <w:t>říloha č. 10 Výpis z rejstříku trestů</w:t>
            </w:r>
            <w:r w:rsidR="00B23F60">
              <w:rPr>
                <w:rFonts w:asciiTheme="majorHAnsi" w:hAnsiTheme="majorHAnsi" w:cs="Arial"/>
              </w:rPr>
              <w:t xml:space="preserve"> – dodávají take fyzické osoby podnikající</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D</w:t>
            </w:r>
            <w:r w:rsidR="00D80A8D">
              <w:rPr>
                <w:rFonts w:asciiTheme="majorHAnsi" w:hAnsiTheme="majorHAnsi" w:cs="Arial"/>
              </w:rPr>
              <w:t xml:space="preserve">oplnění </w:t>
            </w:r>
            <w:r w:rsidR="00B23F60">
              <w:rPr>
                <w:rFonts w:asciiTheme="majorHAnsi" w:hAnsiTheme="majorHAnsi" w:cs="Arial"/>
              </w:rPr>
              <w:t>na základě vydefinování fyzické osoby podnikající</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D80A8D"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P</w:t>
            </w:r>
            <w:r w:rsidR="00D80A8D">
              <w:rPr>
                <w:rFonts w:asciiTheme="majorHAnsi" w:hAnsiTheme="majorHAnsi" w:cs="Arial"/>
              </w:rPr>
              <w:t>říloha č. 1</w:t>
            </w:r>
            <w:r w:rsidR="00B23F60">
              <w:rPr>
                <w:rFonts w:asciiTheme="majorHAnsi" w:hAnsiTheme="majorHAnsi" w:cs="Arial"/>
              </w:rPr>
              <w:t>2</w:t>
            </w:r>
            <w:r w:rsidR="00D80A8D">
              <w:rPr>
                <w:rFonts w:asciiTheme="majorHAnsi" w:hAnsiTheme="majorHAnsi" w:cs="Arial"/>
              </w:rPr>
              <w:t xml:space="preserve"> Průzkum trhu</w:t>
            </w:r>
            <w:r w:rsidR="00B23F60">
              <w:rPr>
                <w:rFonts w:asciiTheme="majorHAnsi" w:hAnsiTheme="majorHAnsi" w:cs="Arial"/>
              </w:rPr>
              <w:t xml:space="preserve"> – doplnění přílohy </w:t>
            </w:r>
          </w:p>
        </w:tc>
        <w:tc>
          <w:tcPr>
            <w:tcW w:w="1985" w:type="dxa"/>
          </w:tcPr>
          <w:p w:rsidR="00D27182" w:rsidRPr="005D35E5" w:rsidRDefault="00B23F60" w:rsidP="00431946">
            <w:pPr>
              <w:tabs>
                <w:tab w:val="left" w:pos="2085"/>
              </w:tabs>
              <w:rPr>
                <w:rFonts w:asciiTheme="majorHAnsi" w:hAnsiTheme="majorHAnsi" w:cs="Arial"/>
              </w:rPr>
            </w:pPr>
            <w:r>
              <w:rPr>
                <w:rFonts w:asciiTheme="majorHAnsi" w:hAnsiTheme="majorHAnsi" w:cs="Arial"/>
              </w:rPr>
              <w:t xml:space="preserve">Doplnění přílohy pro položky, které nejsou součástí jednotné cenové </w:t>
            </w:r>
            <w:r>
              <w:rPr>
                <w:rFonts w:asciiTheme="majorHAnsi" w:hAnsiTheme="majorHAnsi" w:cs="Arial"/>
              </w:rPr>
              <w:lastRenderedPageBreak/>
              <w:t>soustavy</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lastRenderedPageBreak/>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EA5C15" w:rsidRPr="005D35E5" w:rsidTr="00A14FAD">
        <w:tc>
          <w:tcPr>
            <w:tcW w:w="896" w:type="dxa"/>
          </w:tcPr>
          <w:p w:rsidR="00EA5C15" w:rsidRDefault="00EA5C15" w:rsidP="00F9255E">
            <w:pPr>
              <w:tabs>
                <w:tab w:val="left" w:pos="2085"/>
              </w:tabs>
              <w:jc w:val="both"/>
              <w:rPr>
                <w:rFonts w:asciiTheme="majorHAnsi" w:hAnsiTheme="majorHAnsi" w:cs="Arial"/>
              </w:rPr>
            </w:pPr>
            <w:r>
              <w:rPr>
                <w:rFonts w:asciiTheme="majorHAnsi" w:hAnsiTheme="majorHAnsi" w:cs="Arial"/>
              </w:rPr>
              <w:lastRenderedPageBreak/>
              <w:t>1</w:t>
            </w:r>
          </w:p>
        </w:tc>
        <w:tc>
          <w:tcPr>
            <w:tcW w:w="1197" w:type="dxa"/>
          </w:tcPr>
          <w:p w:rsidR="00EA5C15" w:rsidRDefault="00EA5C15"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EA5C15" w:rsidRDefault="002F58A6" w:rsidP="00431946">
            <w:pPr>
              <w:tabs>
                <w:tab w:val="left" w:pos="2085"/>
              </w:tabs>
              <w:rPr>
                <w:rFonts w:asciiTheme="majorHAnsi" w:hAnsiTheme="majorHAnsi" w:cs="Arial"/>
              </w:rPr>
            </w:pPr>
            <w:r>
              <w:rPr>
                <w:rFonts w:asciiTheme="majorHAnsi" w:hAnsiTheme="majorHAnsi" w:cs="Arial"/>
              </w:rPr>
              <w:t xml:space="preserve">Upozornění: </w:t>
            </w:r>
            <w:r w:rsidR="00EA5C15">
              <w:rPr>
                <w:rFonts w:asciiTheme="majorHAnsi" w:hAnsiTheme="majorHAnsi" w:cs="Arial"/>
              </w:rPr>
              <w:t>Úspory plynoucí z opatření, která nespadají do způsobilých výdajů (např. výměna starého plynového kotle za nový), nelze započítat do celkové úspory energie</w:t>
            </w:r>
          </w:p>
        </w:tc>
        <w:tc>
          <w:tcPr>
            <w:tcW w:w="1985" w:type="dxa"/>
          </w:tcPr>
          <w:p w:rsidR="00EA5C15" w:rsidRDefault="002F58A6" w:rsidP="00431946">
            <w:pPr>
              <w:tabs>
                <w:tab w:val="left" w:pos="2085"/>
              </w:tabs>
              <w:rPr>
                <w:rFonts w:asciiTheme="majorHAnsi" w:hAnsiTheme="majorHAnsi" w:cs="Arial"/>
              </w:rPr>
            </w:pPr>
            <w:r>
              <w:rPr>
                <w:rFonts w:asciiTheme="majorHAnsi" w:hAnsiTheme="majorHAnsi" w:cs="Arial"/>
              </w:rPr>
              <w:t>Upřesnění na základě dotazů ze seminářů</w:t>
            </w:r>
          </w:p>
        </w:tc>
        <w:tc>
          <w:tcPr>
            <w:tcW w:w="1275" w:type="dxa"/>
          </w:tcPr>
          <w:p w:rsidR="00EA5C15" w:rsidRDefault="002F58A6" w:rsidP="00F9255E">
            <w:pPr>
              <w:tabs>
                <w:tab w:val="left" w:pos="2085"/>
              </w:tabs>
              <w:jc w:val="both"/>
              <w:rPr>
                <w:rFonts w:asciiTheme="majorHAnsi" w:hAnsiTheme="majorHAnsi" w:cs="Arial"/>
              </w:rPr>
            </w:pPr>
            <w:r>
              <w:rPr>
                <w:rFonts w:asciiTheme="majorHAnsi" w:hAnsiTheme="majorHAnsi" w:cs="Arial"/>
              </w:rPr>
              <w:t>M. Krob</w:t>
            </w:r>
          </w:p>
        </w:tc>
        <w:tc>
          <w:tcPr>
            <w:tcW w:w="1134" w:type="dxa"/>
          </w:tcPr>
          <w:p w:rsidR="00EA5C15" w:rsidRDefault="002F58A6" w:rsidP="00410C75">
            <w:pPr>
              <w:tabs>
                <w:tab w:val="left" w:pos="2085"/>
              </w:tabs>
              <w:rPr>
                <w:rFonts w:asciiTheme="majorHAnsi" w:hAnsiTheme="majorHAnsi" w:cs="Arial"/>
              </w:rPr>
            </w:pPr>
            <w:r>
              <w:rPr>
                <w:rFonts w:asciiTheme="majorHAnsi" w:hAnsiTheme="majorHAnsi" w:cs="Arial"/>
              </w:rPr>
              <w:t>26. 2. 2016</w:t>
            </w:r>
          </w:p>
        </w:tc>
      </w:tr>
      <w:tr w:rsidR="00EA5C15" w:rsidRPr="005D35E5" w:rsidTr="00A14FAD">
        <w:tc>
          <w:tcPr>
            <w:tcW w:w="896" w:type="dxa"/>
          </w:tcPr>
          <w:p w:rsidR="00EA5C15" w:rsidRDefault="00EA5C15"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EA5C15" w:rsidRDefault="00EA5C15" w:rsidP="00F9255E">
            <w:pPr>
              <w:tabs>
                <w:tab w:val="left" w:pos="2085"/>
              </w:tabs>
              <w:jc w:val="both"/>
              <w:rPr>
                <w:rFonts w:asciiTheme="majorHAnsi" w:hAnsiTheme="majorHAnsi" w:cs="Arial"/>
              </w:rPr>
            </w:pPr>
            <w:r>
              <w:rPr>
                <w:rFonts w:asciiTheme="majorHAnsi" w:hAnsiTheme="majorHAnsi" w:cs="Arial"/>
              </w:rPr>
              <w:t>2.3</w:t>
            </w:r>
          </w:p>
        </w:tc>
        <w:tc>
          <w:tcPr>
            <w:tcW w:w="2693" w:type="dxa"/>
          </w:tcPr>
          <w:p w:rsidR="00EA5C15" w:rsidRDefault="002F58A6" w:rsidP="00431946">
            <w:pPr>
              <w:tabs>
                <w:tab w:val="left" w:pos="2085"/>
              </w:tabs>
              <w:rPr>
                <w:rFonts w:asciiTheme="majorHAnsi" w:hAnsiTheme="majorHAnsi" w:cs="Arial"/>
              </w:rPr>
            </w:pPr>
            <w:r>
              <w:rPr>
                <w:rFonts w:asciiTheme="majorHAnsi" w:hAnsiTheme="majorHAnsi" w:cs="Arial"/>
              </w:rPr>
              <w:t xml:space="preserve">Upozornění: </w:t>
            </w:r>
            <w:r w:rsidR="00EA5C15">
              <w:rPr>
                <w:rFonts w:asciiTheme="majorHAnsi" w:hAnsiTheme="majorHAnsi" w:cs="Arial"/>
              </w:rPr>
              <w:t>Energetický audit ani energetický posudek nejsou akceptovány jako náhrada za průkaz energetické náročnosti budov</w:t>
            </w:r>
          </w:p>
        </w:tc>
        <w:tc>
          <w:tcPr>
            <w:tcW w:w="1985" w:type="dxa"/>
          </w:tcPr>
          <w:p w:rsidR="00EA5C15" w:rsidRDefault="002F58A6" w:rsidP="00431946">
            <w:pPr>
              <w:tabs>
                <w:tab w:val="left" w:pos="2085"/>
              </w:tabs>
              <w:rPr>
                <w:rFonts w:asciiTheme="majorHAnsi" w:hAnsiTheme="majorHAnsi" w:cs="Arial"/>
              </w:rPr>
            </w:pPr>
            <w:r>
              <w:rPr>
                <w:rFonts w:asciiTheme="majorHAnsi" w:hAnsiTheme="majorHAnsi" w:cs="Arial"/>
              </w:rPr>
              <w:t>Upřesnění na základě dotazů ze seminářů</w:t>
            </w:r>
          </w:p>
        </w:tc>
        <w:tc>
          <w:tcPr>
            <w:tcW w:w="1275" w:type="dxa"/>
          </w:tcPr>
          <w:p w:rsidR="00EA5C15" w:rsidRDefault="002F58A6" w:rsidP="00F9255E">
            <w:pPr>
              <w:tabs>
                <w:tab w:val="left" w:pos="2085"/>
              </w:tabs>
              <w:jc w:val="both"/>
              <w:rPr>
                <w:rFonts w:asciiTheme="majorHAnsi" w:hAnsiTheme="majorHAnsi" w:cs="Arial"/>
              </w:rPr>
            </w:pPr>
            <w:r>
              <w:rPr>
                <w:rFonts w:asciiTheme="majorHAnsi" w:hAnsiTheme="majorHAnsi" w:cs="Arial"/>
              </w:rPr>
              <w:t>M. Krob</w:t>
            </w:r>
          </w:p>
        </w:tc>
        <w:tc>
          <w:tcPr>
            <w:tcW w:w="1134" w:type="dxa"/>
          </w:tcPr>
          <w:p w:rsidR="00EA5C15" w:rsidRDefault="002F58A6" w:rsidP="00410C75">
            <w:pPr>
              <w:tabs>
                <w:tab w:val="left" w:pos="2085"/>
              </w:tabs>
              <w:rPr>
                <w:rFonts w:asciiTheme="majorHAnsi" w:hAnsiTheme="majorHAnsi" w:cs="Arial"/>
              </w:rPr>
            </w:pPr>
            <w:r>
              <w:rPr>
                <w:rFonts w:asciiTheme="majorHAnsi" w:hAnsiTheme="majorHAnsi" w:cs="Arial"/>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5A53BB" w:rsidP="00431946">
            <w:pPr>
              <w:tabs>
                <w:tab w:val="left" w:pos="795"/>
              </w:tabs>
              <w:jc w:val="both"/>
              <w:rPr>
                <w:rFonts w:asciiTheme="majorHAnsi" w:hAnsiTheme="majorHAnsi" w:cs="Arial"/>
              </w:rPr>
            </w:pPr>
            <w:r>
              <w:rPr>
                <w:rFonts w:asciiTheme="majorHAnsi" w:hAnsiTheme="majorHAnsi" w:cs="Arial"/>
              </w:rPr>
              <w:t>2.4</w:t>
            </w:r>
          </w:p>
        </w:tc>
        <w:tc>
          <w:tcPr>
            <w:tcW w:w="2693" w:type="dxa"/>
          </w:tcPr>
          <w:p w:rsidR="00D27182" w:rsidRPr="00431946" w:rsidRDefault="00F6581D" w:rsidP="00431946">
            <w:r>
              <w:rPr>
                <w:rFonts w:asciiTheme="majorHAnsi" w:hAnsiTheme="majorHAnsi" w:cs="Arial"/>
              </w:rPr>
              <w:t>U</w:t>
            </w:r>
            <w:r w:rsidR="005A53BB">
              <w:rPr>
                <w:rFonts w:asciiTheme="majorHAnsi" w:hAnsiTheme="majorHAnsi" w:cs="Arial"/>
              </w:rPr>
              <w:t xml:space="preserve">přesnění výše podpory v případě kombinace opatření </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U</w:t>
            </w:r>
            <w:r w:rsidR="005A53BB">
              <w:rPr>
                <w:rFonts w:asciiTheme="majorHAnsi" w:hAnsiTheme="majorHAnsi" w:cs="Arial"/>
              </w:rPr>
              <w:t>vedení do souladu s označením hladin podpory</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5A53BB" w:rsidP="00F9255E">
            <w:pPr>
              <w:tabs>
                <w:tab w:val="left" w:pos="2085"/>
              </w:tabs>
              <w:jc w:val="both"/>
              <w:rPr>
                <w:rFonts w:asciiTheme="majorHAnsi" w:hAnsiTheme="majorHAnsi" w:cs="Arial"/>
              </w:rPr>
            </w:pPr>
            <w:r>
              <w:rPr>
                <w:rFonts w:asciiTheme="majorHAnsi" w:hAnsiTheme="majorHAnsi" w:cs="Arial"/>
              </w:rPr>
              <w:t>2.5</w:t>
            </w:r>
          </w:p>
        </w:tc>
        <w:tc>
          <w:tcPr>
            <w:tcW w:w="2693" w:type="dxa"/>
          </w:tcPr>
          <w:p w:rsidR="005A53BB" w:rsidRPr="00431946" w:rsidRDefault="00F6581D" w:rsidP="00431946">
            <w:pPr>
              <w:tabs>
                <w:tab w:val="left" w:pos="2085"/>
              </w:tabs>
              <w:rPr>
                <w:rFonts w:asciiTheme="majorHAnsi" w:hAnsiTheme="majorHAnsi" w:cs="Arial"/>
              </w:rPr>
            </w:pPr>
            <w:r>
              <w:rPr>
                <w:rFonts w:asciiTheme="majorHAnsi" w:hAnsiTheme="majorHAnsi" w:cs="Arial"/>
              </w:rPr>
              <w:t>D</w:t>
            </w:r>
            <w:r w:rsidR="005A53BB">
              <w:rPr>
                <w:rFonts w:asciiTheme="majorHAnsi" w:hAnsiTheme="majorHAnsi" w:cs="Arial"/>
              </w:rPr>
              <w:t xml:space="preserve">oplnění způsobilých výdajů </w:t>
            </w:r>
            <w:r w:rsidR="0006461B">
              <w:rPr>
                <w:rFonts w:asciiTheme="majorHAnsi" w:hAnsiTheme="majorHAnsi" w:cs="Arial"/>
              </w:rPr>
              <w:t>na</w:t>
            </w:r>
            <w:r w:rsidR="005A53BB">
              <w:rPr>
                <w:rFonts w:asciiTheme="majorHAnsi" w:hAnsiTheme="majorHAnsi" w:cs="Arial"/>
              </w:rPr>
              <w:t xml:space="preserve"> hlavní </w:t>
            </w:r>
            <w:r>
              <w:rPr>
                <w:rFonts w:asciiTheme="majorHAnsi" w:hAnsiTheme="majorHAnsi" w:cs="Arial"/>
              </w:rPr>
              <w:t>ak</w:t>
            </w:r>
            <w:r w:rsidR="00EF3A90">
              <w:rPr>
                <w:rFonts w:asciiTheme="majorHAnsi" w:hAnsiTheme="majorHAnsi" w:cs="Arial"/>
              </w:rPr>
              <w:t>tivity projekt</w:t>
            </w:r>
            <w:r w:rsidR="005A53BB">
              <w:rPr>
                <w:rFonts w:asciiTheme="majorHAnsi" w:hAnsiTheme="majorHAnsi" w:cs="Arial"/>
              </w:rPr>
              <w:t>u</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Na základě dotazů ze seminářů</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5A53BB" w:rsidP="00F9255E">
            <w:pPr>
              <w:tabs>
                <w:tab w:val="left" w:pos="2085"/>
              </w:tabs>
              <w:jc w:val="both"/>
              <w:rPr>
                <w:rFonts w:asciiTheme="majorHAnsi" w:hAnsiTheme="majorHAnsi" w:cs="Arial"/>
              </w:rPr>
            </w:pPr>
            <w:r>
              <w:rPr>
                <w:rFonts w:asciiTheme="majorHAnsi" w:hAnsiTheme="majorHAnsi" w:cs="Arial"/>
              </w:rPr>
              <w:t>2.5</w:t>
            </w:r>
          </w:p>
        </w:tc>
        <w:tc>
          <w:tcPr>
            <w:tcW w:w="2693" w:type="dxa"/>
          </w:tcPr>
          <w:p w:rsidR="00962D1F" w:rsidRPr="00431946" w:rsidRDefault="00F6581D" w:rsidP="00431946">
            <w:pPr>
              <w:tabs>
                <w:tab w:val="left" w:pos="2085"/>
              </w:tabs>
              <w:rPr>
                <w:rFonts w:asciiTheme="majorHAnsi" w:hAnsiTheme="majorHAnsi" w:cs="Arial"/>
              </w:rPr>
            </w:pPr>
            <w:r>
              <w:rPr>
                <w:rFonts w:asciiTheme="majorHAnsi" w:hAnsiTheme="majorHAnsi" w:cs="Arial"/>
              </w:rPr>
              <w:t>D</w:t>
            </w:r>
            <w:r w:rsidR="005A53BB">
              <w:rPr>
                <w:rFonts w:asciiTheme="majorHAnsi" w:hAnsiTheme="majorHAnsi" w:cs="Arial"/>
              </w:rPr>
              <w:t xml:space="preserve">oplnění způsobilých výdajů </w:t>
            </w:r>
            <w:r w:rsidR="0006461B">
              <w:rPr>
                <w:rFonts w:asciiTheme="majorHAnsi" w:hAnsiTheme="majorHAnsi" w:cs="Arial"/>
              </w:rPr>
              <w:t>na</w:t>
            </w:r>
            <w:r w:rsidR="005A53BB">
              <w:rPr>
                <w:rFonts w:asciiTheme="majorHAnsi" w:hAnsiTheme="majorHAnsi" w:cs="Arial"/>
              </w:rPr>
              <w:t xml:space="preserve"> vedlejší a</w:t>
            </w:r>
            <w:r w:rsidR="008352BF">
              <w:rPr>
                <w:rFonts w:asciiTheme="majorHAnsi" w:hAnsiTheme="majorHAnsi" w:cs="Arial"/>
              </w:rPr>
              <w:t>k</w:t>
            </w:r>
            <w:r w:rsidR="005A53BB">
              <w:rPr>
                <w:rFonts w:asciiTheme="majorHAnsi" w:hAnsiTheme="majorHAnsi" w:cs="Arial"/>
              </w:rPr>
              <w:t>tivity projektu</w:t>
            </w:r>
          </w:p>
        </w:tc>
        <w:tc>
          <w:tcPr>
            <w:tcW w:w="1985" w:type="dxa"/>
          </w:tcPr>
          <w:p w:rsidR="00D27182" w:rsidRPr="005D35E5" w:rsidRDefault="00F6581D" w:rsidP="00431946">
            <w:pPr>
              <w:tabs>
                <w:tab w:val="left" w:pos="2085"/>
              </w:tabs>
              <w:rPr>
                <w:rFonts w:asciiTheme="majorHAnsi" w:hAnsiTheme="majorHAnsi" w:cs="Arial"/>
              </w:rPr>
            </w:pPr>
            <w:r>
              <w:rPr>
                <w:rFonts w:asciiTheme="majorHAnsi" w:hAnsiTheme="majorHAnsi" w:cs="Arial"/>
              </w:rPr>
              <w:t>Na základě dotazů ze seminářů</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962D1F" w:rsidP="00F9255E">
            <w:pPr>
              <w:tabs>
                <w:tab w:val="left" w:pos="2085"/>
              </w:tabs>
              <w:jc w:val="both"/>
              <w:rPr>
                <w:rFonts w:asciiTheme="majorHAnsi" w:hAnsiTheme="majorHAnsi" w:cs="Arial"/>
              </w:rPr>
            </w:pPr>
            <w:r>
              <w:rPr>
                <w:rFonts w:asciiTheme="majorHAnsi" w:hAnsiTheme="majorHAnsi" w:cs="Arial"/>
              </w:rPr>
              <w:t>2.5</w:t>
            </w:r>
          </w:p>
        </w:tc>
        <w:tc>
          <w:tcPr>
            <w:tcW w:w="2693" w:type="dxa"/>
          </w:tcPr>
          <w:p w:rsidR="00D27182" w:rsidRPr="005D35E5" w:rsidRDefault="00962D1F" w:rsidP="00431946">
            <w:pPr>
              <w:tabs>
                <w:tab w:val="left" w:pos="2085"/>
              </w:tabs>
              <w:rPr>
                <w:rFonts w:asciiTheme="majorHAnsi" w:hAnsiTheme="majorHAnsi" w:cs="Arial"/>
              </w:rPr>
            </w:pPr>
            <w:r>
              <w:rPr>
                <w:rFonts w:asciiTheme="majorHAnsi" w:hAnsiTheme="majorHAnsi" w:cs="Arial"/>
              </w:rPr>
              <w:t>Dokladování způsobilých výdajů u staveb: technický li</w:t>
            </w:r>
            <w:r w:rsidR="00EF3A90">
              <w:rPr>
                <w:rFonts w:asciiTheme="majorHAnsi" w:hAnsiTheme="majorHAnsi" w:cs="Arial"/>
              </w:rPr>
              <w:t>st izolantů, zateplovacího systé</w:t>
            </w:r>
            <w:r>
              <w:rPr>
                <w:rFonts w:asciiTheme="majorHAnsi" w:hAnsiTheme="majorHAnsi" w:cs="Arial"/>
              </w:rPr>
              <w:t>mu, oken a dveří</w:t>
            </w:r>
          </w:p>
        </w:tc>
        <w:tc>
          <w:tcPr>
            <w:tcW w:w="1985" w:type="dxa"/>
          </w:tcPr>
          <w:p w:rsidR="00D27182" w:rsidRPr="005D35E5" w:rsidRDefault="00F6581D" w:rsidP="00576967">
            <w:pPr>
              <w:tabs>
                <w:tab w:val="left" w:pos="2085"/>
              </w:tabs>
              <w:rPr>
                <w:rFonts w:asciiTheme="majorHAnsi" w:hAnsiTheme="majorHAnsi" w:cs="Arial"/>
              </w:rPr>
            </w:pPr>
            <w:r>
              <w:rPr>
                <w:rFonts w:asciiTheme="majorHAnsi" w:hAnsiTheme="majorHAnsi" w:cs="Arial"/>
              </w:rPr>
              <w:t>Upřesňující informace pro hodnocení projektu</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962D1F" w:rsidP="00F9255E">
            <w:pPr>
              <w:tabs>
                <w:tab w:val="left" w:pos="2085"/>
              </w:tabs>
              <w:jc w:val="both"/>
              <w:rPr>
                <w:rFonts w:asciiTheme="majorHAnsi" w:hAnsiTheme="majorHAnsi" w:cs="Arial"/>
              </w:rPr>
            </w:pPr>
            <w:r>
              <w:rPr>
                <w:rFonts w:asciiTheme="majorHAnsi" w:hAnsiTheme="majorHAnsi" w:cs="Arial"/>
              </w:rPr>
              <w:t>2.5</w:t>
            </w:r>
          </w:p>
        </w:tc>
        <w:tc>
          <w:tcPr>
            <w:tcW w:w="2693" w:type="dxa"/>
          </w:tcPr>
          <w:p w:rsidR="00D27182" w:rsidRDefault="00962D1F" w:rsidP="00431946">
            <w:pPr>
              <w:tabs>
                <w:tab w:val="left" w:pos="2085"/>
              </w:tabs>
              <w:rPr>
                <w:rFonts w:asciiTheme="majorHAnsi" w:hAnsiTheme="majorHAnsi" w:cs="Arial"/>
              </w:rPr>
            </w:pPr>
            <w:r>
              <w:rPr>
                <w:rFonts w:asciiTheme="majorHAnsi" w:hAnsiTheme="majorHAnsi" w:cs="Arial"/>
              </w:rPr>
              <w:t xml:space="preserve">Dokladování způsobilých výdajů </w:t>
            </w:r>
            <w:r w:rsidR="00EF3A90">
              <w:rPr>
                <w:rFonts w:asciiTheme="majorHAnsi" w:hAnsiTheme="majorHAnsi" w:cs="Arial"/>
              </w:rPr>
              <w:t>na</w:t>
            </w:r>
            <w:r>
              <w:rPr>
                <w:rFonts w:asciiTheme="majorHAnsi" w:hAnsiTheme="majorHAnsi" w:cs="Arial"/>
              </w:rPr>
              <w:t xml:space="preserve"> pořízen</w:t>
            </w:r>
            <w:r w:rsidR="00EF3A90">
              <w:rPr>
                <w:rFonts w:asciiTheme="majorHAnsi" w:hAnsiTheme="majorHAnsi" w:cs="Arial"/>
              </w:rPr>
              <w:t>í</w:t>
            </w:r>
            <w:r>
              <w:rPr>
                <w:rFonts w:asciiTheme="majorHAnsi" w:hAnsiTheme="majorHAnsi" w:cs="Arial"/>
              </w:rPr>
              <w:t xml:space="preserve"> majetku:</w:t>
            </w:r>
          </w:p>
          <w:p w:rsidR="00962D1F" w:rsidRDefault="00962D1F" w:rsidP="00431946">
            <w:pPr>
              <w:pStyle w:val="Odstavecseseznamem"/>
              <w:numPr>
                <w:ilvl w:val="0"/>
                <w:numId w:val="106"/>
              </w:numPr>
              <w:tabs>
                <w:tab w:val="left" w:pos="2085"/>
              </w:tabs>
              <w:rPr>
                <w:rFonts w:asciiTheme="majorHAnsi" w:hAnsiTheme="majorHAnsi" w:cs="Arial"/>
              </w:rPr>
            </w:pPr>
            <w:r>
              <w:rPr>
                <w:rFonts w:asciiTheme="majorHAnsi" w:hAnsiTheme="majorHAnsi" w:cs="Arial"/>
              </w:rPr>
              <w:t>předávací proto</w:t>
            </w:r>
            <w:r w:rsidR="006D295E">
              <w:rPr>
                <w:rFonts w:asciiTheme="majorHAnsi" w:hAnsiTheme="majorHAnsi" w:cs="Arial"/>
              </w:rPr>
              <w:t>k</w:t>
            </w:r>
            <w:r>
              <w:rPr>
                <w:rFonts w:asciiTheme="majorHAnsi" w:hAnsiTheme="majorHAnsi" w:cs="Arial"/>
              </w:rPr>
              <w:t>ol</w:t>
            </w:r>
            <w:r w:rsidR="006D295E">
              <w:rPr>
                <w:rFonts w:asciiTheme="majorHAnsi" w:hAnsiTheme="majorHAnsi" w:cs="Arial"/>
              </w:rPr>
              <w:t>,</w:t>
            </w:r>
          </w:p>
          <w:p w:rsidR="00962D1F" w:rsidRPr="00431946" w:rsidRDefault="00962D1F" w:rsidP="00431946">
            <w:pPr>
              <w:pStyle w:val="Odstavecseseznamem"/>
              <w:numPr>
                <w:ilvl w:val="0"/>
                <w:numId w:val="106"/>
              </w:numPr>
              <w:tabs>
                <w:tab w:val="left" w:pos="2085"/>
              </w:tabs>
              <w:rPr>
                <w:rFonts w:asciiTheme="majorHAnsi" w:hAnsiTheme="majorHAnsi" w:cs="Arial"/>
              </w:rPr>
            </w:pPr>
            <w:r>
              <w:rPr>
                <w:rFonts w:asciiTheme="majorHAnsi" w:hAnsiTheme="majorHAnsi" w:cs="Arial"/>
              </w:rPr>
              <w:t>technický list</w:t>
            </w:r>
          </w:p>
        </w:tc>
        <w:tc>
          <w:tcPr>
            <w:tcW w:w="1985" w:type="dxa"/>
          </w:tcPr>
          <w:p w:rsidR="00D27182" w:rsidRPr="005D35E5" w:rsidRDefault="00F6581D" w:rsidP="00576967">
            <w:pPr>
              <w:tabs>
                <w:tab w:val="left" w:pos="2085"/>
              </w:tabs>
              <w:rPr>
                <w:rFonts w:asciiTheme="majorHAnsi" w:hAnsiTheme="majorHAnsi" w:cs="Arial"/>
              </w:rPr>
            </w:pPr>
            <w:r>
              <w:rPr>
                <w:rFonts w:asciiTheme="majorHAnsi" w:hAnsiTheme="majorHAnsi" w:cs="Arial"/>
              </w:rPr>
              <w:t>Upřesňující informace pro hodnocení projektu</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D27182" w:rsidRPr="005D35E5" w:rsidRDefault="00962D1F" w:rsidP="00F9255E">
            <w:pPr>
              <w:tabs>
                <w:tab w:val="left" w:pos="2085"/>
              </w:tabs>
              <w:jc w:val="both"/>
              <w:rPr>
                <w:rFonts w:asciiTheme="majorHAnsi" w:hAnsiTheme="majorHAnsi" w:cs="Arial"/>
              </w:rPr>
            </w:pPr>
            <w:r>
              <w:rPr>
                <w:rFonts w:asciiTheme="majorHAnsi" w:hAnsiTheme="majorHAnsi" w:cs="Arial"/>
              </w:rPr>
              <w:t>3</w:t>
            </w:r>
          </w:p>
        </w:tc>
        <w:tc>
          <w:tcPr>
            <w:tcW w:w="2693" w:type="dxa"/>
          </w:tcPr>
          <w:p w:rsidR="00D27182" w:rsidRPr="005D35E5" w:rsidRDefault="00962D1F" w:rsidP="00431946">
            <w:pPr>
              <w:tabs>
                <w:tab w:val="left" w:pos="2085"/>
              </w:tabs>
              <w:rPr>
                <w:rFonts w:asciiTheme="majorHAnsi" w:hAnsiTheme="majorHAnsi" w:cs="Arial"/>
              </w:rPr>
            </w:pPr>
            <w:r>
              <w:rPr>
                <w:rFonts w:asciiTheme="majorHAnsi" w:hAnsiTheme="majorHAnsi" w:cs="Arial"/>
              </w:rPr>
              <w:t>Změna kontaktní osoby</w:t>
            </w:r>
            <w:r w:rsidR="00F6581D">
              <w:rPr>
                <w:rFonts w:asciiTheme="majorHAnsi" w:hAnsiTheme="majorHAnsi" w:cs="Arial"/>
              </w:rPr>
              <w:t xml:space="preserve"> </w:t>
            </w:r>
            <w:r w:rsidR="00671F54">
              <w:rPr>
                <w:rFonts w:asciiTheme="majorHAnsi" w:hAnsiTheme="majorHAnsi" w:cs="Arial"/>
              </w:rPr>
              <w:t xml:space="preserve">CRR </w:t>
            </w:r>
            <w:r w:rsidR="00F6581D">
              <w:rPr>
                <w:rFonts w:asciiTheme="majorHAnsi" w:hAnsiTheme="majorHAnsi" w:cs="Arial"/>
              </w:rPr>
              <w:t>v Plzeňské</w:t>
            </w:r>
            <w:r w:rsidR="00671F54">
              <w:rPr>
                <w:rFonts w:asciiTheme="majorHAnsi" w:hAnsiTheme="majorHAnsi" w:cs="Arial"/>
              </w:rPr>
              <w:t>m</w:t>
            </w:r>
            <w:r w:rsidR="00F6581D">
              <w:rPr>
                <w:rFonts w:asciiTheme="majorHAnsi" w:hAnsiTheme="majorHAnsi" w:cs="Arial"/>
              </w:rPr>
              <w:t xml:space="preserve"> kraji</w:t>
            </w:r>
          </w:p>
        </w:tc>
        <w:tc>
          <w:tcPr>
            <w:tcW w:w="1985" w:type="dxa"/>
          </w:tcPr>
          <w:p w:rsidR="00D27182" w:rsidRPr="005D35E5" w:rsidRDefault="00F6581D" w:rsidP="00F9255E">
            <w:pPr>
              <w:tabs>
                <w:tab w:val="left" w:pos="2085"/>
              </w:tabs>
              <w:jc w:val="both"/>
              <w:rPr>
                <w:rFonts w:asciiTheme="majorHAnsi" w:hAnsiTheme="majorHAnsi" w:cs="Arial"/>
              </w:rPr>
            </w:pPr>
            <w:r>
              <w:rPr>
                <w:rFonts w:asciiTheme="majorHAnsi" w:hAnsiTheme="majorHAnsi" w:cs="Arial"/>
              </w:rPr>
              <w:t>Organizační změny</w:t>
            </w:r>
          </w:p>
        </w:tc>
        <w:tc>
          <w:tcPr>
            <w:tcW w:w="1275" w:type="dxa"/>
          </w:tcPr>
          <w:p w:rsidR="00D27182"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6D295E" w:rsidRPr="005D35E5" w:rsidTr="00A14FAD">
        <w:tc>
          <w:tcPr>
            <w:tcW w:w="896" w:type="dxa"/>
          </w:tcPr>
          <w:p w:rsidR="006D295E" w:rsidRDefault="006D295E"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6D295E" w:rsidRDefault="006D295E" w:rsidP="00F9255E">
            <w:pPr>
              <w:tabs>
                <w:tab w:val="left" w:pos="2085"/>
              </w:tabs>
              <w:jc w:val="both"/>
              <w:rPr>
                <w:rFonts w:asciiTheme="majorHAnsi" w:hAnsiTheme="majorHAnsi" w:cs="Arial"/>
              </w:rPr>
            </w:pPr>
            <w:r>
              <w:rPr>
                <w:rFonts w:asciiTheme="majorHAnsi" w:hAnsiTheme="majorHAnsi" w:cs="Arial"/>
              </w:rPr>
              <w:t>10</w:t>
            </w:r>
          </w:p>
        </w:tc>
        <w:tc>
          <w:tcPr>
            <w:tcW w:w="2693" w:type="dxa"/>
          </w:tcPr>
          <w:p w:rsidR="006D295E" w:rsidRDefault="006D295E" w:rsidP="00671F54">
            <w:pPr>
              <w:tabs>
                <w:tab w:val="left" w:pos="2085"/>
              </w:tabs>
              <w:rPr>
                <w:rFonts w:asciiTheme="majorHAnsi" w:hAnsiTheme="majorHAnsi" w:cs="Arial"/>
              </w:rPr>
            </w:pPr>
            <w:r>
              <w:rPr>
                <w:rFonts w:asciiTheme="majorHAnsi" w:hAnsiTheme="majorHAnsi" w:cs="Arial"/>
              </w:rPr>
              <w:t>Doplnění informace o revizi Podmínek</w:t>
            </w:r>
          </w:p>
        </w:tc>
        <w:tc>
          <w:tcPr>
            <w:tcW w:w="1985" w:type="dxa"/>
          </w:tcPr>
          <w:p w:rsidR="006D295E" w:rsidRDefault="006D295E" w:rsidP="00576967">
            <w:pPr>
              <w:tabs>
                <w:tab w:val="left" w:pos="2085"/>
              </w:tabs>
              <w:rPr>
                <w:rFonts w:asciiTheme="majorHAnsi" w:hAnsiTheme="majorHAnsi" w:cs="Arial"/>
              </w:rPr>
            </w:pPr>
            <w:r>
              <w:rPr>
                <w:rFonts w:asciiTheme="majorHAnsi" w:hAnsiTheme="majorHAnsi" w:cs="Arial"/>
              </w:rPr>
              <w:t>Upřesnění dle aktualizovaných obecných postupů</w:t>
            </w:r>
          </w:p>
        </w:tc>
        <w:tc>
          <w:tcPr>
            <w:tcW w:w="1275" w:type="dxa"/>
          </w:tcPr>
          <w:p w:rsidR="006D295E" w:rsidRDefault="006D295E" w:rsidP="00F9255E">
            <w:pPr>
              <w:tabs>
                <w:tab w:val="left" w:pos="2085"/>
              </w:tabs>
              <w:jc w:val="both"/>
              <w:rPr>
                <w:rFonts w:asciiTheme="majorHAnsi" w:hAnsiTheme="majorHAnsi" w:cs="Arial"/>
              </w:rPr>
            </w:pPr>
            <w:r>
              <w:rPr>
                <w:rFonts w:asciiTheme="majorHAnsi" w:hAnsiTheme="majorHAnsi" w:cs="Arial"/>
              </w:rPr>
              <w:t>J.  Vejsadová</w:t>
            </w:r>
          </w:p>
        </w:tc>
        <w:tc>
          <w:tcPr>
            <w:tcW w:w="1134" w:type="dxa"/>
          </w:tcPr>
          <w:p w:rsidR="006D295E" w:rsidRDefault="00410C75" w:rsidP="00410C75">
            <w:pPr>
              <w:tabs>
                <w:tab w:val="left" w:pos="2085"/>
              </w:tabs>
              <w:rPr>
                <w:rStyle w:val="Odkaznakoment"/>
              </w:rPr>
            </w:pPr>
            <w:r>
              <w:rPr>
                <w:rFonts w:asciiTheme="majorHAnsi" w:hAnsiTheme="majorHAnsi" w:cs="Arial"/>
                <w:lang w:val="cs-CZ"/>
              </w:rPr>
              <w:t>26. 2. 2016</w:t>
            </w:r>
          </w:p>
        </w:tc>
      </w:tr>
      <w:tr w:rsidR="00541129" w:rsidRPr="005D35E5" w:rsidTr="00A14FAD">
        <w:tc>
          <w:tcPr>
            <w:tcW w:w="896" w:type="dxa"/>
          </w:tcPr>
          <w:p w:rsidR="00541129" w:rsidRDefault="00541129"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541129" w:rsidRDefault="00541129" w:rsidP="00F9255E">
            <w:pPr>
              <w:tabs>
                <w:tab w:val="left" w:pos="2085"/>
              </w:tabs>
              <w:jc w:val="both"/>
              <w:rPr>
                <w:rFonts w:asciiTheme="majorHAnsi" w:hAnsiTheme="majorHAnsi" w:cs="Arial"/>
              </w:rPr>
            </w:pPr>
            <w:r>
              <w:rPr>
                <w:rFonts w:asciiTheme="majorHAnsi" w:hAnsiTheme="majorHAnsi" w:cs="Arial"/>
              </w:rPr>
              <w:t>4.1</w:t>
            </w:r>
          </w:p>
        </w:tc>
        <w:tc>
          <w:tcPr>
            <w:tcW w:w="2693" w:type="dxa"/>
          </w:tcPr>
          <w:p w:rsidR="00541129" w:rsidRPr="00431946" w:rsidRDefault="00943C26" w:rsidP="000F3566">
            <w:pPr>
              <w:pBdr>
                <w:top w:val="single" w:sz="4" w:space="1" w:color="auto"/>
                <w:right w:val="single" w:sz="4" w:space="4" w:color="auto"/>
              </w:pBdr>
              <w:rPr>
                <w:rFonts w:cs="Arial"/>
              </w:rPr>
            </w:pPr>
            <w:r>
              <w:rPr>
                <w:rFonts w:cs="Arial"/>
              </w:rPr>
              <w:t xml:space="preserve">Finanční analýza není zpracována, pokud celkové způsobilé výdaje nepřekročí 5 mil. </w:t>
            </w:r>
            <w:r>
              <w:rPr>
                <w:rFonts w:cs="Arial"/>
              </w:rPr>
              <w:lastRenderedPageBreak/>
              <w:t>Kč.</w:t>
            </w:r>
          </w:p>
        </w:tc>
        <w:tc>
          <w:tcPr>
            <w:tcW w:w="1985" w:type="dxa"/>
          </w:tcPr>
          <w:p w:rsidR="00541129" w:rsidRDefault="00671F54" w:rsidP="00576967">
            <w:pPr>
              <w:tabs>
                <w:tab w:val="left" w:pos="2085"/>
              </w:tabs>
              <w:rPr>
                <w:rFonts w:asciiTheme="majorHAnsi" w:hAnsiTheme="majorHAnsi" w:cs="Arial"/>
              </w:rPr>
            </w:pPr>
            <w:r>
              <w:rPr>
                <w:rFonts w:asciiTheme="majorHAnsi" w:hAnsiTheme="majorHAnsi" w:cs="Arial"/>
              </w:rPr>
              <w:lastRenderedPageBreak/>
              <w:t>Zjednodušení povinností pro projekty do 5 mil. Kč</w:t>
            </w:r>
          </w:p>
        </w:tc>
        <w:tc>
          <w:tcPr>
            <w:tcW w:w="1275" w:type="dxa"/>
          </w:tcPr>
          <w:p w:rsidR="00541129" w:rsidRDefault="00671F54" w:rsidP="00F9255E">
            <w:pPr>
              <w:tabs>
                <w:tab w:val="left" w:pos="2085"/>
              </w:tabs>
              <w:jc w:val="both"/>
              <w:rPr>
                <w:rFonts w:asciiTheme="majorHAnsi" w:hAnsiTheme="majorHAnsi" w:cs="Arial"/>
              </w:rPr>
            </w:pPr>
            <w:r>
              <w:rPr>
                <w:rFonts w:asciiTheme="majorHAnsi" w:hAnsiTheme="majorHAnsi" w:cs="Arial"/>
              </w:rPr>
              <w:t>H.  Čikarová</w:t>
            </w:r>
          </w:p>
        </w:tc>
        <w:tc>
          <w:tcPr>
            <w:tcW w:w="1134" w:type="dxa"/>
          </w:tcPr>
          <w:p w:rsidR="00541129" w:rsidRDefault="00410C75" w:rsidP="00410C75">
            <w:pPr>
              <w:tabs>
                <w:tab w:val="left" w:pos="2085"/>
              </w:tabs>
              <w:rPr>
                <w:rStyle w:val="Odkaznakoment"/>
              </w:rPr>
            </w:pPr>
            <w:r>
              <w:rPr>
                <w:rFonts w:asciiTheme="majorHAnsi" w:hAnsiTheme="majorHAnsi" w:cs="Arial"/>
                <w:lang w:val="cs-CZ"/>
              </w:rPr>
              <w:t>26. 2. 2016</w:t>
            </w:r>
          </w:p>
        </w:tc>
      </w:tr>
      <w:tr w:rsidR="00D27182" w:rsidRPr="005D35E5" w:rsidTr="00A14FAD">
        <w:tc>
          <w:tcPr>
            <w:tcW w:w="896" w:type="dxa"/>
          </w:tcPr>
          <w:p w:rsidR="00D27182" w:rsidRPr="005D35E5" w:rsidRDefault="008165B6" w:rsidP="00F9255E">
            <w:pPr>
              <w:tabs>
                <w:tab w:val="left" w:pos="2085"/>
              </w:tabs>
              <w:jc w:val="both"/>
              <w:rPr>
                <w:rFonts w:asciiTheme="majorHAnsi" w:hAnsiTheme="majorHAnsi" w:cs="Arial"/>
              </w:rPr>
            </w:pPr>
            <w:r>
              <w:rPr>
                <w:rFonts w:asciiTheme="majorHAnsi" w:hAnsiTheme="majorHAnsi" w:cs="Arial"/>
              </w:rPr>
              <w:lastRenderedPageBreak/>
              <w:t>1</w:t>
            </w:r>
          </w:p>
        </w:tc>
        <w:tc>
          <w:tcPr>
            <w:tcW w:w="1197" w:type="dxa"/>
          </w:tcPr>
          <w:p w:rsidR="00D27182" w:rsidRPr="005D35E5" w:rsidRDefault="008165B6" w:rsidP="00F9255E">
            <w:pPr>
              <w:tabs>
                <w:tab w:val="left" w:pos="2085"/>
              </w:tabs>
              <w:jc w:val="both"/>
              <w:rPr>
                <w:rFonts w:asciiTheme="majorHAnsi" w:hAnsiTheme="majorHAnsi" w:cs="Arial"/>
              </w:rPr>
            </w:pPr>
            <w:r>
              <w:rPr>
                <w:rFonts w:asciiTheme="majorHAnsi" w:hAnsiTheme="majorHAnsi" w:cs="Arial"/>
              </w:rPr>
              <w:t>příloha č. 2</w:t>
            </w:r>
          </w:p>
        </w:tc>
        <w:tc>
          <w:tcPr>
            <w:tcW w:w="2693" w:type="dxa"/>
          </w:tcPr>
          <w:p w:rsidR="00D27182" w:rsidRPr="005D35E5" w:rsidRDefault="008165B6" w:rsidP="00431946">
            <w:pPr>
              <w:tabs>
                <w:tab w:val="left" w:pos="2085"/>
              </w:tabs>
              <w:rPr>
                <w:rFonts w:asciiTheme="majorHAnsi" w:hAnsiTheme="majorHAnsi" w:cs="Arial"/>
              </w:rPr>
            </w:pPr>
            <w:r>
              <w:rPr>
                <w:rFonts w:asciiTheme="majorHAnsi" w:hAnsiTheme="majorHAnsi" w:cs="Arial"/>
              </w:rPr>
              <w:t>Doplnění povinnosti naplnění indikátoru 3 61 11 ve vazební tabulce pro projekty instalace systému nuceného větrání se zpětnými získáváním tepla v bytových domech, které byly vytápěny vlastním spalovacím zdrojem tepla</w:t>
            </w:r>
          </w:p>
        </w:tc>
        <w:tc>
          <w:tcPr>
            <w:tcW w:w="1985" w:type="dxa"/>
          </w:tcPr>
          <w:p w:rsidR="00D27182" w:rsidRPr="005D35E5" w:rsidRDefault="00687607" w:rsidP="00431946">
            <w:pPr>
              <w:tabs>
                <w:tab w:val="left" w:pos="2085"/>
              </w:tabs>
              <w:rPr>
                <w:rFonts w:asciiTheme="majorHAnsi" w:hAnsiTheme="majorHAnsi" w:cs="Arial"/>
              </w:rPr>
            </w:pPr>
            <w:r>
              <w:rPr>
                <w:rFonts w:asciiTheme="majorHAnsi" w:hAnsiTheme="majorHAnsi" w:cs="Arial"/>
              </w:rPr>
              <w:t>Zjednodušení postupů v souladu s jednotným metodickým prostředím</w:t>
            </w:r>
          </w:p>
        </w:tc>
        <w:tc>
          <w:tcPr>
            <w:tcW w:w="1275" w:type="dxa"/>
          </w:tcPr>
          <w:p w:rsidR="00D27182" w:rsidRPr="005D35E5" w:rsidRDefault="00BF696D" w:rsidP="00F9255E">
            <w:pPr>
              <w:tabs>
                <w:tab w:val="left" w:pos="2085"/>
              </w:tabs>
              <w:jc w:val="both"/>
              <w:rPr>
                <w:rFonts w:asciiTheme="majorHAnsi" w:hAnsiTheme="majorHAnsi" w:cs="Arial"/>
              </w:rPr>
            </w:pPr>
            <w:r w:rsidRPr="00A14FAD">
              <w:rPr>
                <w:rFonts w:asciiTheme="majorHAnsi" w:hAnsiTheme="majorHAnsi" w:cs="Arial"/>
                <w:sz w:val="23"/>
                <w:szCs w:val="23"/>
                <w:lang w:val="cs-CZ"/>
              </w:rPr>
              <w:t>J.</w:t>
            </w:r>
            <w:r>
              <w:rPr>
                <w:rFonts w:asciiTheme="majorHAnsi" w:hAnsiTheme="majorHAnsi" w:cs="Arial"/>
                <w:lang w:val="cs-CZ"/>
              </w:rPr>
              <w:t xml:space="preserve"> </w:t>
            </w:r>
            <w:r w:rsidRPr="00A14FAD">
              <w:rPr>
                <w:rFonts w:asciiTheme="majorHAnsi" w:hAnsiTheme="majorHAnsi" w:cs="Arial"/>
                <w:sz w:val="23"/>
                <w:szCs w:val="23"/>
                <w:lang w:val="cs-CZ"/>
              </w:rPr>
              <w:t>Heřmánek</w:t>
            </w:r>
          </w:p>
        </w:tc>
        <w:tc>
          <w:tcPr>
            <w:tcW w:w="1134" w:type="dxa"/>
          </w:tcPr>
          <w:p w:rsidR="00D27182" w:rsidRDefault="00410C75" w:rsidP="00410C75">
            <w:pPr>
              <w:tabs>
                <w:tab w:val="left" w:pos="2085"/>
              </w:tabs>
              <w:rPr>
                <w:rStyle w:val="Odkaznakoment"/>
              </w:rPr>
            </w:pPr>
            <w:r>
              <w:rPr>
                <w:rFonts w:asciiTheme="majorHAnsi" w:hAnsiTheme="majorHAnsi" w:cs="Arial"/>
                <w:lang w:val="cs-CZ"/>
              </w:rPr>
              <w:t>26. 2. 2016</w:t>
            </w:r>
          </w:p>
        </w:tc>
      </w:tr>
      <w:tr w:rsidR="00982C17" w:rsidRPr="005D35E5" w:rsidTr="00A14FAD">
        <w:tc>
          <w:tcPr>
            <w:tcW w:w="896" w:type="dxa"/>
          </w:tcPr>
          <w:p w:rsidR="00982C17" w:rsidRDefault="00982C17"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982C17" w:rsidRDefault="00982C17" w:rsidP="00F9255E">
            <w:pPr>
              <w:tabs>
                <w:tab w:val="left" w:pos="2085"/>
              </w:tabs>
              <w:jc w:val="both"/>
              <w:rPr>
                <w:rFonts w:asciiTheme="majorHAnsi" w:hAnsiTheme="majorHAnsi" w:cs="Arial"/>
              </w:rPr>
            </w:pPr>
            <w:r>
              <w:rPr>
                <w:rFonts w:asciiTheme="majorHAnsi" w:hAnsiTheme="majorHAnsi" w:cs="Arial"/>
              </w:rPr>
              <w:t>příloha č. 2</w:t>
            </w:r>
          </w:p>
        </w:tc>
        <w:tc>
          <w:tcPr>
            <w:tcW w:w="2693" w:type="dxa"/>
          </w:tcPr>
          <w:p w:rsidR="00982C17" w:rsidRDefault="00BF696D" w:rsidP="00431946">
            <w:pPr>
              <w:tabs>
                <w:tab w:val="left" w:pos="2085"/>
              </w:tabs>
              <w:rPr>
                <w:rFonts w:asciiTheme="majorHAnsi" w:hAnsiTheme="majorHAnsi" w:cs="Arial"/>
              </w:rPr>
            </w:pPr>
            <w:r>
              <w:rPr>
                <w:rFonts w:asciiTheme="majorHAnsi" w:hAnsiTheme="majorHAnsi" w:cs="Arial"/>
              </w:rPr>
              <w:t xml:space="preserve">Změna vykazování indikátoru 3 23 00 Snížení konečné spotřeby energie u podpořených subjektů </w:t>
            </w:r>
          </w:p>
        </w:tc>
        <w:tc>
          <w:tcPr>
            <w:tcW w:w="1985" w:type="dxa"/>
          </w:tcPr>
          <w:p w:rsidR="00982C17" w:rsidRDefault="00943C26" w:rsidP="00431946">
            <w:pPr>
              <w:tabs>
                <w:tab w:val="left" w:pos="2085"/>
              </w:tabs>
              <w:rPr>
                <w:rFonts w:asciiTheme="majorHAnsi" w:hAnsiTheme="majorHAnsi" w:cs="Arial"/>
              </w:rPr>
            </w:pPr>
            <w:r>
              <w:rPr>
                <w:rFonts w:asciiTheme="majorHAnsi" w:hAnsiTheme="majorHAnsi" w:cs="Arial"/>
              </w:rPr>
              <w:t>Upřesnění na základě dotazů ze seminářů</w:t>
            </w:r>
          </w:p>
        </w:tc>
        <w:tc>
          <w:tcPr>
            <w:tcW w:w="1275" w:type="dxa"/>
          </w:tcPr>
          <w:p w:rsidR="00982C17" w:rsidRDefault="00BF696D" w:rsidP="00BF696D">
            <w:pPr>
              <w:tabs>
                <w:tab w:val="left" w:pos="2085"/>
              </w:tabs>
              <w:jc w:val="both"/>
              <w:rPr>
                <w:rFonts w:asciiTheme="majorHAnsi" w:hAnsiTheme="majorHAnsi" w:cs="Arial"/>
              </w:rPr>
            </w:pPr>
            <w:r w:rsidRPr="00A14FAD">
              <w:rPr>
                <w:rFonts w:asciiTheme="majorHAnsi" w:hAnsiTheme="majorHAnsi" w:cs="Arial"/>
                <w:sz w:val="23"/>
                <w:szCs w:val="23"/>
              </w:rPr>
              <w:t>J</w:t>
            </w:r>
            <w:r>
              <w:rPr>
                <w:rFonts w:asciiTheme="majorHAnsi" w:hAnsiTheme="majorHAnsi" w:cs="Arial"/>
              </w:rPr>
              <w:t xml:space="preserve">. </w:t>
            </w:r>
            <w:r w:rsidRPr="00A14FAD">
              <w:rPr>
                <w:rFonts w:asciiTheme="majorHAnsi" w:hAnsiTheme="majorHAnsi" w:cs="Arial"/>
                <w:sz w:val="23"/>
                <w:szCs w:val="23"/>
              </w:rPr>
              <w:t>Heřmánek</w:t>
            </w:r>
          </w:p>
        </w:tc>
        <w:tc>
          <w:tcPr>
            <w:tcW w:w="1134" w:type="dxa"/>
          </w:tcPr>
          <w:p w:rsidR="00A14FAD" w:rsidRDefault="00BF696D" w:rsidP="00410C75">
            <w:pPr>
              <w:tabs>
                <w:tab w:val="left" w:pos="2085"/>
              </w:tabs>
              <w:rPr>
                <w:rFonts w:asciiTheme="majorHAnsi" w:hAnsiTheme="majorHAnsi" w:cs="Arial"/>
              </w:rPr>
            </w:pPr>
            <w:r>
              <w:rPr>
                <w:rFonts w:asciiTheme="majorHAnsi" w:hAnsiTheme="majorHAnsi" w:cs="Arial"/>
              </w:rPr>
              <w:t>26.</w:t>
            </w:r>
            <w:r w:rsidR="00A14FAD">
              <w:rPr>
                <w:rFonts w:asciiTheme="majorHAnsi" w:hAnsiTheme="majorHAnsi" w:cs="Arial"/>
              </w:rPr>
              <w:t xml:space="preserve"> </w:t>
            </w:r>
            <w:r>
              <w:rPr>
                <w:rFonts w:asciiTheme="majorHAnsi" w:hAnsiTheme="majorHAnsi" w:cs="Arial"/>
              </w:rPr>
              <w:t>2.</w:t>
            </w:r>
          </w:p>
          <w:p w:rsidR="00982C17" w:rsidRDefault="00BF696D" w:rsidP="00410C75">
            <w:pPr>
              <w:tabs>
                <w:tab w:val="left" w:pos="2085"/>
              </w:tabs>
              <w:rPr>
                <w:rFonts w:asciiTheme="majorHAnsi" w:hAnsiTheme="majorHAnsi" w:cs="Arial"/>
              </w:rPr>
            </w:pPr>
            <w:r>
              <w:rPr>
                <w:rFonts w:asciiTheme="majorHAnsi" w:hAnsiTheme="majorHAnsi" w:cs="Arial"/>
              </w:rPr>
              <w:t>2016</w:t>
            </w:r>
          </w:p>
        </w:tc>
      </w:tr>
      <w:tr w:rsidR="008165B6" w:rsidRPr="005D35E5" w:rsidTr="00A14FAD">
        <w:tc>
          <w:tcPr>
            <w:tcW w:w="896" w:type="dxa"/>
          </w:tcPr>
          <w:p w:rsidR="008165B6" w:rsidRPr="005D35E5" w:rsidRDefault="008165B6"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8165B6" w:rsidRPr="005D35E5" w:rsidRDefault="008165B6" w:rsidP="00F9255E">
            <w:pPr>
              <w:tabs>
                <w:tab w:val="left" w:pos="2085"/>
              </w:tabs>
              <w:jc w:val="both"/>
              <w:rPr>
                <w:rFonts w:asciiTheme="majorHAnsi" w:hAnsiTheme="majorHAnsi" w:cs="Arial"/>
              </w:rPr>
            </w:pPr>
            <w:r>
              <w:rPr>
                <w:rFonts w:asciiTheme="majorHAnsi" w:hAnsiTheme="majorHAnsi" w:cs="Arial"/>
              </w:rPr>
              <w:t>příloha č. 3</w:t>
            </w:r>
          </w:p>
        </w:tc>
        <w:tc>
          <w:tcPr>
            <w:tcW w:w="2693" w:type="dxa"/>
          </w:tcPr>
          <w:p w:rsidR="008165B6" w:rsidRPr="005D35E5" w:rsidRDefault="008165B6" w:rsidP="00F9255E">
            <w:pPr>
              <w:tabs>
                <w:tab w:val="left" w:pos="2085"/>
              </w:tabs>
              <w:jc w:val="both"/>
              <w:rPr>
                <w:rFonts w:asciiTheme="majorHAnsi" w:hAnsiTheme="majorHAnsi" w:cs="Arial"/>
              </w:rPr>
            </w:pPr>
            <w:r>
              <w:rPr>
                <w:rFonts w:asciiTheme="majorHAnsi" w:hAnsiTheme="majorHAnsi" w:cs="Arial"/>
              </w:rPr>
              <w:t>Doplnění kap. 5 Stavební řízení</w:t>
            </w:r>
          </w:p>
        </w:tc>
        <w:tc>
          <w:tcPr>
            <w:tcW w:w="1985" w:type="dxa"/>
          </w:tcPr>
          <w:p w:rsidR="008165B6" w:rsidRPr="005D35E5" w:rsidRDefault="00B73C8D" w:rsidP="00E8320D">
            <w:pPr>
              <w:tabs>
                <w:tab w:val="left" w:pos="2085"/>
              </w:tabs>
              <w:rPr>
                <w:rFonts w:asciiTheme="majorHAnsi" w:hAnsiTheme="majorHAnsi" w:cs="Arial"/>
              </w:rPr>
            </w:pPr>
            <w:r>
              <w:rPr>
                <w:rFonts w:asciiTheme="majorHAnsi" w:hAnsiTheme="majorHAnsi" w:cs="Arial"/>
              </w:rPr>
              <w:t>Nutnost uvedení povinností vzhledem k zákonu č. 183/2006 Sb., stavební zákon</w:t>
            </w:r>
          </w:p>
        </w:tc>
        <w:tc>
          <w:tcPr>
            <w:tcW w:w="1275" w:type="dxa"/>
          </w:tcPr>
          <w:p w:rsidR="008165B6"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8165B6" w:rsidRDefault="00410C75" w:rsidP="00410C75">
            <w:pPr>
              <w:tabs>
                <w:tab w:val="left" w:pos="2085"/>
              </w:tabs>
              <w:rPr>
                <w:rStyle w:val="Odkaznakoment"/>
              </w:rPr>
            </w:pPr>
            <w:r>
              <w:rPr>
                <w:rFonts w:asciiTheme="majorHAnsi" w:hAnsiTheme="majorHAnsi" w:cs="Arial"/>
                <w:lang w:val="cs-CZ"/>
              </w:rPr>
              <w:t>26. 2. 2016</w:t>
            </w:r>
          </w:p>
        </w:tc>
      </w:tr>
      <w:tr w:rsidR="008165B6" w:rsidRPr="005D35E5" w:rsidTr="00A14FAD">
        <w:tc>
          <w:tcPr>
            <w:tcW w:w="896" w:type="dxa"/>
          </w:tcPr>
          <w:p w:rsidR="008165B6" w:rsidRPr="005D35E5" w:rsidRDefault="008165B6" w:rsidP="00F9255E">
            <w:pPr>
              <w:tabs>
                <w:tab w:val="left" w:pos="2085"/>
              </w:tabs>
              <w:jc w:val="both"/>
              <w:rPr>
                <w:rFonts w:asciiTheme="majorHAnsi" w:hAnsiTheme="majorHAnsi" w:cs="Arial"/>
              </w:rPr>
            </w:pPr>
            <w:r>
              <w:rPr>
                <w:rFonts w:asciiTheme="majorHAnsi" w:hAnsiTheme="majorHAnsi" w:cs="Arial"/>
              </w:rPr>
              <w:t>1</w:t>
            </w:r>
          </w:p>
        </w:tc>
        <w:tc>
          <w:tcPr>
            <w:tcW w:w="1197" w:type="dxa"/>
          </w:tcPr>
          <w:p w:rsidR="008165B6" w:rsidRPr="005D35E5" w:rsidRDefault="008165B6" w:rsidP="00F9255E">
            <w:pPr>
              <w:tabs>
                <w:tab w:val="left" w:pos="2085"/>
              </w:tabs>
              <w:jc w:val="both"/>
              <w:rPr>
                <w:rFonts w:asciiTheme="majorHAnsi" w:hAnsiTheme="majorHAnsi" w:cs="Arial"/>
              </w:rPr>
            </w:pPr>
            <w:r>
              <w:rPr>
                <w:rFonts w:asciiTheme="majorHAnsi" w:hAnsiTheme="majorHAnsi" w:cs="Arial"/>
              </w:rPr>
              <w:t>příloha č. 3</w:t>
            </w:r>
          </w:p>
        </w:tc>
        <w:tc>
          <w:tcPr>
            <w:tcW w:w="2693" w:type="dxa"/>
          </w:tcPr>
          <w:p w:rsidR="008165B6" w:rsidRPr="005D35E5" w:rsidRDefault="008165B6" w:rsidP="00E8320D">
            <w:pPr>
              <w:tabs>
                <w:tab w:val="left" w:pos="2085"/>
              </w:tabs>
              <w:rPr>
                <w:rFonts w:asciiTheme="majorHAnsi" w:hAnsiTheme="majorHAnsi" w:cs="Arial"/>
              </w:rPr>
            </w:pPr>
            <w:r>
              <w:rPr>
                <w:rFonts w:asciiTheme="majorHAnsi" w:hAnsiTheme="majorHAnsi" w:cs="Arial"/>
              </w:rPr>
              <w:t>Doplnění kap. 12 Průzkum trhu</w:t>
            </w:r>
          </w:p>
        </w:tc>
        <w:tc>
          <w:tcPr>
            <w:tcW w:w="1985" w:type="dxa"/>
          </w:tcPr>
          <w:p w:rsidR="008165B6" w:rsidRPr="005D35E5" w:rsidRDefault="00B73C8D" w:rsidP="00E8320D">
            <w:pPr>
              <w:tabs>
                <w:tab w:val="left" w:pos="2085"/>
              </w:tabs>
              <w:rPr>
                <w:rFonts w:asciiTheme="majorHAnsi" w:hAnsiTheme="majorHAnsi" w:cs="Arial"/>
              </w:rPr>
            </w:pPr>
            <w:r>
              <w:rPr>
                <w:rFonts w:asciiTheme="majorHAnsi" w:hAnsiTheme="majorHAnsi" w:cs="Arial"/>
              </w:rPr>
              <w:t>Nutnost popsat stanovení ceny u položek, které nejsou uvedeny v jednotné cenové soustavě</w:t>
            </w:r>
          </w:p>
        </w:tc>
        <w:tc>
          <w:tcPr>
            <w:tcW w:w="1275" w:type="dxa"/>
          </w:tcPr>
          <w:p w:rsidR="008165B6" w:rsidRPr="005D35E5" w:rsidRDefault="00B73C8D" w:rsidP="00F9255E">
            <w:pPr>
              <w:tabs>
                <w:tab w:val="left" w:pos="2085"/>
              </w:tabs>
              <w:jc w:val="both"/>
              <w:rPr>
                <w:rFonts w:asciiTheme="majorHAnsi" w:hAnsiTheme="majorHAnsi" w:cs="Arial"/>
              </w:rPr>
            </w:pPr>
            <w:r>
              <w:rPr>
                <w:rFonts w:asciiTheme="majorHAnsi" w:hAnsiTheme="majorHAnsi" w:cs="Arial"/>
                <w:lang w:val="cs-CZ"/>
              </w:rPr>
              <w:t>M. Krob</w:t>
            </w:r>
          </w:p>
        </w:tc>
        <w:tc>
          <w:tcPr>
            <w:tcW w:w="1134" w:type="dxa"/>
          </w:tcPr>
          <w:p w:rsidR="008165B6" w:rsidRDefault="00410C75" w:rsidP="00410C75">
            <w:pPr>
              <w:tabs>
                <w:tab w:val="left" w:pos="2085"/>
              </w:tabs>
              <w:rPr>
                <w:rStyle w:val="Odkaznakoment"/>
              </w:rPr>
            </w:pPr>
            <w:r>
              <w:rPr>
                <w:rFonts w:asciiTheme="majorHAnsi" w:hAnsiTheme="majorHAnsi" w:cs="Arial"/>
                <w:lang w:val="cs-CZ"/>
              </w:rPr>
              <w:t>26. 2. 2016</w:t>
            </w:r>
          </w:p>
        </w:tc>
      </w:tr>
    </w:tbl>
    <w:p w:rsidR="005D35E5" w:rsidRDefault="005D35E5"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657B1B" w:rsidRDefault="00657B1B" w:rsidP="00F9255E">
      <w:pPr>
        <w:tabs>
          <w:tab w:val="left" w:pos="2085"/>
        </w:tabs>
        <w:jc w:val="both"/>
        <w:rPr>
          <w:rFonts w:asciiTheme="majorHAnsi" w:hAnsiTheme="majorHAnsi" w:cs="Arial"/>
        </w:rPr>
      </w:pPr>
    </w:p>
    <w:p w:rsidR="00F64B9F" w:rsidRDefault="00F64B9F">
      <w:pPr>
        <w:spacing w:line="276" w:lineRule="auto"/>
        <w:rPr>
          <w:rFonts w:asciiTheme="majorHAnsi" w:hAnsiTheme="majorHAnsi" w:cs="Arial"/>
        </w:rPr>
      </w:pPr>
      <w:r>
        <w:rPr>
          <w:rFonts w:asciiTheme="majorHAnsi" w:hAnsiTheme="majorHAnsi" w:cs="Arial"/>
        </w:rPr>
        <w:br w:type="page"/>
      </w:r>
    </w:p>
    <w:p w:rsidR="00BD3278" w:rsidRPr="00BD1F79" w:rsidRDefault="00BD3278" w:rsidP="00F573DB">
      <w:pPr>
        <w:pStyle w:val="Pravidla1"/>
        <w:numPr>
          <w:ilvl w:val="0"/>
          <w:numId w:val="60"/>
        </w:numPr>
        <w:ind w:left="360"/>
        <w:jc w:val="both"/>
        <w:rPr>
          <w:rFonts w:ascii="Cambria" w:eastAsia="Times New Roman" w:hAnsi="Cambria" w:cs="Times New Roman"/>
          <w:color w:val="000000"/>
        </w:rPr>
      </w:pPr>
      <w:bookmarkStart w:id="2" w:name="_Toc425264429"/>
      <w:bookmarkStart w:id="3" w:name="_Toc444247645"/>
      <w:r w:rsidRPr="00F573DB">
        <w:rPr>
          <w:rFonts w:ascii="Cambria" w:eastAsia="Times New Roman" w:hAnsi="Cambria" w:cs="Times New Roman"/>
          <w:color w:val="000000"/>
        </w:rPr>
        <w:lastRenderedPageBreak/>
        <w:t>Úvod</w:t>
      </w:r>
      <w:bookmarkEnd w:id="2"/>
      <w:bookmarkEnd w:id="3"/>
    </w:p>
    <w:p w:rsidR="00BD3278" w:rsidRDefault="00BD3278" w:rsidP="00BD3278"/>
    <w:p w:rsidR="00BD3278" w:rsidRDefault="00BD3278" w:rsidP="00BD3278">
      <w:pPr>
        <w:jc w:val="both"/>
      </w:pPr>
      <w:r>
        <w:t xml:space="preserve">Pravidla pro žadatele a příjemce mají dvě části, Obecná a Specifická pravidla (dále jen „Pravidla“). </w:t>
      </w:r>
      <w:r w:rsidRPr="00DB0899">
        <w:rPr>
          <w:b/>
        </w:rPr>
        <w:t>Oboje jsou pro žadatele a příjemce závazná od data jejich platnosti</w:t>
      </w:r>
      <w:r>
        <w:t>.</w:t>
      </w:r>
    </w:p>
    <w:p w:rsidR="003B403A" w:rsidRDefault="003B403A" w:rsidP="003B403A">
      <w:pPr>
        <w:pBdr>
          <w:top w:val="single" w:sz="4" w:space="1" w:color="auto"/>
          <w:left w:val="single" w:sz="4" w:space="4" w:color="auto"/>
          <w:bottom w:val="single" w:sz="4" w:space="1" w:color="auto"/>
          <w:right w:val="single" w:sz="4" w:space="4" w:color="auto"/>
        </w:pBdr>
        <w:rPr>
          <w:rFonts w:asciiTheme="majorHAnsi" w:hAnsiTheme="majorHAnsi" w:cs="Arial"/>
          <w:b/>
        </w:rPr>
      </w:pPr>
      <w:r>
        <w:rPr>
          <w:rFonts w:cs="Arial"/>
          <w:b/>
        </w:rPr>
        <w:t>UPOZORNĚNÍ</w:t>
      </w:r>
    </w:p>
    <w:p w:rsidR="003B403A" w:rsidRPr="00F50BAD" w:rsidRDefault="003B403A" w:rsidP="000B7C40">
      <w:pPr>
        <w:pBdr>
          <w:top w:val="single" w:sz="4" w:space="1" w:color="auto"/>
          <w:left w:val="single" w:sz="4" w:space="4" w:color="auto"/>
          <w:bottom w:val="single" w:sz="4" w:space="1" w:color="auto"/>
          <w:right w:val="single" w:sz="4" w:space="4" w:color="auto"/>
        </w:pBdr>
        <w:jc w:val="both"/>
        <w:rPr>
          <w:rFonts w:cs="Cambria"/>
          <w:lang w:eastAsia="en-US"/>
        </w:rPr>
      </w:pPr>
      <w:r>
        <w:rPr>
          <w:rFonts w:cs="Arial"/>
          <w:b/>
        </w:rPr>
        <w:t>Není-li v těchto Pravidlech stanoveno jinak, postupují žadatelé a příjemci v souladu s Obecnými pravidly.</w:t>
      </w:r>
    </w:p>
    <w:p w:rsidR="003B403A" w:rsidRPr="003B403A" w:rsidRDefault="003B403A" w:rsidP="000B7C40">
      <w:pPr>
        <w:tabs>
          <w:tab w:val="left" w:pos="0"/>
        </w:tabs>
        <w:jc w:val="both"/>
        <w:rPr>
          <w:rFonts w:cs="Cambria"/>
          <w:lang w:eastAsia="en-US"/>
        </w:rPr>
      </w:pPr>
      <w:r w:rsidRPr="003B403A">
        <w:rPr>
          <w:rFonts w:cs="Cambria"/>
          <w:lang w:eastAsia="en-US"/>
        </w:rPr>
        <w:t>Pravidla mohou být v průběhu realizace IROP aktualizována. O aktualizaci Pravidel</w:t>
      </w:r>
      <w:r w:rsidR="00F165C6">
        <w:rPr>
          <w:rFonts w:cs="Cambria"/>
          <w:lang w:eastAsia="en-US"/>
        </w:rPr>
        <w:t xml:space="preserve"> </w:t>
      </w:r>
      <w:r w:rsidRPr="003B403A">
        <w:rPr>
          <w:rFonts w:cs="Cambria"/>
          <w:lang w:eastAsia="en-US"/>
        </w:rPr>
        <w:t>budou žadatelé a příjemci informováni na internetových stránkách</w:t>
      </w:r>
    </w:p>
    <w:p w:rsidR="003B403A" w:rsidRPr="003B403A" w:rsidRDefault="00150503" w:rsidP="003B403A">
      <w:pPr>
        <w:rPr>
          <w:rFonts w:cs="Cambria"/>
          <w:lang w:eastAsia="en-US"/>
        </w:rPr>
      </w:pPr>
      <w:hyperlink r:id="rId9" w:history="1">
        <w:r w:rsidR="003B403A" w:rsidRPr="00BD5EED">
          <w:rPr>
            <w:rStyle w:val="Hypertextovodkaz"/>
            <w:rFonts w:cs="Cambria"/>
            <w:lang w:eastAsia="en-US"/>
          </w:rPr>
          <w:t>http://www.dotaceEu.cz/cs/Microsites/IROP/Vyzvy-v-IROP</w:t>
        </w:r>
      </w:hyperlink>
      <w:r w:rsidR="003B403A" w:rsidRPr="003B403A">
        <w:rPr>
          <w:rFonts w:cs="Cambria"/>
          <w:lang w:eastAsia="en-US"/>
        </w:rPr>
        <w:t>.</w:t>
      </w:r>
    </w:p>
    <w:p w:rsidR="003B403A" w:rsidRPr="003B403A" w:rsidRDefault="003B403A" w:rsidP="000B7C40">
      <w:pPr>
        <w:jc w:val="both"/>
        <w:rPr>
          <w:rFonts w:cs="Cambria"/>
          <w:lang w:eastAsia="en-US"/>
        </w:rPr>
      </w:pPr>
      <w:r w:rsidRPr="003B403A">
        <w:rPr>
          <w:rFonts w:cs="Cambria"/>
          <w:lang w:eastAsia="en-US"/>
        </w:rPr>
        <w:t>Obecná pravidla vydává Řídicí orgán IROP (dále jen „ŘO IROP“), jsou platná pro všechny výzvy, specifické cíle a typy příjemců. Obecná pravidla jsou</w:t>
      </w:r>
      <w:r w:rsidR="00F165C6">
        <w:rPr>
          <w:rFonts w:cs="Cambria"/>
          <w:lang w:eastAsia="en-US"/>
        </w:rPr>
        <w:t xml:space="preserve"> </w:t>
      </w:r>
      <w:r w:rsidRPr="003B403A">
        <w:rPr>
          <w:rFonts w:cs="Cambria"/>
          <w:lang w:eastAsia="en-US"/>
        </w:rPr>
        <w:t>zveřejněna na webových stránkách</w:t>
      </w:r>
      <w:r w:rsidR="00F165C6">
        <w:rPr>
          <w:rFonts w:cs="Cambria"/>
          <w:lang w:eastAsia="en-US"/>
        </w:rPr>
        <w:t xml:space="preserve"> </w:t>
      </w:r>
      <w:hyperlink r:id="rId10" w:history="1">
        <w:r w:rsidRPr="00BD5EED">
          <w:rPr>
            <w:rStyle w:val="Hypertextovodkaz"/>
            <w:rFonts w:cs="Cambria"/>
            <w:lang w:eastAsia="en-US"/>
          </w:rPr>
          <w:t>http://www.dotaceEu.cz/cs/Microsites/IROP/Vyzvy-v-IROP</w:t>
        </w:r>
      </w:hyperlink>
      <w:r w:rsidRPr="003B403A">
        <w:rPr>
          <w:rFonts w:cs="Cambria"/>
          <w:lang w:eastAsia="en-US"/>
        </w:rPr>
        <w:t>.</w:t>
      </w:r>
    </w:p>
    <w:p w:rsidR="003B403A" w:rsidRPr="003B403A" w:rsidRDefault="003B403A" w:rsidP="003B403A">
      <w:pPr>
        <w:rPr>
          <w:rFonts w:cs="Cambria"/>
          <w:lang w:eastAsia="en-US"/>
        </w:rPr>
      </w:pPr>
      <w:r w:rsidRPr="003B403A">
        <w:rPr>
          <w:rFonts w:cs="Cambria"/>
          <w:lang w:eastAsia="en-US"/>
        </w:rPr>
        <w:t>Obecná pravidla obsahují tyto kapitoly: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Vyhlášení výzvy a předkládání žádosti o podporu</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Hodnocení a výběr projektů</w:t>
      </w:r>
    </w:p>
    <w:p w:rsidR="003B403A" w:rsidRPr="00F165C6" w:rsidRDefault="000110F2" w:rsidP="000B7C40">
      <w:pPr>
        <w:pStyle w:val="Odstavecseseznamem"/>
        <w:numPr>
          <w:ilvl w:val="0"/>
          <w:numId w:val="55"/>
        </w:numPr>
        <w:spacing w:after="0"/>
        <w:rPr>
          <w:rFonts w:cs="Cambria"/>
          <w:lang w:eastAsia="en-US"/>
        </w:rPr>
      </w:pPr>
      <w:r>
        <w:rPr>
          <w:rFonts w:cs="Cambria"/>
          <w:lang w:eastAsia="en-US"/>
        </w:rPr>
        <w:t>Příprava a r</w:t>
      </w:r>
      <w:r w:rsidR="003B403A" w:rsidRPr="00F165C6">
        <w:rPr>
          <w:rFonts w:cs="Cambria"/>
          <w:lang w:eastAsia="en-US"/>
        </w:rPr>
        <w:t>ealizace projektu</w:t>
      </w:r>
    </w:p>
    <w:p w:rsidR="003B403A" w:rsidRPr="00F165C6" w:rsidRDefault="005F2A78" w:rsidP="000B7C40">
      <w:pPr>
        <w:pStyle w:val="Odstavecseseznamem"/>
        <w:numPr>
          <w:ilvl w:val="0"/>
          <w:numId w:val="55"/>
        </w:numPr>
        <w:spacing w:after="0"/>
        <w:rPr>
          <w:rFonts w:cs="Cambria"/>
          <w:lang w:eastAsia="en-US"/>
        </w:rPr>
      </w:pPr>
      <w:r>
        <w:rPr>
          <w:rFonts w:cs="Cambria"/>
          <w:lang w:eastAsia="en-US"/>
        </w:rPr>
        <w:t>Investiční plánování a z</w:t>
      </w:r>
      <w:r w:rsidR="003B403A" w:rsidRPr="00F165C6">
        <w:rPr>
          <w:rFonts w:cs="Cambria"/>
          <w:lang w:eastAsia="en-US"/>
        </w:rPr>
        <w:t>adávání zakázek</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Dodatečné stavební práce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Příjmy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Veřejná podpora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Účetnictví</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Způsobilé výdaje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Přenesená daňová povinnost</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Archivace</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Publicita</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Monitorování projektů</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Indikátory</w:t>
      </w:r>
    </w:p>
    <w:p w:rsidR="003B403A" w:rsidRPr="00F165C6" w:rsidRDefault="003B403A" w:rsidP="000B7C40">
      <w:pPr>
        <w:pStyle w:val="Odstavecseseznamem"/>
        <w:numPr>
          <w:ilvl w:val="0"/>
          <w:numId w:val="55"/>
        </w:numPr>
        <w:spacing w:after="0"/>
        <w:rPr>
          <w:rFonts w:cs="Cambria"/>
          <w:lang w:eastAsia="en-US"/>
        </w:rPr>
      </w:pPr>
      <w:r w:rsidRPr="00F165C6">
        <w:rPr>
          <w:rFonts w:cs="Cambria"/>
          <w:lang w:eastAsia="en-US"/>
        </w:rPr>
        <w:t>Změny v projektu</w:t>
      </w:r>
    </w:p>
    <w:p w:rsidR="003B403A" w:rsidRPr="00840B2F" w:rsidRDefault="003B403A" w:rsidP="000B7C40">
      <w:pPr>
        <w:pStyle w:val="Odstavecseseznamem"/>
        <w:numPr>
          <w:ilvl w:val="0"/>
          <w:numId w:val="55"/>
        </w:numPr>
        <w:spacing w:after="0"/>
        <w:rPr>
          <w:rFonts w:cs="Cambria"/>
          <w:lang w:eastAsia="en-US"/>
        </w:rPr>
      </w:pPr>
      <w:r w:rsidRPr="00F165C6">
        <w:rPr>
          <w:rFonts w:cs="Cambria"/>
          <w:lang w:eastAsia="en-US"/>
        </w:rPr>
        <w:t>Nesrovnalosti, porušení rozpočtové kázně</w:t>
      </w:r>
      <w:r w:rsidR="00C82289">
        <w:rPr>
          <w:rFonts w:cs="Cambria"/>
          <w:lang w:eastAsia="en-US"/>
        </w:rPr>
        <w:t>, porušení právního aktu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Financování</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Odstoupení, ukončení realizace projektu</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Udržitelnost</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Námitky a stížnosti</w:t>
      </w:r>
    </w:p>
    <w:p w:rsidR="003B403A" w:rsidRPr="00787852" w:rsidRDefault="003B403A" w:rsidP="000B7C40">
      <w:pPr>
        <w:pStyle w:val="Odstavecseseznamem"/>
        <w:numPr>
          <w:ilvl w:val="0"/>
          <w:numId w:val="55"/>
        </w:numPr>
        <w:spacing w:after="0"/>
        <w:rPr>
          <w:rFonts w:cs="Cambria"/>
          <w:lang w:eastAsia="en-US"/>
        </w:rPr>
      </w:pPr>
      <w:r w:rsidRPr="00787852">
        <w:rPr>
          <w:rFonts w:cs="Cambria"/>
          <w:lang w:eastAsia="en-US"/>
        </w:rPr>
        <w:t>Kontroly a audity</w:t>
      </w:r>
    </w:p>
    <w:p w:rsidR="003B403A" w:rsidRPr="00787852" w:rsidRDefault="005F2A78" w:rsidP="000B7C40">
      <w:pPr>
        <w:pStyle w:val="Odstavecseseznamem"/>
        <w:numPr>
          <w:ilvl w:val="0"/>
          <w:numId w:val="55"/>
        </w:numPr>
        <w:spacing w:after="0"/>
        <w:rPr>
          <w:rFonts w:cs="Cambria"/>
          <w:lang w:eastAsia="en-US"/>
        </w:rPr>
      </w:pPr>
      <w:r>
        <w:rPr>
          <w:rFonts w:cs="Cambria"/>
          <w:lang w:eastAsia="en-US"/>
        </w:rPr>
        <w:t>Horizontální priority</w:t>
      </w:r>
    </w:p>
    <w:p w:rsidR="003B403A" w:rsidRDefault="003B403A" w:rsidP="000B7C40">
      <w:pPr>
        <w:pStyle w:val="Odstavecseseznamem"/>
        <w:numPr>
          <w:ilvl w:val="0"/>
          <w:numId w:val="55"/>
        </w:numPr>
        <w:spacing w:after="0"/>
        <w:rPr>
          <w:rFonts w:cs="Cambria"/>
          <w:lang w:eastAsia="en-US"/>
        </w:rPr>
      </w:pPr>
      <w:r w:rsidRPr="00787852">
        <w:rPr>
          <w:rFonts w:cs="Cambria"/>
          <w:lang w:eastAsia="en-US"/>
        </w:rPr>
        <w:t xml:space="preserve">Použité pojmy </w:t>
      </w:r>
      <w:r w:rsidR="005F2A78">
        <w:rPr>
          <w:rFonts w:cs="Cambria"/>
          <w:lang w:eastAsia="en-US"/>
        </w:rPr>
        <w:t>a zkratky</w:t>
      </w:r>
    </w:p>
    <w:p w:rsidR="0036171D" w:rsidRDefault="003B403A" w:rsidP="00F573DB">
      <w:pPr>
        <w:pStyle w:val="Odstavecseseznamem"/>
        <w:numPr>
          <w:ilvl w:val="0"/>
          <w:numId w:val="55"/>
        </w:numPr>
        <w:spacing w:after="0"/>
        <w:rPr>
          <w:rFonts w:cs="Cambria"/>
          <w:lang w:eastAsia="en-US"/>
        </w:rPr>
      </w:pPr>
      <w:r w:rsidRPr="00787852">
        <w:rPr>
          <w:rFonts w:cs="Cambria"/>
          <w:lang w:eastAsia="en-US"/>
        </w:rPr>
        <w:t>Právní a metodický rámec</w:t>
      </w:r>
    </w:p>
    <w:p w:rsidR="005F2A78" w:rsidRPr="005F2A78" w:rsidRDefault="005F2A78" w:rsidP="005F2A78">
      <w:pPr>
        <w:pStyle w:val="Odstavecseseznamem"/>
        <w:spacing w:after="0"/>
        <w:rPr>
          <w:rFonts w:cs="Cambria"/>
          <w:lang w:eastAsia="en-US"/>
        </w:rPr>
      </w:pPr>
    </w:p>
    <w:p w:rsidR="0036171D" w:rsidRDefault="003B403A" w:rsidP="00770EFA">
      <w:pPr>
        <w:jc w:val="both"/>
        <w:rPr>
          <w:rFonts w:eastAsia="Times New Roman"/>
          <w:color w:val="000000"/>
        </w:rPr>
      </w:pPr>
      <w:r w:rsidRPr="003B403A">
        <w:rPr>
          <w:rFonts w:cs="Cambria"/>
          <w:lang w:eastAsia="en-US"/>
        </w:rPr>
        <w:t>Specifická pravidla konkretizují informace o pravidlech výzvy a jsou vždy vydána</w:t>
      </w:r>
      <w:r w:rsidR="00F165C6">
        <w:rPr>
          <w:rFonts w:cs="Cambria"/>
          <w:lang w:eastAsia="en-US"/>
        </w:rPr>
        <w:t xml:space="preserve"> </w:t>
      </w:r>
      <w:r>
        <w:rPr>
          <w:lang w:eastAsia="en-US"/>
        </w:rPr>
        <w:t xml:space="preserve">nejpozději s vyhlášením výzvy.  </w:t>
      </w:r>
    </w:p>
    <w:p w:rsidR="005D35E5" w:rsidRPr="00F573DB" w:rsidRDefault="0036171D" w:rsidP="00F573DB">
      <w:pPr>
        <w:pStyle w:val="Pravidla1"/>
        <w:pageBreakBefore/>
        <w:numPr>
          <w:ilvl w:val="0"/>
          <w:numId w:val="60"/>
        </w:numPr>
        <w:suppressAutoHyphens/>
        <w:ind w:left="360"/>
        <w:jc w:val="both"/>
        <w:rPr>
          <w:rFonts w:ascii="Cambria" w:eastAsia="Times New Roman" w:hAnsi="Cambria" w:cs="Times New Roman"/>
          <w:color w:val="000000"/>
        </w:rPr>
      </w:pPr>
      <w:bookmarkStart w:id="4" w:name="_Toc432410142"/>
      <w:bookmarkStart w:id="5" w:name="_Toc444247646"/>
      <w:r w:rsidRPr="00C36DCF">
        <w:lastRenderedPageBreak/>
        <w:t>Údaje o výzvě</w:t>
      </w:r>
      <w:bookmarkEnd w:id="4"/>
      <w:bookmarkEnd w:id="5"/>
    </w:p>
    <w:p w:rsidR="0036171D" w:rsidRPr="00C36DCF" w:rsidRDefault="0036171D" w:rsidP="0036171D">
      <w:pPr>
        <w:pStyle w:val="Pravidla11"/>
        <w:numPr>
          <w:ilvl w:val="1"/>
          <w:numId w:val="63"/>
        </w:numPr>
      </w:pPr>
      <w:bookmarkStart w:id="6" w:name="_Toc436995433"/>
      <w:bookmarkStart w:id="7" w:name="_Toc436995525"/>
      <w:bookmarkStart w:id="8" w:name="_Toc436995434"/>
      <w:bookmarkStart w:id="9" w:name="_Toc436995526"/>
      <w:bookmarkStart w:id="10" w:name="_Toc436995435"/>
      <w:bookmarkStart w:id="11" w:name="_Toc436995527"/>
      <w:bookmarkStart w:id="12" w:name="_Toc436995436"/>
      <w:bookmarkStart w:id="13" w:name="_Toc436995528"/>
      <w:bookmarkStart w:id="14" w:name="_Toc436995437"/>
      <w:bookmarkStart w:id="15" w:name="_Toc436995529"/>
      <w:bookmarkStart w:id="16" w:name="_Toc436995438"/>
      <w:bookmarkStart w:id="17" w:name="_Toc436995530"/>
      <w:bookmarkStart w:id="18" w:name="_Toc436995439"/>
      <w:bookmarkStart w:id="19" w:name="_Toc436995531"/>
      <w:bookmarkStart w:id="20" w:name="_Toc436995440"/>
      <w:bookmarkStart w:id="21" w:name="_Toc436995532"/>
      <w:bookmarkStart w:id="22" w:name="_Toc436995441"/>
      <w:bookmarkStart w:id="23" w:name="_Toc436995533"/>
      <w:bookmarkStart w:id="24" w:name="_Toc436995442"/>
      <w:bookmarkStart w:id="25" w:name="_Toc436995534"/>
      <w:bookmarkStart w:id="26" w:name="_Toc436995443"/>
      <w:bookmarkStart w:id="27" w:name="_Toc436995535"/>
      <w:bookmarkStart w:id="28" w:name="_Toc436995444"/>
      <w:bookmarkStart w:id="29" w:name="_Toc436995536"/>
      <w:bookmarkStart w:id="30" w:name="_Toc436995445"/>
      <w:bookmarkStart w:id="31" w:name="_Toc436995537"/>
      <w:bookmarkStart w:id="32" w:name="_Toc436995446"/>
      <w:bookmarkStart w:id="33" w:name="_Toc436995538"/>
      <w:bookmarkStart w:id="34" w:name="_Toc436995447"/>
      <w:bookmarkStart w:id="35" w:name="_Toc436995539"/>
      <w:bookmarkStart w:id="36" w:name="_Toc436995448"/>
      <w:bookmarkStart w:id="37" w:name="_Toc436995540"/>
      <w:bookmarkStart w:id="38" w:name="_Toc436995449"/>
      <w:bookmarkStart w:id="39" w:name="_Toc436995541"/>
      <w:bookmarkStart w:id="40" w:name="_Toc436995450"/>
      <w:bookmarkStart w:id="41" w:name="_Toc436995542"/>
      <w:bookmarkStart w:id="42" w:name="_Toc436995451"/>
      <w:bookmarkStart w:id="43" w:name="_Toc436995543"/>
      <w:bookmarkStart w:id="44" w:name="_Toc436995452"/>
      <w:bookmarkStart w:id="45" w:name="_Toc436995544"/>
      <w:bookmarkStart w:id="46" w:name="_Toc436995453"/>
      <w:bookmarkStart w:id="47" w:name="_Toc436995545"/>
      <w:bookmarkStart w:id="48" w:name="_Toc436995454"/>
      <w:bookmarkStart w:id="49" w:name="_Toc436995546"/>
      <w:bookmarkStart w:id="50" w:name="_Toc436995455"/>
      <w:bookmarkStart w:id="51" w:name="_Toc436995547"/>
      <w:bookmarkStart w:id="52" w:name="_Toc436995456"/>
      <w:bookmarkStart w:id="53" w:name="_Toc436995548"/>
      <w:bookmarkStart w:id="54" w:name="_Toc432410145"/>
      <w:bookmarkStart w:id="55" w:name="_Toc44424764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C36DCF">
        <w:t>Vyhlášení výzvy a podání žádosti o podporu</w:t>
      </w:r>
      <w:bookmarkEnd w:id="54"/>
      <w:bookmarkEnd w:id="55"/>
    </w:p>
    <w:p w:rsidR="00DF1298" w:rsidRDefault="00DF1298" w:rsidP="00D873AC">
      <w:pPr>
        <w:jc w:val="both"/>
        <w:rPr>
          <w:lang w:eastAsia="en-US"/>
        </w:rPr>
      </w:pPr>
      <w:r w:rsidRPr="00DF1298">
        <w:rPr>
          <w:lang w:eastAsia="en-US"/>
        </w:rPr>
        <w:t>Vyhlášení výzvy je zveřejněno na webových stránkách</w:t>
      </w:r>
      <w:r w:rsidR="0036171D">
        <w:rPr>
          <w:lang w:eastAsia="en-US"/>
        </w:rPr>
        <w:t xml:space="preserve"> </w:t>
      </w:r>
      <w:hyperlink r:id="rId11" w:history="1">
        <w:r w:rsidR="008926EF" w:rsidRPr="005D643A">
          <w:rPr>
            <w:rStyle w:val="Hypertextovodkaz"/>
            <w:lang w:eastAsia="en-US"/>
          </w:rPr>
          <w:t>http://www.dotaceEu.cz/cs/Microsites/IROP/Vyzvy-v-IROP</w:t>
        </w:r>
      </w:hyperlink>
      <w:r w:rsidRPr="00DF1298">
        <w:rPr>
          <w:lang w:eastAsia="en-US"/>
        </w:rPr>
        <w:t>.</w:t>
      </w:r>
    </w:p>
    <w:p w:rsidR="00D873AC" w:rsidRPr="00DF1298" w:rsidRDefault="00D873AC" w:rsidP="00D873AC">
      <w:pPr>
        <w:jc w:val="both"/>
        <w:rPr>
          <w:lang w:eastAsia="en-US"/>
        </w:rPr>
      </w:pPr>
      <w:r w:rsidRPr="00DF1298">
        <w:rPr>
          <w:lang w:eastAsia="en-US"/>
        </w:rPr>
        <w:t>Žádost se podává elektronicky v MS2014+ prostřednictvím formuláře, který naleznete</w:t>
      </w:r>
      <w:r>
        <w:rPr>
          <w:lang w:eastAsia="en-US"/>
        </w:rPr>
        <w:t xml:space="preserve"> </w:t>
      </w:r>
      <w:r w:rsidRPr="00DF1298">
        <w:rPr>
          <w:lang w:eastAsia="en-US"/>
        </w:rPr>
        <w:t xml:space="preserve">na webových stránkách </w:t>
      </w:r>
      <w:hyperlink r:id="rId12" w:history="1">
        <w:r w:rsidRPr="0044543B">
          <w:rPr>
            <w:rStyle w:val="Hypertextovodkaz"/>
            <w:lang w:eastAsia="en-US"/>
          </w:rPr>
          <w:t>https://mseu.mssf.cz</w:t>
        </w:r>
      </w:hyperlink>
      <w:r w:rsidRPr="00DF1298">
        <w:rPr>
          <w:lang w:eastAsia="en-US"/>
        </w:rPr>
        <w:t>. Postup pro podání žádosti a příloh</w:t>
      </w:r>
      <w:r>
        <w:rPr>
          <w:lang w:eastAsia="en-US"/>
        </w:rPr>
        <w:t xml:space="preserve"> </w:t>
      </w:r>
      <w:r w:rsidRPr="00DF1298">
        <w:rPr>
          <w:lang w:eastAsia="en-US"/>
        </w:rPr>
        <w:t>v MS2014+ je uveden v příloze č. 1 těchto Pravidel.</w:t>
      </w:r>
    </w:p>
    <w:p w:rsidR="00D873AC" w:rsidRDefault="00D873AC" w:rsidP="00D873AC">
      <w:pPr>
        <w:jc w:val="both"/>
        <w:rPr>
          <w:lang w:eastAsia="en-US"/>
        </w:rPr>
      </w:pPr>
      <w:r w:rsidRPr="00DF1298">
        <w:rPr>
          <w:lang w:eastAsia="en-US"/>
        </w:rPr>
        <w:t>O dřívějším uzavření výzvy (např. z důvodu nedostatku finančních prostředků ve výzvě)</w:t>
      </w:r>
      <w:r>
        <w:rPr>
          <w:lang w:eastAsia="en-US"/>
        </w:rPr>
        <w:t xml:space="preserve"> </w:t>
      </w:r>
      <w:r w:rsidRPr="00DF1298">
        <w:rPr>
          <w:lang w:eastAsia="en-US"/>
        </w:rPr>
        <w:t>informuje ŘO IROP veřejnost a žadatele minimálně 20 pracovních dnů předem na</w:t>
      </w:r>
      <w:r>
        <w:rPr>
          <w:lang w:eastAsia="en-US"/>
        </w:rPr>
        <w:t xml:space="preserve"> </w:t>
      </w:r>
      <w:r w:rsidRPr="00DF1298">
        <w:rPr>
          <w:lang w:eastAsia="en-US"/>
        </w:rPr>
        <w:t xml:space="preserve">webových stránkách </w:t>
      </w:r>
      <w:hyperlink r:id="rId13" w:history="1">
        <w:r w:rsidRPr="00D275AE">
          <w:rPr>
            <w:rStyle w:val="Hypertextovodkaz"/>
            <w:rFonts w:eastAsiaTheme="minorHAnsi" w:cs="Cambria"/>
            <w:lang w:eastAsia="en-US"/>
          </w:rPr>
          <w:t>http://www.dotaceEu.cz/cs/Microsites/IROP/Vyzvy-v-IROP</w:t>
        </w:r>
      </w:hyperlink>
      <w:r w:rsidRPr="00DF1298">
        <w:rPr>
          <w:lang w:eastAsia="en-US"/>
        </w:rPr>
        <w:t>.</w:t>
      </w:r>
    </w:p>
    <w:p w:rsidR="008926EF" w:rsidRPr="00F573DB" w:rsidRDefault="008926EF" w:rsidP="00F573DB">
      <w:pPr>
        <w:pBdr>
          <w:top w:val="single" w:sz="4" w:space="1" w:color="auto"/>
          <w:left w:val="single" w:sz="4" w:space="4" w:color="auto"/>
          <w:bottom w:val="single" w:sz="4" w:space="1" w:color="auto"/>
          <w:right w:val="single" w:sz="4" w:space="4" w:color="auto"/>
        </w:pBdr>
        <w:jc w:val="both"/>
        <w:rPr>
          <w:b/>
          <w:lang w:eastAsia="en-US"/>
        </w:rPr>
      </w:pPr>
      <w:r w:rsidRPr="00F573DB">
        <w:rPr>
          <w:b/>
          <w:lang w:eastAsia="en-US"/>
        </w:rPr>
        <w:t>UPOZORNĚNÍ</w:t>
      </w:r>
    </w:p>
    <w:p w:rsidR="00DF1298" w:rsidRDefault="00ED5C9C" w:rsidP="00F573DB">
      <w:pPr>
        <w:pBdr>
          <w:top w:val="single" w:sz="4" w:space="1" w:color="auto"/>
          <w:left w:val="single" w:sz="4" w:space="4" w:color="auto"/>
          <w:bottom w:val="single" w:sz="4" w:space="1" w:color="auto"/>
          <w:right w:val="single" w:sz="4" w:space="4" w:color="auto"/>
        </w:pBdr>
        <w:jc w:val="both"/>
        <w:rPr>
          <w:rFonts w:ascii="Cambria,Bold" w:hAnsi="Cambria,Bold" w:cs="Cambria,Bold"/>
          <w:b/>
          <w:bCs/>
          <w:lang w:eastAsia="en-US"/>
        </w:rPr>
      </w:pPr>
      <w:r>
        <w:rPr>
          <w:b/>
          <w:lang w:eastAsia="en-US"/>
        </w:rPr>
        <w:t>Datum zahájení a ukončení příjmu žádostí je uvedeno v textu výzvy.</w:t>
      </w:r>
    </w:p>
    <w:p w:rsidR="008926EF" w:rsidRPr="006F5CA9" w:rsidRDefault="008926EF" w:rsidP="00F573DB">
      <w:pPr>
        <w:pBdr>
          <w:top w:val="single" w:sz="4" w:space="1" w:color="auto"/>
          <w:left w:val="single" w:sz="4" w:space="4" w:color="auto"/>
          <w:bottom w:val="single" w:sz="4" w:space="1" w:color="auto"/>
          <w:right w:val="single" w:sz="4" w:space="4" w:color="auto"/>
        </w:pBdr>
        <w:jc w:val="both"/>
        <w:rPr>
          <w:rFonts w:asciiTheme="majorHAnsi" w:hAnsiTheme="majorHAnsi" w:cs="Cambria,Bold"/>
          <w:b/>
          <w:bCs/>
          <w:lang w:eastAsia="en-US"/>
        </w:rPr>
      </w:pPr>
      <w:r w:rsidRPr="006F5CA9">
        <w:rPr>
          <w:rFonts w:asciiTheme="majorHAnsi" w:hAnsiTheme="majorHAnsi" w:cs="Cambria,Bold"/>
          <w:b/>
          <w:bCs/>
          <w:lang w:eastAsia="en-US"/>
        </w:rPr>
        <w:t>K podání žádosti o podporu je třeba mít zřízený elektronický podpis.</w:t>
      </w: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Minimální výše celkových způsobilých výdajů na </w:t>
      </w:r>
      <w:r w:rsidR="00F165C6"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867805" w:rsidRPr="00F573DB" w:rsidRDefault="001840F6" w:rsidP="00F573DB">
      <w:pPr>
        <w:pStyle w:val="Odstavecseseznamem"/>
        <w:numPr>
          <w:ilvl w:val="0"/>
          <w:numId w:val="64"/>
        </w:numPr>
        <w:jc w:val="both"/>
        <w:rPr>
          <w:rFonts w:asciiTheme="majorHAnsi" w:hAnsiTheme="majorHAnsi" w:cs="Arial"/>
        </w:rPr>
      </w:pPr>
      <w:r w:rsidRPr="00F573DB">
        <w:rPr>
          <w:rFonts w:asciiTheme="majorHAnsi" w:hAnsiTheme="majorHAnsi" w:cs="Arial"/>
          <w:b/>
        </w:rPr>
        <w:t>3</w:t>
      </w:r>
      <w:r w:rsidR="00DF1298" w:rsidRPr="00F573DB">
        <w:rPr>
          <w:rFonts w:asciiTheme="majorHAnsi" w:hAnsiTheme="majorHAnsi" w:cs="Arial"/>
          <w:b/>
        </w:rPr>
        <w:t>00 000 Kč</w:t>
      </w:r>
      <w:r w:rsidR="00972F4A" w:rsidRPr="00F573DB">
        <w:rPr>
          <w:rFonts w:asciiTheme="majorHAnsi" w:hAnsiTheme="majorHAnsi" w:cs="Arial"/>
        </w:rPr>
        <w:t xml:space="preserve"> </w:t>
      </w:r>
      <w:r w:rsidR="00972F4A" w:rsidRPr="00F573DB">
        <w:rPr>
          <w:rFonts w:asciiTheme="majorHAnsi" w:hAnsiTheme="majorHAnsi" w:cs="Arial"/>
          <w:b/>
        </w:rPr>
        <w:t>vč. DPH</w:t>
      </w:r>
    </w:p>
    <w:p w:rsidR="00626B9C" w:rsidRPr="00060830" w:rsidRDefault="00887829" w:rsidP="00F573DB">
      <w:pPr>
        <w:autoSpaceDE w:val="0"/>
        <w:autoSpaceDN w:val="0"/>
        <w:adjustRightInd w:val="0"/>
        <w:spacing w:after="0"/>
        <w:jc w:val="both"/>
        <w:rPr>
          <w:sz w:val="23"/>
          <w:szCs w:val="23"/>
        </w:rPr>
      </w:pPr>
      <w:r w:rsidRPr="00E8320D">
        <w:rPr>
          <w:rFonts w:eastAsiaTheme="minorHAnsi" w:cs="Cambria"/>
          <w:lang w:eastAsia="en-US"/>
        </w:rPr>
        <w:t xml:space="preserve">Pokud v průběhu realizace projektu dojde </w:t>
      </w:r>
      <w:r w:rsidR="00CE212F" w:rsidRPr="00E8320D">
        <w:rPr>
          <w:rFonts w:eastAsiaTheme="minorHAnsi" w:cs="Cambria"/>
          <w:lang w:eastAsia="en-US"/>
        </w:rPr>
        <w:t>př</w:t>
      </w:r>
      <w:r w:rsidR="00C04DAA" w:rsidRPr="00E8320D">
        <w:rPr>
          <w:rFonts w:eastAsiaTheme="minorHAnsi" w:cs="Cambria"/>
          <w:lang w:eastAsia="en-US"/>
        </w:rPr>
        <w:t>i výběrové</w:t>
      </w:r>
      <w:r w:rsidR="00CE212F" w:rsidRPr="00E8320D">
        <w:rPr>
          <w:rFonts w:eastAsiaTheme="minorHAnsi" w:cs="Cambria"/>
          <w:lang w:eastAsia="en-US"/>
        </w:rPr>
        <w:t>m</w:t>
      </w:r>
      <w:r w:rsidR="00C04DAA" w:rsidRPr="00E8320D">
        <w:rPr>
          <w:rFonts w:eastAsiaTheme="minorHAnsi" w:cs="Cambria"/>
          <w:lang w:eastAsia="en-US"/>
        </w:rPr>
        <w:t xml:space="preserve"> nebo zadávací</w:t>
      </w:r>
      <w:r w:rsidR="00CE212F" w:rsidRPr="00E8320D">
        <w:rPr>
          <w:rFonts w:eastAsiaTheme="minorHAnsi" w:cs="Cambria"/>
          <w:lang w:eastAsia="en-US"/>
        </w:rPr>
        <w:t>m</w:t>
      </w:r>
      <w:r w:rsidR="00C04DAA" w:rsidRPr="00E8320D">
        <w:rPr>
          <w:rFonts w:eastAsiaTheme="minorHAnsi" w:cs="Cambria"/>
          <w:lang w:eastAsia="en-US"/>
        </w:rPr>
        <w:t xml:space="preserve"> řízení na dodavatele</w:t>
      </w:r>
      <w:r w:rsidRPr="00E8320D">
        <w:rPr>
          <w:rFonts w:eastAsiaTheme="minorHAnsi" w:cs="Cambria"/>
          <w:lang w:eastAsia="en-US"/>
        </w:rPr>
        <w:t xml:space="preserve"> ke snížení celkových způsobilých výdajů pod minimální výši</w:t>
      </w:r>
      <w:r w:rsidR="00CE212F" w:rsidRPr="00E8320D">
        <w:rPr>
          <w:rFonts w:eastAsiaTheme="minorHAnsi" w:cs="Cambria"/>
          <w:lang w:eastAsia="en-US"/>
        </w:rPr>
        <w:t>,</w:t>
      </w:r>
      <w:r w:rsidRPr="00E8320D">
        <w:rPr>
          <w:rFonts w:eastAsiaTheme="minorHAnsi" w:cs="Cambria"/>
          <w:lang w:eastAsia="en-US"/>
        </w:rPr>
        <w:t xml:space="preserve"> stanovenou </w:t>
      </w:r>
      <w:r w:rsidR="00C04DAA" w:rsidRPr="00E8320D">
        <w:rPr>
          <w:rFonts w:eastAsiaTheme="minorHAnsi" w:cs="Cambria"/>
          <w:lang w:eastAsia="en-US"/>
        </w:rPr>
        <w:t>pro tuto výzvu</w:t>
      </w:r>
      <w:r w:rsidRPr="00E8320D">
        <w:rPr>
          <w:rFonts w:eastAsiaTheme="minorHAnsi" w:cs="Cambria"/>
          <w:lang w:eastAsia="en-US"/>
        </w:rPr>
        <w:t>, nejedná se o porušení Podmínek, resp. kritéria přijatelnosti. Jedná se o</w:t>
      </w:r>
      <w:r w:rsidR="00410C75">
        <w:rPr>
          <w:rFonts w:eastAsiaTheme="minorHAnsi" w:cs="Cambria"/>
          <w:lang w:eastAsia="en-US"/>
        </w:rPr>
        <w:t> </w:t>
      </w:r>
      <w:r w:rsidRPr="00E8320D">
        <w:rPr>
          <w:rFonts w:eastAsiaTheme="minorHAnsi" w:cs="Cambria"/>
          <w:lang w:eastAsia="en-US"/>
        </w:rPr>
        <w:t xml:space="preserve"> změnu v projektu a je třeba postupovat v souladu s kap. 16 Obecných pravidel.</w:t>
      </w:r>
      <w:r w:rsidRPr="006D295E">
        <w:rPr>
          <w:sz w:val="23"/>
          <w:szCs w:val="23"/>
        </w:rPr>
        <w:t xml:space="preserve"> </w:t>
      </w:r>
    </w:p>
    <w:p w:rsidR="00F573DB" w:rsidRPr="00F573DB" w:rsidRDefault="00F573DB" w:rsidP="00F573DB">
      <w:pPr>
        <w:autoSpaceDE w:val="0"/>
        <w:autoSpaceDN w:val="0"/>
        <w:adjustRightInd w:val="0"/>
        <w:spacing w:after="0"/>
        <w:jc w:val="both"/>
        <w:rPr>
          <w:rFonts w:eastAsiaTheme="minorHAnsi" w:cs="Cambria"/>
          <w:b/>
          <w:lang w:eastAsia="en-US"/>
        </w:rPr>
      </w:pPr>
    </w:p>
    <w:p w:rsidR="00D873AC" w:rsidRPr="00F573DB" w:rsidRDefault="003C1261" w:rsidP="00F573DB">
      <w:pPr>
        <w:jc w:val="both"/>
        <w:rPr>
          <w:rFonts w:asciiTheme="majorHAnsi" w:hAnsiTheme="majorHAnsi" w:cs="Arial"/>
          <w:b/>
        </w:rPr>
      </w:pPr>
      <w:r w:rsidRPr="00F573DB">
        <w:rPr>
          <w:rFonts w:asciiTheme="majorHAnsi" w:hAnsiTheme="majorHAnsi" w:cs="Arial"/>
          <w:b/>
        </w:rPr>
        <w:t xml:space="preserve">Maximální výše celkových způsobilých výdajů na </w:t>
      </w:r>
      <w:r w:rsidR="00E05F0F" w:rsidRPr="00F573DB">
        <w:rPr>
          <w:rFonts w:asciiTheme="majorHAnsi" w:hAnsiTheme="majorHAnsi" w:cs="Arial"/>
          <w:b/>
        </w:rPr>
        <w:t>jeden</w:t>
      </w:r>
      <w:r w:rsidRPr="00F573DB">
        <w:rPr>
          <w:rFonts w:asciiTheme="majorHAnsi" w:hAnsiTheme="majorHAnsi" w:cs="Arial"/>
          <w:b/>
        </w:rPr>
        <w:t xml:space="preserve"> projekt</w:t>
      </w:r>
      <w:r w:rsidR="00D873AC" w:rsidRPr="00F573DB">
        <w:rPr>
          <w:rFonts w:asciiTheme="majorHAnsi" w:hAnsiTheme="majorHAnsi" w:cs="Arial"/>
          <w:b/>
        </w:rPr>
        <w:t>:</w:t>
      </w:r>
    </w:p>
    <w:p w:rsidR="003C1261" w:rsidRPr="00F573DB" w:rsidRDefault="00964B12" w:rsidP="00F573DB">
      <w:pPr>
        <w:pStyle w:val="Odstavecseseznamem"/>
        <w:numPr>
          <w:ilvl w:val="0"/>
          <w:numId w:val="64"/>
        </w:numPr>
        <w:jc w:val="both"/>
        <w:rPr>
          <w:rFonts w:asciiTheme="majorHAnsi" w:hAnsiTheme="majorHAnsi" w:cs="Arial"/>
        </w:rPr>
      </w:pPr>
      <w:r w:rsidRPr="00F573DB">
        <w:rPr>
          <w:rFonts w:asciiTheme="majorHAnsi" w:hAnsiTheme="majorHAnsi" w:cs="Arial"/>
          <w:b/>
        </w:rPr>
        <w:t>90 </w:t>
      </w:r>
      <w:r w:rsidR="00DB097F" w:rsidRPr="00F573DB">
        <w:rPr>
          <w:rFonts w:asciiTheme="majorHAnsi" w:hAnsiTheme="majorHAnsi" w:cs="Arial"/>
          <w:b/>
        </w:rPr>
        <w:t>000 000</w:t>
      </w:r>
      <w:r w:rsidR="003C1261" w:rsidRPr="00F573DB">
        <w:rPr>
          <w:rFonts w:asciiTheme="majorHAnsi" w:hAnsiTheme="majorHAnsi" w:cs="Arial"/>
        </w:rPr>
        <w:t xml:space="preserve"> </w:t>
      </w:r>
      <w:r w:rsidR="00972F4A" w:rsidRPr="00F573DB">
        <w:rPr>
          <w:rFonts w:asciiTheme="majorHAnsi" w:hAnsiTheme="majorHAnsi" w:cs="Arial"/>
          <w:b/>
        </w:rPr>
        <w:t xml:space="preserve">Kč </w:t>
      </w:r>
      <w:r w:rsidR="003C1261" w:rsidRPr="00F573DB">
        <w:rPr>
          <w:rFonts w:asciiTheme="majorHAnsi" w:hAnsiTheme="majorHAnsi" w:cs="Arial"/>
          <w:b/>
        </w:rPr>
        <w:t>vč. DPH</w:t>
      </w:r>
    </w:p>
    <w:p w:rsidR="00D873AC" w:rsidRDefault="00D873AC" w:rsidP="00F573DB">
      <w:pPr>
        <w:autoSpaceDE w:val="0"/>
        <w:autoSpaceDN w:val="0"/>
        <w:adjustRightInd w:val="0"/>
        <w:spacing w:after="0"/>
        <w:jc w:val="both"/>
        <w:rPr>
          <w:rFonts w:asciiTheme="majorHAnsi" w:eastAsiaTheme="minorHAnsi" w:hAnsiTheme="majorHAnsi" w:cs="Cambria,Bold"/>
          <w:b/>
          <w:bCs/>
          <w:lang w:eastAsia="en-US"/>
        </w:rPr>
      </w:pPr>
      <w:r w:rsidRPr="00F573DB">
        <w:rPr>
          <w:rFonts w:asciiTheme="majorHAnsi" w:eastAsiaTheme="minorHAnsi" w:hAnsiTheme="majorHAnsi" w:cs="Cambria,Bold"/>
          <w:b/>
          <w:bCs/>
          <w:lang w:eastAsia="en-US"/>
        </w:rPr>
        <w:t>Datum zahájení realizace projektu</w:t>
      </w:r>
    </w:p>
    <w:p w:rsidR="003C1261" w:rsidRPr="00C41DE1" w:rsidRDefault="00C433A1" w:rsidP="00F573DB">
      <w:pPr>
        <w:autoSpaceDE w:val="0"/>
        <w:autoSpaceDN w:val="0"/>
        <w:adjustRightInd w:val="0"/>
        <w:spacing w:after="0"/>
        <w:jc w:val="both"/>
        <w:rPr>
          <w:rFonts w:asciiTheme="majorHAnsi" w:hAnsiTheme="majorHAnsi" w:cs="Arial"/>
        </w:rPr>
      </w:pPr>
      <w:r>
        <w:t>Datem zahájení realizace projektu se rozumí datum prvního právního úkonu týkajícího se aktivit projektu, na které jsou vynaloženy způsobilé výdaje, nejdříve 1. 1. 2014.</w:t>
      </w:r>
      <w:r w:rsidR="00C41DE1">
        <w:rPr>
          <w:rFonts w:asciiTheme="majorHAnsi" w:hAnsiTheme="majorHAnsi" w:cs="Arial"/>
        </w:rPr>
        <w:t xml:space="preserve"> Činnosti uvedené ve sloupci „</w:t>
      </w:r>
      <w:r w:rsidR="00C41DE1" w:rsidRPr="00C41DE1">
        <w:rPr>
          <w:rFonts w:asciiTheme="majorHAnsi" w:hAnsiTheme="majorHAnsi" w:cs="Arial"/>
        </w:rPr>
        <w:t>Činnosti, které není možné zahájit před podáním písemné žádosti o podporu</w:t>
      </w:r>
      <w:r w:rsidR="00C41DE1">
        <w:rPr>
          <w:rFonts w:asciiTheme="majorHAnsi" w:hAnsiTheme="majorHAnsi" w:cs="Arial"/>
        </w:rPr>
        <w:t xml:space="preserve">“ tabulky v příloze č. 4 těchto Pravidel </w:t>
      </w:r>
      <w:r w:rsidR="00C41DE1" w:rsidRPr="00C41DE1">
        <w:rPr>
          <w:rFonts w:asciiTheme="majorHAnsi" w:hAnsiTheme="majorHAnsi" w:cs="Arial"/>
        </w:rPr>
        <w:t>není možné zahájit před podáním žádosti o podporu</w:t>
      </w:r>
      <w:r w:rsidR="00C41DE1">
        <w:rPr>
          <w:rFonts w:asciiTheme="majorHAnsi" w:hAnsiTheme="majorHAnsi" w:cs="Arial"/>
        </w:rPr>
        <w:t>.</w:t>
      </w:r>
    </w:p>
    <w:p w:rsidR="00042F54" w:rsidRDefault="00042F54" w:rsidP="00F573DB">
      <w:pPr>
        <w:autoSpaceDE w:val="0"/>
        <w:autoSpaceDN w:val="0"/>
        <w:adjustRightInd w:val="0"/>
        <w:spacing w:after="0"/>
        <w:jc w:val="both"/>
        <w:rPr>
          <w:rFonts w:asciiTheme="majorHAnsi" w:hAnsiTheme="majorHAnsi" w:cs="Arial"/>
        </w:rPr>
      </w:pPr>
    </w:p>
    <w:p w:rsidR="006A73A8" w:rsidRDefault="00A90393" w:rsidP="00F573DB">
      <w:pPr>
        <w:autoSpaceDE w:val="0"/>
        <w:autoSpaceDN w:val="0"/>
        <w:adjustRightInd w:val="0"/>
        <w:spacing w:after="0"/>
        <w:jc w:val="both"/>
        <w:rPr>
          <w:rFonts w:asciiTheme="majorHAnsi" w:eastAsiaTheme="minorHAnsi" w:hAnsiTheme="majorHAnsi" w:cs="Cambria,Bold"/>
          <w:b/>
          <w:bCs/>
          <w:lang w:eastAsia="en-US"/>
        </w:rPr>
      </w:pPr>
      <w:r w:rsidRPr="007617A4">
        <w:rPr>
          <w:rFonts w:asciiTheme="majorHAnsi" w:eastAsiaTheme="minorHAnsi" w:hAnsiTheme="majorHAnsi" w:cs="Cambria,Bold"/>
          <w:b/>
          <w:bCs/>
          <w:lang w:eastAsia="en-US"/>
        </w:rPr>
        <w:t>Datum ukončení realizace projektu</w:t>
      </w:r>
    </w:p>
    <w:p w:rsidR="006700B8" w:rsidRPr="006700B8" w:rsidRDefault="006700B8" w:rsidP="006700B8">
      <w:pPr>
        <w:autoSpaceDE w:val="0"/>
        <w:autoSpaceDN w:val="0"/>
        <w:adjustRightInd w:val="0"/>
        <w:spacing w:after="0"/>
        <w:jc w:val="both"/>
      </w:pPr>
      <w:r w:rsidRPr="006700B8">
        <w:t>Datem ukončení realizace projektu se rozumí datum, do kterého budou prokazatelně</w:t>
      </w:r>
      <w:r w:rsidR="00A01E49">
        <w:t xml:space="preserve"> </w:t>
      </w:r>
      <w:r w:rsidRPr="006700B8">
        <w:t xml:space="preserve">uzavřeny všechny aktivity projektu. Tuto skutečnost je třeba doložit </w:t>
      </w:r>
      <w:r w:rsidR="0084738C" w:rsidRPr="006700B8">
        <w:t>fotodokumentací</w:t>
      </w:r>
      <w:r w:rsidR="0084738C" w:rsidRPr="006700B8" w:rsidDel="0084738C">
        <w:t xml:space="preserve"> </w:t>
      </w:r>
      <w:r w:rsidRPr="006700B8">
        <w:t>výstupů projektu</w:t>
      </w:r>
      <w:r w:rsidR="00A01E49">
        <w:t xml:space="preserve"> a</w:t>
      </w:r>
      <w:r>
        <w:t xml:space="preserve"> </w:t>
      </w:r>
      <w:r w:rsidRPr="006700B8">
        <w:t>protokolem o předání a převzetí díla</w:t>
      </w:r>
      <w:r w:rsidR="00A01E49">
        <w:t>.</w:t>
      </w:r>
      <w:r>
        <w:t xml:space="preserve"> </w:t>
      </w:r>
      <w:r w:rsidRPr="006700B8">
        <w:t>Datum podepsání protokolu o</w:t>
      </w:r>
      <w:r w:rsidR="00410C75">
        <w:t> </w:t>
      </w:r>
      <w:r w:rsidRPr="006700B8">
        <w:t xml:space="preserve"> předání a převzetí díla (včetně odstranění vad a</w:t>
      </w:r>
      <w:r>
        <w:t xml:space="preserve"> </w:t>
      </w:r>
      <w:r w:rsidRPr="006700B8">
        <w:t>nedodělků bránících užívání díla) nesmí překročit termín ukončení realizace projektu uvedený v</w:t>
      </w:r>
      <w:r w:rsidR="00A44AC0">
        <w:t xml:space="preserve"> </w:t>
      </w:r>
      <w:r w:rsidRPr="006700B8">
        <w:t>Rozhodnutí</w:t>
      </w:r>
      <w:r>
        <w:t xml:space="preserve"> </w:t>
      </w:r>
      <w:r w:rsidRPr="006700B8">
        <w:t>o</w:t>
      </w:r>
      <w:r w:rsidR="00E946B5">
        <w:t> </w:t>
      </w:r>
      <w:r w:rsidRPr="006700B8">
        <w:t xml:space="preserve"> poskytnutí dotace (dále jen „Rozhodnutí“) nebo ve</w:t>
      </w:r>
      <w:r>
        <w:t xml:space="preserve"> </w:t>
      </w:r>
      <w:r w:rsidRPr="006700B8">
        <w:t>Stanovení výdajů na financování akce OSS (dále jen „Stanovení výdajů“).</w:t>
      </w:r>
      <w:r>
        <w:t xml:space="preserve"> </w:t>
      </w:r>
      <w:r w:rsidRPr="006700B8">
        <w:t>Pokud není k</w:t>
      </w:r>
      <w:r>
        <w:t xml:space="preserve"> </w:t>
      </w:r>
      <w:r w:rsidRPr="006700B8">
        <w:t xml:space="preserve">datu ukončení realizace projektu vydán </w:t>
      </w:r>
      <w:r w:rsidRPr="00034C11">
        <w:t xml:space="preserve">kolaudační </w:t>
      </w:r>
      <w:r w:rsidR="00A560DC">
        <w:t xml:space="preserve">souhlas nebo </w:t>
      </w:r>
      <w:r w:rsidR="00A560DC" w:rsidDel="005829C3">
        <w:t>souhlas s užíváním stavby,</w:t>
      </w:r>
      <w:r w:rsidRPr="006700B8">
        <w:t xml:space="preserve"> musí ho příjemce</w:t>
      </w:r>
      <w:r>
        <w:t xml:space="preserve"> </w:t>
      </w:r>
      <w:r w:rsidRPr="006700B8">
        <w:t>doložit</w:t>
      </w:r>
      <w:r>
        <w:t xml:space="preserve"> </w:t>
      </w:r>
      <w:r w:rsidRPr="006700B8">
        <w:t>s</w:t>
      </w:r>
      <w:r>
        <w:t xml:space="preserve"> </w:t>
      </w:r>
      <w:r w:rsidRPr="006700B8">
        <w:t xml:space="preserve">první </w:t>
      </w:r>
      <w:r w:rsidRPr="006700B8">
        <w:lastRenderedPageBreak/>
        <w:t>Zprávou o udržitelnosti projektu, případně se</w:t>
      </w:r>
      <w:r>
        <w:t xml:space="preserve"> </w:t>
      </w:r>
      <w:r w:rsidRPr="006700B8">
        <w:t>Zprávou o udržitelnosti projektu následující po ukončení zkušebního provozu.</w:t>
      </w:r>
    </w:p>
    <w:p w:rsidR="00A90393" w:rsidRDefault="00A90393" w:rsidP="00F573DB">
      <w:pPr>
        <w:autoSpaceDE w:val="0"/>
        <w:autoSpaceDN w:val="0"/>
        <w:adjustRightInd w:val="0"/>
        <w:spacing w:after="0"/>
        <w:jc w:val="both"/>
        <w:rPr>
          <w:rFonts w:asciiTheme="majorHAnsi" w:hAnsiTheme="majorHAnsi" w:cs="Arial"/>
        </w:rPr>
      </w:pPr>
    </w:p>
    <w:p w:rsidR="00042F54" w:rsidRDefault="00972F4A" w:rsidP="00F573DB">
      <w:pPr>
        <w:autoSpaceDE w:val="0"/>
        <w:autoSpaceDN w:val="0"/>
        <w:adjustRightInd w:val="0"/>
        <w:spacing w:after="0"/>
        <w:jc w:val="both"/>
        <w:rPr>
          <w:rFonts w:asciiTheme="majorHAnsi" w:hAnsiTheme="majorHAnsi" w:cs="Arial"/>
          <w:b/>
        </w:rPr>
      </w:pPr>
      <w:r>
        <w:rPr>
          <w:rFonts w:asciiTheme="majorHAnsi" w:hAnsiTheme="majorHAnsi" w:cs="Arial"/>
        </w:rPr>
        <w:t>Realizace projektu musí být ukončena n</w:t>
      </w:r>
      <w:r w:rsidR="00042F54">
        <w:rPr>
          <w:rFonts w:asciiTheme="majorHAnsi" w:hAnsiTheme="majorHAnsi" w:cs="Arial"/>
        </w:rPr>
        <w:t xml:space="preserve">ejpozději </w:t>
      </w:r>
      <w:r w:rsidR="00042F54" w:rsidRPr="006F5CA9">
        <w:rPr>
          <w:rFonts w:asciiTheme="majorHAnsi" w:hAnsiTheme="majorHAnsi" w:cs="Arial"/>
          <w:b/>
        </w:rPr>
        <w:t>do 30. 9. 2018</w:t>
      </w:r>
      <w:r w:rsidRPr="006F5CA9">
        <w:rPr>
          <w:rFonts w:asciiTheme="majorHAnsi" w:hAnsiTheme="majorHAnsi" w:cs="Arial"/>
          <w:b/>
        </w:rPr>
        <w:t>.</w:t>
      </w:r>
    </w:p>
    <w:p w:rsidR="00D747A8" w:rsidRDefault="00D747A8" w:rsidP="00F573DB">
      <w:pPr>
        <w:autoSpaceDE w:val="0"/>
        <w:autoSpaceDN w:val="0"/>
        <w:adjustRightInd w:val="0"/>
        <w:spacing w:after="0"/>
        <w:jc w:val="both"/>
        <w:rPr>
          <w:rFonts w:asciiTheme="majorHAnsi" w:hAnsiTheme="majorHAnsi" w:cs="Arial"/>
          <w:b/>
        </w:rPr>
      </w:pPr>
    </w:p>
    <w:p w:rsidR="00D747A8" w:rsidRPr="002110C1" w:rsidRDefault="00D747A8" w:rsidP="00D747A8">
      <w:pPr>
        <w:tabs>
          <w:tab w:val="left" w:pos="0"/>
        </w:tabs>
        <w:jc w:val="both"/>
      </w:pPr>
      <w:r w:rsidRPr="002110C1">
        <w:t>Realizace projektu může být rozdělena na etapy. M</w:t>
      </w:r>
      <w:r w:rsidR="00161ED8">
        <w:t>inimální délka jedné etapy je 3 </w:t>
      </w:r>
      <w:r w:rsidRPr="002110C1">
        <w:t>měsíce.</w:t>
      </w:r>
    </w:p>
    <w:p w:rsidR="00D3758D" w:rsidRDefault="00D3758D" w:rsidP="00F573DB">
      <w:pPr>
        <w:pStyle w:val="Nadpis3"/>
      </w:pPr>
      <w:bookmarkStart w:id="56" w:name="_Toc444247648"/>
      <w:r>
        <w:t>Oprávnění žadatelé</w:t>
      </w:r>
      <w:bookmarkEnd w:id="56"/>
    </w:p>
    <w:p w:rsidR="00B3631E" w:rsidRDefault="00A90393" w:rsidP="00F573DB">
      <w:pPr>
        <w:jc w:val="both"/>
      </w:pPr>
      <w:r>
        <w:rPr>
          <w:rFonts w:asciiTheme="majorHAnsi" w:hAnsiTheme="majorHAnsi" w:cs="Arial"/>
        </w:rPr>
        <w:t>Oprávněnými žadateli v této výzvě jsou</w:t>
      </w:r>
      <w:r w:rsidR="009434BA">
        <w:rPr>
          <w:rFonts w:asciiTheme="majorHAnsi" w:hAnsiTheme="majorHAnsi" w:cs="Arial"/>
        </w:rPr>
        <w:t xml:space="preserve"> právnické osoby a fyzické osoby podnikající</w:t>
      </w:r>
      <w:r w:rsidR="00B3631E">
        <w:rPr>
          <w:rFonts w:asciiTheme="majorHAnsi" w:hAnsiTheme="majorHAnsi" w:cs="Arial"/>
        </w:rPr>
        <w:t>:</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vlastníci bytových domů</w:t>
      </w:r>
      <w:r w:rsidR="00B3631E" w:rsidRPr="00F573DB">
        <w:rPr>
          <w:rFonts w:asciiTheme="majorHAnsi" w:hAnsiTheme="majorHAnsi" w:cs="Arial"/>
          <w:b/>
        </w:rPr>
        <w:t>,</w:t>
      </w:r>
      <w:r w:rsidR="00772AA6">
        <w:rPr>
          <w:rFonts w:asciiTheme="majorHAnsi" w:hAnsiTheme="majorHAnsi" w:cs="Arial"/>
          <w:b/>
        </w:rPr>
        <w:t xml:space="preserve"> kromě fyzických osob nepodnikajících</w:t>
      </w:r>
    </w:p>
    <w:p w:rsidR="00B3631E" w:rsidRPr="00F573DB" w:rsidRDefault="000D7061" w:rsidP="00F573DB">
      <w:pPr>
        <w:pStyle w:val="Odstavecseseznamem"/>
        <w:numPr>
          <w:ilvl w:val="0"/>
          <w:numId w:val="65"/>
        </w:numPr>
        <w:jc w:val="both"/>
        <w:rPr>
          <w:rFonts w:asciiTheme="majorHAnsi" w:hAnsiTheme="majorHAnsi" w:cs="Arial"/>
          <w:b/>
        </w:rPr>
      </w:pPr>
      <w:r w:rsidRPr="00F573DB">
        <w:rPr>
          <w:rFonts w:asciiTheme="majorHAnsi" w:hAnsiTheme="majorHAnsi" w:cs="Arial"/>
          <w:b/>
        </w:rPr>
        <w:t>společenství</w:t>
      </w:r>
      <w:r w:rsidR="005D4361" w:rsidRPr="00F573DB">
        <w:rPr>
          <w:rFonts w:asciiTheme="majorHAnsi" w:hAnsiTheme="majorHAnsi" w:cs="Arial"/>
          <w:b/>
        </w:rPr>
        <w:t xml:space="preserve"> vlastníků bytových jednotek </w:t>
      </w:r>
      <w:r w:rsidR="005D4361" w:rsidRPr="00F573DB">
        <w:rPr>
          <w:rFonts w:asciiTheme="majorHAnsi" w:hAnsiTheme="majorHAnsi" w:cs="Arial"/>
        </w:rPr>
        <w:t>(dále jen „SVJ“)</w:t>
      </w:r>
      <w:r w:rsidR="00B3631E">
        <w:rPr>
          <w:rFonts w:asciiTheme="majorHAnsi" w:hAnsiTheme="majorHAnsi" w:cs="Arial"/>
        </w:rPr>
        <w:t>.</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Výzva se vztahuje pouze na bytové domy, tj. budovy</w:t>
      </w:r>
      <w:r w:rsidR="00772AA6">
        <w:rPr>
          <w:b/>
          <w:lang w:eastAsia="en-US"/>
        </w:rPr>
        <w:t>, které obsahují čtyři a více bytů, a ve kterých více než polovina podlahové plochy odpovídá požadavkům na bydlení a je k tomu účelu určena.</w:t>
      </w:r>
    </w:p>
    <w:p w:rsidR="009434BA" w:rsidRPr="00F573DB" w:rsidRDefault="009434BA" w:rsidP="00E0262F">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F573DB">
        <w:rPr>
          <w:rFonts w:asciiTheme="majorHAnsi" w:hAnsiTheme="majorHAnsi" w:cs="Arial"/>
          <w:b/>
        </w:rPr>
        <w:t>Fyzickou osobou podnikající je osoba samostatně výdělečně činná nebo fyzická osoba, která bytové prostory pronajímá.</w:t>
      </w:r>
    </w:p>
    <w:p w:rsidR="00E0262F" w:rsidRDefault="00E0262F" w:rsidP="00E0262F">
      <w:pPr>
        <w:pBdr>
          <w:top w:val="single" w:sz="4" w:space="1" w:color="auto"/>
          <w:left w:val="single" w:sz="4" w:space="4" w:color="auto"/>
          <w:bottom w:val="single" w:sz="4" w:space="1" w:color="auto"/>
          <w:right w:val="single" w:sz="4" w:space="4" w:color="auto"/>
        </w:pBdr>
        <w:jc w:val="both"/>
        <w:rPr>
          <w:b/>
          <w:lang w:eastAsia="en-US"/>
        </w:rPr>
      </w:pPr>
      <w:r>
        <w:rPr>
          <w:b/>
          <w:lang w:eastAsia="en-US"/>
        </w:rPr>
        <w:t>Oprávněným</w:t>
      </w:r>
      <w:r w:rsidR="009434BA">
        <w:rPr>
          <w:b/>
          <w:lang w:eastAsia="en-US"/>
        </w:rPr>
        <w:t>i</w:t>
      </w:r>
      <w:r>
        <w:rPr>
          <w:b/>
          <w:lang w:eastAsia="en-US"/>
        </w:rPr>
        <w:t xml:space="preserve"> žadatel</w:t>
      </w:r>
      <w:r w:rsidR="009434BA">
        <w:rPr>
          <w:b/>
          <w:lang w:eastAsia="en-US"/>
        </w:rPr>
        <w:t xml:space="preserve">i </w:t>
      </w:r>
      <w:r>
        <w:rPr>
          <w:b/>
          <w:lang w:eastAsia="en-US"/>
        </w:rPr>
        <w:t>ne</w:t>
      </w:r>
      <w:r w:rsidR="009434BA">
        <w:rPr>
          <w:b/>
          <w:lang w:eastAsia="en-US"/>
        </w:rPr>
        <w:t>jsou</w:t>
      </w:r>
      <w:r>
        <w:rPr>
          <w:b/>
          <w:lang w:eastAsia="en-US"/>
        </w:rPr>
        <w:t xml:space="preserve"> </w:t>
      </w:r>
      <w:r w:rsidRPr="00E0262F">
        <w:rPr>
          <w:b/>
          <w:lang w:eastAsia="en-US"/>
        </w:rPr>
        <w:t>fyzick</w:t>
      </w:r>
      <w:r w:rsidR="00772AA6">
        <w:rPr>
          <w:b/>
          <w:lang w:eastAsia="en-US"/>
        </w:rPr>
        <w:t>é</w:t>
      </w:r>
      <w:r w:rsidRPr="00E0262F">
        <w:rPr>
          <w:b/>
          <w:lang w:eastAsia="en-US"/>
        </w:rPr>
        <w:t xml:space="preserve"> osob</w:t>
      </w:r>
      <w:r w:rsidR="00772AA6">
        <w:rPr>
          <w:b/>
          <w:lang w:eastAsia="en-US"/>
        </w:rPr>
        <w:t>y</w:t>
      </w:r>
      <w:r>
        <w:rPr>
          <w:b/>
          <w:lang w:eastAsia="en-US"/>
        </w:rPr>
        <w:t xml:space="preserve"> nepodnikající</w:t>
      </w:r>
      <w:r w:rsidRPr="00E0262F">
        <w:rPr>
          <w:b/>
          <w:lang w:eastAsia="en-US"/>
        </w:rPr>
        <w:t>.</w:t>
      </w:r>
    </w:p>
    <w:p w:rsidR="007C6154" w:rsidRDefault="007C6154" w:rsidP="007C6154">
      <w:pPr>
        <w:pBdr>
          <w:top w:val="single" w:sz="4" w:space="1" w:color="auto"/>
          <w:left w:val="single" w:sz="4" w:space="4" w:color="auto"/>
          <w:bottom w:val="single" w:sz="4" w:space="1" w:color="auto"/>
          <w:right w:val="single" w:sz="4" w:space="4" w:color="auto"/>
        </w:pBdr>
        <w:jc w:val="both"/>
        <w:rPr>
          <w:b/>
          <w:lang w:eastAsia="en-US"/>
        </w:rPr>
      </w:pPr>
      <w:r w:rsidRPr="007C6154">
        <w:rPr>
          <w:b/>
          <w:lang w:eastAsia="en-US"/>
        </w:rPr>
        <w:t>Jsou vyloučeny akciové společnosti s listinnými akciemi na majitele. Žadatelem o</w:t>
      </w:r>
      <w:r w:rsidR="00E946B5">
        <w:rPr>
          <w:b/>
          <w:lang w:eastAsia="en-US"/>
        </w:rPr>
        <w:t> </w:t>
      </w:r>
      <w:r w:rsidRPr="007C6154">
        <w:rPr>
          <w:b/>
          <w:lang w:eastAsia="en-US"/>
        </w:rPr>
        <w:t xml:space="preserve"> dotaci nesmí být akciová společnost s jakýmkoli podílem listinných akcií na majitele. Doložení majetkové struktury akciové společnosti s listinnými akciemi na majitele jako žadatele o dotaci jiným způsobem (např. přílohou k účetní závěrce nebo zápisem z jednání valné hromady žadatele) není možné a nemůže být považováno za prokázání majetkové struktury žadatele. </w:t>
      </w:r>
    </w:p>
    <w:p w:rsidR="00710B6A" w:rsidRPr="001856E4" w:rsidRDefault="00710B6A" w:rsidP="007C6154">
      <w:pPr>
        <w:pBdr>
          <w:top w:val="single" w:sz="4" w:space="1" w:color="auto"/>
          <w:left w:val="single" w:sz="4" w:space="4" w:color="auto"/>
          <w:bottom w:val="single" w:sz="4" w:space="1" w:color="auto"/>
          <w:right w:val="single" w:sz="4" w:space="4" w:color="auto"/>
        </w:pBdr>
        <w:jc w:val="both"/>
        <w:rPr>
          <w:b/>
          <w:lang w:eastAsia="en-US"/>
        </w:rPr>
      </w:pPr>
      <w:r>
        <w:rPr>
          <w:b/>
          <w:lang w:eastAsia="en-US"/>
        </w:rPr>
        <w:t xml:space="preserve">V  jedné žádosti </w:t>
      </w:r>
      <w:r w:rsidR="006D295E">
        <w:rPr>
          <w:b/>
          <w:lang w:eastAsia="en-US"/>
        </w:rPr>
        <w:t xml:space="preserve">o podporu </w:t>
      </w:r>
      <w:r>
        <w:rPr>
          <w:b/>
          <w:lang w:eastAsia="en-US"/>
        </w:rPr>
        <w:t xml:space="preserve">je možné podpořit snížení energetické náročnosti více budov. V jedné žádosti </w:t>
      </w:r>
      <w:r w:rsidR="006D295E">
        <w:rPr>
          <w:b/>
          <w:lang w:eastAsia="en-US"/>
        </w:rPr>
        <w:t xml:space="preserve">o podporu </w:t>
      </w:r>
      <w:r>
        <w:rPr>
          <w:b/>
          <w:lang w:eastAsia="en-US"/>
        </w:rPr>
        <w:t xml:space="preserve">ale nelze podpořit bytové domy s rozdílnou hladinou podpory. </w:t>
      </w:r>
    </w:p>
    <w:p w:rsidR="00CF0087" w:rsidRDefault="00CF0087" w:rsidP="00664985">
      <w:pPr>
        <w:jc w:val="both"/>
      </w:pPr>
    </w:p>
    <w:p w:rsidR="00260BDB" w:rsidRDefault="00260BDB" w:rsidP="007C6154">
      <w:pPr>
        <w:pBdr>
          <w:top w:val="single" w:sz="4" w:space="1" w:color="auto"/>
          <w:left w:val="single" w:sz="4" w:space="4" w:color="auto"/>
          <w:bottom w:val="single" w:sz="4" w:space="1" w:color="auto"/>
          <w:right w:val="single" w:sz="4" w:space="4" w:color="auto"/>
        </w:pBdr>
        <w:jc w:val="both"/>
        <w:rPr>
          <w:b/>
          <w:lang w:eastAsia="en-US"/>
        </w:rPr>
      </w:pPr>
      <w:r>
        <w:rPr>
          <w:b/>
          <w:lang w:eastAsia="en-US"/>
        </w:rPr>
        <w:t>DOPORUČENÍ</w:t>
      </w:r>
    </w:p>
    <w:p w:rsidR="00687607" w:rsidRDefault="006D295E" w:rsidP="00687607">
      <w:pPr>
        <w:pBdr>
          <w:top w:val="single" w:sz="4" w:space="1" w:color="auto"/>
          <w:left w:val="single" w:sz="4" w:space="4" w:color="auto"/>
          <w:bottom w:val="single" w:sz="4" w:space="1" w:color="auto"/>
          <w:right w:val="single" w:sz="4" w:space="4" w:color="auto"/>
        </w:pBdr>
        <w:jc w:val="both"/>
      </w:pPr>
      <w:r>
        <w:rPr>
          <w:lang w:eastAsia="en-US"/>
        </w:rPr>
        <w:t>Jestliže</w:t>
      </w:r>
      <w:r w:rsidR="00687607" w:rsidRPr="00F573DB">
        <w:rPr>
          <w:lang w:eastAsia="en-US"/>
        </w:rPr>
        <w:t xml:space="preserve"> bytový dům vlastní různé typy vlastníků (např. bytové družstvo a několik fyzických osob)</w:t>
      </w:r>
      <w:r w:rsidR="00687607">
        <w:rPr>
          <w:lang w:eastAsia="en-US"/>
        </w:rPr>
        <w:t>,</w:t>
      </w:r>
      <w:r w:rsidR="00687607" w:rsidRPr="00F573DB">
        <w:rPr>
          <w:lang w:eastAsia="en-US"/>
        </w:rPr>
        <w:t xml:space="preserve"> může vlastník (právnická osoba) podat žádost </w:t>
      </w:r>
      <w:r w:rsidR="00060830">
        <w:rPr>
          <w:lang w:eastAsia="en-US"/>
        </w:rPr>
        <w:t xml:space="preserve">o podporu </w:t>
      </w:r>
      <w:r w:rsidR="00687607" w:rsidRPr="00F573DB">
        <w:rPr>
          <w:lang w:eastAsia="en-US"/>
        </w:rPr>
        <w:t>na svoji část domu a musí prokázat splnění všech požado</w:t>
      </w:r>
      <w:r w:rsidR="00687607">
        <w:rPr>
          <w:lang w:eastAsia="en-US"/>
        </w:rPr>
        <w:t>vaných hodnotících kritérií pro celý bytový dům</w:t>
      </w:r>
      <w:r w:rsidR="00F20CF4">
        <w:rPr>
          <w:lang w:eastAsia="en-US"/>
        </w:rPr>
        <w:t xml:space="preserve"> (viz kap. 4.1 těchto P</w:t>
      </w:r>
      <w:r w:rsidR="008F3D5D">
        <w:rPr>
          <w:lang w:eastAsia="en-US"/>
        </w:rPr>
        <w:t>ravidel)</w:t>
      </w:r>
      <w:r w:rsidR="00687607">
        <w:rPr>
          <w:lang w:eastAsia="en-US"/>
        </w:rPr>
        <w:t>.</w:t>
      </w:r>
      <w:r w:rsidR="00687607" w:rsidRPr="008B62A9">
        <w:t xml:space="preserve"> </w:t>
      </w:r>
    </w:p>
    <w:p w:rsidR="00687607" w:rsidRPr="00F573DB" w:rsidRDefault="00687607" w:rsidP="00687607">
      <w:pPr>
        <w:pBdr>
          <w:top w:val="single" w:sz="4" w:space="1" w:color="auto"/>
          <w:left w:val="single" w:sz="4" w:space="4" w:color="auto"/>
          <w:bottom w:val="single" w:sz="4" w:space="1" w:color="auto"/>
          <w:right w:val="single" w:sz="4" w:space="4" w:color="auto"/>
        </w:pBdr>
        <w:jc w:val="both"/>
        <w:rPr>
          <w:lang w:eastAsia="en-US"/>
        </w:rPr>
      </w:pPr>
      <w:r>
        <w:rPr>
          <w:lang w:eastAsia="en-US"/>
        </w:rPr>
        <w:t>J</w:t>
      </w:r>
      <w:r w:rsidRPr="00F573DB">
        <w:rPr>
          <w:lang w:eastAsia="en-US"/>
        </w:rPr>
        <w:t xml:space="preserve">e možné založit SVJ, které </w:t>
      </w:r>
      <w:r>
        <w:rPr>
          <w:lang w:eastAsia="en-US"/>
        </w:rPr>
        <w:t xml:space="preserve">předloží </w:t>
      </w:r>
      <w:r w:rsidRPr="00F573DB">
        <w:rPr>
          <w:lang w:eastAsia="en-US"/>
        </w:rPr>
        <w:t>žádost o podporu</w:t>
      </w:r>
      <w:r>
        <w:rPr>
          <w:lang w:eastAsia="en-US"/>
        </w:rPr>
        <w:t>.</w:t>
      </w:r>
      <w:r w:rsidRPr="00F573DB" w:rsidDel="00B411BF">
        <w:rPr>
          <w:lang w:eastAsia="en-US"/>
        </w:rPr>
        <w:t xml:space="preserve"> </w:t>
      </w:r>
      <w:r>
        <w:rPr>
          <w:lang w:eastAsia="en-US"/>
        </w:rPr>
        <w:t>Č</w:t>
      </w:r>
      <w:r w:rsidRPr="00F573DB">
        <w:rPr>
          <w:lang w:eastAsia="en-US"/>
        </w:rPr>
        <w:t>leny budou všichni vlastníci bytového domu.</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t>Pokud jsou vlastníky bytového domu dvě nebo více fyzických osob, lze podat žádost jako SVJ. Podle §</w:t>
      </w:r>
      <w:r w:rsidR="00826A9B">
        <w:rPr>
          <w:lang w:eastAsia="en-US"/>
        </w:rPr>
        <w:t xml:space="preserve"> </w:t>
      </w:r>
      <w:r w:rsidRPr="00F573DB">
        <w:rPr>
          <w:lang w:eastAsia="en-US"/>
        </w:rPr>
        <w:t>1199 zákona č. 89/2012 Sb., občanský zákoník, lze SVJ založit i v případech, kdy to zákon neukládá a se založením SVJ souhlasí všichni vlastníci.</w:t>
      </w:r>
    </w:p>
    <w:p w:rsidR="007C6154" w:rsidRPr="00F573DB" w:rsidRDefault="007C6154" w:rsidP="007C6154">
      <w:pPr>
        <w:pBdr>
          <w:top w:val="single" w:sz="4" w:space="1" w:color="auto"/>
          <w:left w:val="single" w:sz="4" w:space="4" w:color="auto"/>
          <w:bottom w:val="single" w:sz="4" w:space="1" w:color="auto"/>
          <w:right w:val="single" w:sz="4" w:space="4" w:color="auto"/>
        </w:pBdr>
        <w:jc w:val="both"/>
        <w:rPr>
          <w:lang w:eastAsia="en-US"/>
        </w:rPr>
      </w:pPr>
      <w:r w:rsidRPr="00F573DB">
        <w:rPr>
          <w:lang w:eastAsia="en-US"/>
        </w:rPr>
        <w:lastRenderedPageBreak/>
        <w:t xml:space="preserve">Pokud jsou vlastníky bytového domu dvě nebo více právnických osob, může každý vlastník podat žádost na svoji část domu nebo mohou založit jednu právnickou osobu, která bude vlastnit bytový dům a bude oprávněným žadatelem. </w:t>
      </w:r>
      <w:r w:rsidRPr="00E8320D">
        <w:rPr>
          <w:lang w:eastAsia="en-US"/>
        </w:rPr>
        <w:t>V takovém případě je nutné prokázat splnění všech požadovaných</w:t>
      </w:r>
      <w:r w:rsidR="00687607" w:rsidRPr="00E8320D">
        <w:rPr>
          <w:lang w:eastAsia="en-US"/>
        </w:rPr>
        <w:t xml:space="preserve"> hodnotících</w:t>
      </w:r>
      <w:r w:rsidRPr="00E8320D">
        <w:rPr>
          <w:lang w:eastAsia="en-US"/>
        </w:rPr>
        <w:t xml:space="preserve"> kritérií </w:t>
      </w:r>
      <w:r w:rsidR="00DC1AE6" w:rsidRPr="00E8320D">
        <w:rPr>
          <w:lang w:eastAsia="en-US"/>
        </w:rPr>
        <w:t xml:space="preserve">hodnocení </w:t>
      </w:r>
      <w:r w:rsidRPr="00E8320D">
        <w:rPr>
          <w:lang w:eastAsia="en-US"/>
        </w:rPr>
        <w:t>pro cel</w:t>
      </w:r>
      <w:r w:rsidR="008F3D5D" w:rsidRPr="00E8320D">
        <w:rPr>
          <w:lang w:eastAsia="en-US"/>
        </w:rPr>
        <w:t>ý</w:t>
      </w:r>
      <w:r w:rsidRPr="00E8320D">
        <w:rPr>
          <w:lang w:eastAsia="en-US"/>
        </w:rPr>
        <w:t xml:space="preserve"> </w:t>
      </w:r>
      <w:r w:rsidR="008B62A9" w:rsidRPr="00E8320D">
        <w:rPr>
          <w:lang w:eastAsia="en-US"/>
        </w:rPr>
        <w:t>bytový dům</w:t>
      </w:r>
      <w:r w:rsidR="008F3D5D" w:rsidRPr="00E8320D">
        <w:rPr>
          <w:lang w:eastAsia="en-US"/>
        </w:rPr>
        <w:t xml:space="preserve"> (viz kap. 4.1 těchto </w:t>
      </w:r>
      <w:r w:rsidR="0029463B" w:rsidRPr="00E8320D">
        <w:rPr>
          <w:lang w:eastAsia="en-US"/>
        </w:rPr>
        <w:t>P</w:t>
      </w:r>
      <w:r w:rsidR="008F3D5D" w:rsidRPr="00E8320D">
        <w:rPr>
          <w:lang w:eastAsia="en-US"/>
        </w:rPr>
        <w:t>ravidel)</w:t>
      </w:r>
      <w:r w:rsidRPr="00E8320D">
        <w:rPr>
          <w:lang w:eastAsia="en-US"/>
        </w:rPr>
        <w:t>.</w:t>
      </w:r>
      <w:r w:rsidRPr="00F573DB">
        <w:rPr>
          <w:lang w:eastAsia="en-US"/>
        </w:rPr>
        <w:t xml:space="preserve"> Lze také založit SVJ, jehož členy budou všichni vlastníci bytového domu.</w:t>
      </w:r>
    </w:p>
    <w:p w:rsidR="00D3758D" w:rsidRDefault="00D3758D" w:rsidP="00F573DB">
      <w:pPr>
        <w:pStyle w:val="Pravidla11"/>
        <w:numPr>
          <w:ilvl w:val="1"/>
          <w:numId w:val="63"/>
        </w:numPr>
      </w:pPr>
      <w:bookmarkStart w:id="57" w:name="_Ref424498977"/>
      <w:bookmarkStart w:id="58" w:name="_Toc444247649"/>
      <w:r>
        <w:t>Podporované aktivity</w:t>
      </w:r>
      <w:bookmarkEnd w:id="57"/>
      <w:bookmarkEnd w:id="58"/>
    </w:p>
    <w:p w:rsidR="007C6154" w:rsidRPr="00840B2F" w:rsidRDefault="007C6154" w:rsidP="007C6154">
      <w:pPr>
        <w:jc w:val="both"/>
        <w:rPr>
          <w:rFonts w:cs="Arial"/>
        </w:rPr>
      </w:pPr>
      <w:r w:rsidRPr="00F165C6">
        <w:rPr>
          <w:rFonts w:cs="Arial"/>
        </w:rPr>
        <w:t>Specifický cíl 2.5 Snížení energetické náročnosti v sektoru bydlení se zaměřuje na snížení konečné spotřeby energie prostřednictvím energeticky vědomé úpravy budovy s důrazem na obnovitelné zdroje a podporuje implementaci směrnice o energetické účinnosti (2012/27/EU) v České republice a pomáhá naplnění národního cíle pro energetickou účinnost do roku 2020.</w:t>
      </w:r>
    </w:p>
    <w:p w:rsidR="00674B31" w:rsidRDefault="00674B31" w:rsidP="00F573DB">
      <w:pPr>
        <w:pStyle w:val="Nadpis3"/>
      </w:pPr>
      <w:bookmarkStart w:id="59" w:name="_Toc444247650"/>
      <w:r w:rsidRPr="007F0009">
        <w:t>Typy podporovaných projektů a aktivit</w:t>
      </w:r>
      <w:bookmarkEnd w:id="59"/>
    </w:p>
    <w:p w:rsidR="00060830" w:rsidRPr="00060830" w:rsidRDefault="00060830" w:rsidP="00E8320D"/>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7F0009" w:rsidRDefault="007F0009" w:rsidP="007F0009">
      <w:pPr>
        <w:pBdr>
          <w:top w:val="single" w:sz="4" w:space="1" w:color="auto"/>
          <w:left w:val="single" w:sz="4" w:space="4" w:color="auto"/>
          <w:bottom w:val="single" w:sz="4" w:space="1" w:color="auto"/>
          <w:right w:val="single" w:sz="4" w:space="4" w:color="auto"/>
        </w:pBdr>
        <w:jc w:val="both"/>
        <w:rPr>
          <w:b/>
          <w:lang w:eastAsia="en-US"/>
        </w:rPr>
      </w:pPr>
      <w:r w:rsidRPr="007F0009">
        <w:rPr>
          <w:b/>
          <w:lang w:eastAsia="en-US"/>
        </w:rPr>
        <w:t>Každý projekt musí vést ke zvýšení energetické účinnosti, kterou se rozumí množství uspořené energie, určené odborným odhadem spotřeby před provedením opatření ke zvýšení energetické účinnosti a po něm, při zajištění normalizace vnějších podmínek, které spotřebu energie ovlivňují.</w:t>
      </w:r>
    </w:p>
    <w:p w:rsidR="00674B31" w:rsidRDefault="00674B31" w:rsidP="007F0009">
      <w:pPr>
        <w:spacing w:after="0"/>
        <w:contextualSpacing/>
        <w:jc w:val="both"/>
      </w:pPr>
      <w:r w:rsidRPr="005034CC">
        <w:t>Podporovány budou celkové nebo dílčí energeticky úsporné renovace bytových domů:</w:t>
      </w:r>
    </w:p>
    <w:p w:rsidR="00B90AC6" w:rsidRPr="007F0009" w:rsidRDefault="00674B31" w:rsidP="00F573DB">
      <w:pPr>
        <w:pStyle w:val="Odstavecseseznamem"/>
        <w:numPr>
          <w:ilvl w:val="1"/>
          <w:numId w:val="66"/>
        </w:numPr>
        <w:ind w:left="709" w:hanging="283"/>
        <w:jc w:val="both"/>
      </w:pPr>
      <w:r w:rsidRPr="007F0009">
        <w:t>zlepšení</w:t>
      </w:r>
      <w:r w:rsidRPr="00F573DB">
        <w:t xml:space="preserve"> tepelně-technických </w:t>
      </w:r>
      <w:r w:rsidRPr="007F0009">
        <w:t>parametrů</w:t>
      </w:r>
      <w:r w:rsidRPr="00F573DB">
        <w:t xml:space="preserve"> </w:t>
      </w:r>
      <w:r w:rsidRPr="007F0009">
        <w:t>stavebních</w:t>
      </w:r>
      <w:r w:rsidRPr="00F573DB">
        <w:t xml:space="preserve"> </w:t>
      </w:r>
      <w:r w:rsidRPr="007F0009">
        <w:t>konstrukcí</w:t>
      </w:r>
      <w:r w:rsidRPr="00F573DB">
        <w:t xml:space="preserve"> tvořících </w:t>
      </w:r>
      <w:r w:rsidRPr="007F0009">
        <w:t>obálku</w:t>
      </w:r>
      <w:r w:rsidRPr="00F573DB">
        <w:t xml:space="preserve"> budovy</w:t>
      </w:r>
      <w:r w:rsidR="00524ADB" w:rsidRPr="00F573DB">
        <w:t xml:space="preserve"> (zateplení obvodových stěn, stropu, podlahy, střechy</w:t>
      </w:r>
      <w:r w:rsidR="00810D48" w:rsidRPr="00F573DB">
        <w:t>, výměna oken a</w:t>
      </w:r>
      <w:r w:rsidR="001D70A7" w:rsidRPr="00F573DB">
        <w:t> </w:t>
      </w:r>
      <w:r w:rsidR="00810D48" w:rsidRPr="00F573DB">
        <w:t>dveří)</w:t>
      </w:r>
      <w:r w:rsidR="006F5CA9" w:rsidRPr="00F573DB">
        <w:t>;</w:t>
      </w:r>
    </w:p>
    <w:p w:rsidR="00810D48" w:rsidRPr="007F0009" w:rsidRDefault="006F5CA9" w:rsidP="00F573DB">
      <w:pPr>
        <w:pStyle w:val="Odstavecseseznamem"/>
        <w:numPr>
          <w:ilvl w:val="0"/>
          <w:numId w:val="66"/>
        </w:numPr>
        <w:jc w:val="both"/>
      </w:pPr>
      <w:r w:rsidRPr="007F0009">
        <w:t>i</w:t>
      </w:r>
      <w:r w:rsidR="00810D48" w:rsidRPr="007F0009">
        <w:t>nstalace prvků stínění (pouze exteriérové prvky)</w:t>
      </w:r>
      <w:r w:rsidRPr="007F0009">
        <w:t>;</w:t>
      </w:r>
    </w:p>
    <w:p w:rsidR="00810D48" w:rsidRPr="007F0009" w:rsidRDefault="006F5CA9" w:rsidP="00F573DB">
      <w:pPr>
        <w:pStyle w:val="Odstavecseseznamem"/>
        <w:numPr>
          <w:ilvl w:val="0"/>
          <w:numId w:val="66"/>
        </w:numPr>
        <w:jc w:val="both"/>
      </w:pPr>
      <w:r w:rsidRPr="007F0009">
        <w:t>i</w:t>
      </w:r>
      <w:r w:rsidR="000933C5" w:rsidRPr="007F0009">
        <w:t>nstalace systému nuceného větrání se zpětným získáváním tepla</w:t>
      </w:r>
      <w:r w:rsidRPr="007F0009">
        <w:t>;</w:t>
      </w:r>
    </w:p>
    <w:p w:rsidR="00352524" w:rsidRPr="007F0009" w:rsidRDefault="006F5CA9" w:rsidP="00F573DB">
      <w:pPr>
        <w:pStyle w:val="Odstavecseseznamem"/>
        <w:numPr>
          <w:ilvl w:val="0"/>
          <w:numId w:val="66"/>
        </w:numPr>
        <w:jc w:val="both"/>
      </w:pPr>
      <w:r w:rsidRPr="007F0009">
        <w:t>v</w:t>
      </w:r>
      <w:r w:rsidR="000933C5" w:rsidRPr="007F0009">
        <w:t xml:space="preserve">ýměna stávajícího </w:t>
      </w:r>
      <w:r w:rsidR="00F51968">
        <w:t xml:space="preserve">hlavního </w:t>
      </w:r>
      <w:r w:rsidR="000933C5" w:rsidRPr="007F0009">
        <w:t>zdroje tepla na tuhá nebo kapalná fosilní paliva za plynový kondenzační kotel, kotel na biomasu, tepelné čerpadlo</w:t>
      </w:r>
      <w:r w:rsidR="00352524" w:rsidRPr="007F0009">
        <w:t xml:space="preserve"> včetně instalace akumulační nádrže</w:t>
      </w:r>
      <w:r w:rsidRPr="007F0009">
        <w:t>;</w:t>
      </w:r>
    </w:p>
    <w:p w:rsidR="000933C5" w:rsidRPr="007F0009" w:rsidRDefault="006F5CA9" w:rsidP="00F573DB">
      <w:pPr>
        <w:pStyle w:val="Odstavecseseznamem"/>
        <w:numPr>
          <w:ilvl w:val="0"/>
          <w:numId w:val="66"/>
        </w:numPr>
        <w:jc w:val="both"/>
      </w:pPr>
      <w:r w:rsidRPr="007F0009">
        <w:t>v</w:t>
      </w:r>
      <w:r w:rsidR="00352524" w:rsidRPr="007F0009">
        <w:t xml:space="preserve">ýměna stávajícího </w:t>
      </w:r>
      <w:r w:rsidR="00F51968">
        <w:t xml:space="preserve">hlavního </w:t>
      </w:r>
      <w:r w:rsidR="00352524" w:rsidRPr="007F0009">
        <w:t>zdroje t</w:t>
      </w:r>
      <w:r w:rsidR="003449FD" w:rsidRPr="007F0009">
        <w:t>e</w:t>
      </w:r>
      <w:r w:rsidR="00352524" w:rsidRPr="007F0009">
        <w:t xml:space="preserve">pla na tuhá nebo kapalná fosilní paliva </w:t>
      </w:r>
      <w:r w:rsidR="003449FD" w:rsidRPr="007F0009">
        <w:t>za jednotku</w:t>
      </w:r>
      <w:r w:rsidR="000933C5" w:rsidRPr="007F0009">
        <w:t xml:space="preserve"> pro kombinovanou výrobu elektřiny a tepla využívající obnovitelné zdroje energie nebo zemní plyn</w:t>
      </w:r>
      <w:r w:rsidRPr="007F0009">
        <w:t>;</w:t>
      </w:r>
    </w:p>
    <w:p w:rsidR="000933C5" w:rsidRPr="007F0009" w:rsidRDefault="006F5CA9" w:rsidP="00F573DB">
      <w:pPr>
        <w:pStyle w:val="Odstavecseseznamem"/>
        <w:numPr>
          <w:ilvl w:val="0"/>
          <w:numId w:val="66"/>
        </w:numPr>
        <w:jc w:val="both"/>
      </w:pPr>
      <w:r w:rsidRPr="007F0009">
        <w:t>i</w:t>
      </w:r>
      <w:r w:rsidR="000933C5" w:rsidRPr="007F0009">
        <w:t>nstalac</w:t>
      </w:r>
      <w:r w:rsidR="00840B2F" w:rsidRPr="007F0009">
        <w:t>e</w:t>
      </w:r>
      <w:r w:rsidR="000933C5" w:rsidRPr="007F0009">
        <w:t xml:space="preserve"> nového zdroje tepla (plynový kondenzační kotel, kotel na biomasu nebo tepelné čerpadlo</w:t>
      </w:r>
      <w:r w:rsidR="003B42BD" w:rsidRPr="007F0009">
        <w:t xml:space="preserve"> včetně instalace akumulační nádrže</w:t>
      </w:r>
      <w:r w:rsidR="000933C5" w:rsidRPr="007F0009">
        <w:t>) a výstavbu centrálního vytápění v domech, ve kterých byly dosud jednotlivé byty vytápěny vlastními zdroji na tuhá nebo kapalná fosilní paliva</w:t>
      </w:r>
      <w:r w:rsidRPr="007F0009">
        <w:t>;</w:t>
      </w:r>
    </w:p>
    <w:p w:rsidR="00FE2DA2" w:rsidRPr="007F0009" w:rsidRDefault="006F5CA9" w:rsidP="00F573DB">
      <w:pPr>
        <w:pStyle w:val="Odstavecseseznamem"/>
        <w:numPr>
          <w:ilvl w:val="0"/>
          <w:numId w:val="66"/>
        </w:numPr>
        <w:jc w:val="both"/>
      </w:pPr>
      <w:r w:rsidRPr="007F0009">
        <w:t>i</w:t>
      </w:r>
      <w:r w:rsidR="00FE2DA2" w:rsidRPr="007F0009">
        <w:t>nstalace solárních termických kolektorů</w:t>
      </w:r>
      <w:r w:rsidR="003B42BD" w:rsidRPr="007F0009">
        <w:t xml:space="preserve"> včetně instalace akumulační nádrže</w:t>
      </w:r>
      <w:r w:rsidRPr="007F0009">
        <w:t xml:space="preserve">; </w:t>
      </w:r>
    </w:p>
    <w:p w:rsidR="00FE2DA2" w:rsidRPr="007F0009" w:rsidRDefault="006F5CA9" w:rsidP="00F573DB">
      <w:pPr>
        <w:pStyle w:val="Odstavecseseznamem"/>
        <w:numPr>
          <w:ilvl w:val="0"/>
          <w:numId w:val="66"/>
        </w:numPr>
        <w:jc w:val="both"/>
      </w:pPr>
      <w:r w:rsidRPr="007F0009">
        <w:t>i</w:t>
      </w:r>
      <w:r w:rsidR="00FE2DA2" w:rsidRPr="007F0009">
        <w:t xml:space="preserve">nstalace </w:t>
      </w:r>
      <w:r w:rsidR="00F51968">
        <w:t xml:space="preserve">solárních </w:t>
      </w:r>
      <w:r w:rsidR="00FE2DA2" w:rsidRPr="007F0009">
        <w:t>fotovoltaických soustav</w:t>
      </w:r>
      <w:r w:rsidRPr="007F0009">
        <w:t xml:space="preserve">; </w:t>
      </w:r>
    </w:p>
    <w:p w:rsidR="00FE2DA2" w:rsidRPr="007F0009" w:rsidRDefault="006F5CA9" w:rsidP="00F573DB">
      <w:pPr>
        <w:pStyle w:val="Odstavecseseznamem"/>
        <w:numPr>
          <w:ilvl w:val="0"/>
          <w:numId w:val="66"/>
        </w:numPr>
        <w:jc w:val="both"/>
      </w:pPr>
      <w:r w:rsidRPr="007F0009">
        <w:t>v</w:t>
      </w:r>
      <w:r w:rsidR="00FE2DA2" w:rsidRPr="007F0009">
        <w:t>ýměna předávací stanice</w:t>
      </w:r>
      <w:r w:rsidRPr="007F0009">
        <w:t>;</w:t>
      </w:r>
    </w:p>
    <w:p w:rsidR="00A81499" w:rsidRPr="007F0009" w:rsidRDefault="006F5CA9" w:rsidP="00F573DB">
      <w:pPr>
        <w:pStyle w:val="Odstavecseseznamem"/>
        <w:numPr>
          <w:ilvl w:val="0"/>
          <w:numId w:val="66"/>
        </w:numPr>
        <w:jc w:val="both"/>
      </w:pPr>
      <w:r w:rsidRPr="007F0009">
        <w:t>v</w:t>
      </w:r>
      <w:r w:rsidR="00FE2DA2" w:rsidRPr="007F0009">
        <w:t>yregulování nebo modernizace soustavy vytápění objektu</w:t>
      </w:r>
      <w:r w:rsidR="00851605" w:rsidRPr="007F0009">
        <w:t xml:space="preserve"> a rozvodů teplé užitkové vody</w:t>
      </w:r>
      <w:r w:rsidR="00A81499" w:rsidRPr="007F0009">
        <w:t xml:space="preserve"> včetně instalace systémů měření a regulace otopné soustavy</w:t>
      </w:r>
      <w:r w:rsidR="00840B2F" w:rsidRPr="007F0009">
        <w:t>.</w:t>
      </w:r>
      <w:r w:rsidRPr="007F0009">
        <w:t xml:space="preserve"> </w:t>
      </w:r>
    </w:p>
    <w:p w:rsidR="0062402B" w:rsidRPr="000F20D7" w:rsidRDefault="0062402B" w:rsidP="00C76941"/>
    <w:p w:rsidR="004352D7" w:rsidRPr="00F573DB" w:rsidRDefault="003449FD" w:rsidP="00F573DB">
      <w:pPr>
        <w:pStyle w:val="Odstavecseseznamem"/>
        <w:numPr>
          <w:ilvl w:val="0"/>
          <w:numId w:val="67"/>
        </w:numPr>
        <w:rPr>
          <w:b/>
        </w:rPr>
      </w:pPr>
      <w:r w:rsidRPr="00F573DB">
        <w:rPr>
          <w:b/>
        </w:rPr>
        <w:lastRenderedPageBreak/>
        <w:t>Zlepšení tepelně-technických parametrů konstrukcí tvořících obálku budovy</w:t>
      </w:r>
    </w:p>
    <w:p w:rsidR="009A6DBE" w:rsidRDefault="009A6DBE" w:rsidP="00D14817">
      <w:pPr>
        <w:jc w:val="both"/>
      </w:pPr>
      <w:r>
        <w:t>Pro přiznání podpory na zateplení obvodových konstrukcí a/nebo výměnu výplní otvorů je nutné splnit následující požadavky:</w:t>
      </w:r>
    </w:p>
    <w:p w:rsidR="009A6DBE" w:rsidRDefault="000D41BA" w:rsidP="00D14817">
      <w:pPr>
        <w:jc w:val="both"/>
      </w:pPr>
      <w:r>
        <w:t>a) úspora celkové dodané energie v minimální výši 20 %</w:t>
      </w:r>
      <w:r w:rsidR="00D14817">
        <w:t xml:space="preserve"> oproti stavu před realizací opatření</w:t>
      </w:r>
      <w:r>
        <w:t xml:space="preserve"> a zároveň </w:t>
      </w:r>
      <w:r w:rsidR="00895DD2">
        <w:t xml:space="preserve">dosažení 0,95 násobku </w:t>
      </w:r>
      <w:r>
        <w:t>hodnoty součinitele prostupu tepla</w:t>
      </w:r>
      <w:r w:rsidR="00741BCE">
        <w:t xml:space="preserve"> U </w:t>
      </w:r>
      <w:r w:rsidR="00741BCE" w:rsidRPr="00E8320D">
        <w:rPr>
          <w:vertAlign w:val="subscript"/>
        </w:rPr>
        <w:t>r</w:t>
      </w:r>
      <w:r w:rsidR="007C61CA" w:rsidRPr="00E8320D">
        <w:rPr>
          <w:vertAlign w:val="subscript"/>
        </w:rPr>
        <w:t>ec</w:t>
      </w:r>
      <w:r w:rsidR="00895DD2">
        <w:t xml:space="preserve"> podle ČSN 73 0540-2 </w:t>
      </w:r>
      <w:r>
        <w:t xml:space="preserve"> všech zateplovaných konstrukcí nebo měněných výplní otvorů</w:t>
      </w:r>
      <w:r w:rsidR="00895DD2">
        <w:t>,</w:t>
      </w:r>
    </w:p>
    <w:p w:rsidR="000D41BA" w:rsidRDefault="000D41BA" w:rsidP="00D14817">
      <w:pPr>
        <w:jc w:val="both"/>
      </w:pPr>
      <w:r>
        <w:t>nebo</w:t>
      </w:r>
    </w:p>
    <w:p w:rsidR="0039487A" w:rsidRDefault="000D41BA" w:rsidP="00D14817">
      <w:pPr>
        <w:jc w:val="both"/>
      </w:pPr>
      <w:r>
        <w:t>b) úspora celkové dodané energie v minimální výši 30 %</w:t>
      </w:r>
      <w:r w:rsidR="00D14817">
        <w:t xml:space="preserve"> oproti stavu před realizací opatření</w:t>
      </w:r>
      <w:r>
        <w:t xml:space="preserve"> a zároveň</w:t>
      </w:r>
      <w:r w:rsidR="0039487A">
        <w:t xml:space="preserve"> splnění požadavků nákladově optimální úrovně podle písm. a) nebo b), odst. 2, §6 vyhlášky č. 78/2013 Sb., a zároveň dosažení klasifikační třídy celkové dodané energie C nebo lepší</w:t>
      </w:r>
      <w:r w:rsidR="00AD5FB5">
        <w:t>,</w:t>
      </w:r>
    </w:p>
    <w:p w:rsidR="0039487A" w:rsidRDefault="0039487A" w:rsidP="00D14817">
      <w:pPr>
        <w:jc w:val="both"/>
      </w:pPr>
      <w:r>
        <w:t xml:space="preserve">nebo </w:t>
      </w:r>
    </w:p>
    <w:p w:rsidR="0039487A" w:rsidRDefault="0039487A" w:rsidP="00D14817">
      <w:pPr>
        <w:jc w:val="both"/>
      </w:pPr>
      <w:r>
        <w:t>c) úspora celkové dodané energie v minimální výši 40 %</w:t>
      </w:r>
      <w:r w:rsidR="00D14817">
        <w:t xml:space="preserve"> oproti stavu před realizací opatření</w:t>
      </w:r>
      <w:r>
        <w:t xml:space="preserve"> a zároveň splnění požadavků nákladově optimální úrovně podle písm. a) nebo b), odst. 2, §6 vyhlášky č. 78/2013 Sb., a zároveň dosažení klasifikační třídy celkové dodané energie B nebo lepší.</w:t>
      </w:r>
    </w:p>
    <w:p w:rsidR="000A53B1" w:rsidRDefault="000A53B1" w:rsidP="00C972CC">
      <w:pPr>
        <w:jc w:val="both"/>
      </w:pPr>
      <w:r>
        <w:t>Po provedení těchto opatření je třeba provést vyregulování otopné soustavy.</w:t>
      </w:r>
      <w:r w:rsidR="00772AA6">
        <w:t xml:space="preserve"> </w:t>
      </w:r>
      <w:r w:rsidR="005D19D0">
        <w:t xml:space="preserve"> </w:t>
      </w:r>
      <w:r w:rsidR="005D19D0" w:rsidRPr="00E8320D">
        <w:t>Netýká se případů, kdy projektant ve svém stanovisku (popř. v projek</w:t>
      </w:r>
      <w:r w:rsidR="005D19D0" w:rsidRPr="00E8320D">
        <w:softHyphen/>
        <w:t>tu) uvede, že změny nastavení není nutno vzhledem k charakteru navrhovaných opatření provádět.</w:t>
      </w:r>
    </w:p>
    <w:p w:rsidR="00674B31" w:rsidRPr="00A431B7" w:rsidRDefault="00674B31" w:rsidP="00A431B7">
      <w:pPr>
        <w:pStyle w:val="Odstavecseseznamem"/>
        <w:numPr>
          <w:ilvl w:val="0"/>
          <w:numId w:val="67"/>
        </w:numPr>
        <w:rPr>
          <w:b/>
        </w:rPr>
      </w:pPr>
      <w:r w:rsidRPr="00A431B7">
        <w:rPr>
          <w:b/>
        </w:rPr>
        <w:t xml:space="preserve">Samostatná opatření výměny </w:t>
      </w:r>
      <w:r w:rsidR="00AD54E1">
        <w:rPr>
          <w:b/>
        </w:rPr>
        <w:t xml:space="preserve">hlavního </w:t>
      </w:r>
      <w:r w:rsidRPr="00A431B7">
        <w:rPr>
          <w:b/>
        </w:rPr>
        <w:t xml:space="preserve">zdroje </w:t>
      </w:r>
      <w:r w:rsidR="00851605" w:rsidRPr="00A431B7">
        <w:rPr>
          <w:b/>
        </w:rPr>
        <w:t xml:space="preserve">tepla </w:t>
      </w:r>
      <w:r w:rsidRPr="00A431B7">
        <w:rPr>
          <w:b/>
        </w:rPr>
        <w:t>a instalace</w:t>
      </w:r>
      <w:r w:rsidR="00851605" w:rsidRPr="00A431B7">
        <w:rPr>
          <w:b/>
        </w:rPr>
        <w:t xml:space="preserve"> systému</w:t>
      </w:r>
      <w:r w:rsidRPr="00A431B7">
        <w:rPr>
          <w:b/>
        </w:rPr>
        <w:t xml:space="preserve"> nuceného větrání </w:t>
      </w:r>
      <w:r w:rsidR="00851605" w:rsidRPr="00A431B7">
        <w:rPr>
          <w:b/>
        </w:rPr>
        <w:t>se zpětným získáváním tepla</w:t>
      </w:r>
    </w:p>
    <w:p w:rsidR="00674B31" w:rsidRDefault="007F0009" w:rsidP="00BE652D">
      <w:pPr>
        <w:spacing w:after="100" w:afterAutospacing="1"/>
        <w:contextualSpacing/>
        <w:jc w:val="both"/>
      </w:pPr>
      <w:r>
        <w:t>P</w:t>
      </w:r>
      <w:r w:rsidR="00674B31" w:rsidRPr="00F403B4">
        <w:t xml:space="preserve">odporována </w:t>
      </w:r>
      <w:r>
        <w:t>bude</w:t>
      </w:r>
      <w:r w:rsidRPr="00F403B4">
        <w:t xml:space="preserve"> </w:t>
      </w:r>
      <w:r w:rsidR="00674B31" w:rsidRPr="00BB6BD0">
        <w:rPr>
          <w:b/>
        </w:rPr>
        <w:t>samostatná výměn</w:t>
      </w:r>
      <w:r w:rsidR="00840B2F" w:rsidRPr="00BB6BD0">
        <w:rPr>
          <w:b/>
        </w:rPr>
        <w:t>a</w:t>
      </w:r>
      <w:r w:rsidR="00674B31" w:rsidRPr="00BB6BD0">
        <w:rPr>
          <w:b/>
        </w:rPr>
        <w:t xml:space="preserve"> zdroje tepla pro vytápění nebo přípravu teplé vody, využívajícího pevná nebo kapalná fosilní paliva</w:t>
      </w:r>
      <w:r w:rsidR="00840B2F" w:rsidRPr="00BB6BD0">
        <w:rPr>
          <w:b/>
        </w:rPr>
        <w:t>,</w:t>
      </w:r>
      <w:r w:rsidR="00674B31" w:rsidRPr="00BB6BD0">
        <w:rPr>
          <w:b/>
        </w:rPr>
        <w:t xml:space="preserve"> za účinné zdroje</w:t>
      </w:r>
      <w:r w:rsidR="00674B31" w:rsidRPr="00F403B4">
        <w:t xml:space="preserve"> </w:t>
      </w:r>
      <w:r w:rsidR="00674B31" w:rsidRPr="00BB6BD0">
        <w:rPr>
          <w:b/>
        </w:rPr>
        <w:t>využívající biomasu, tepelná čerpadla, kondenzační kotle na zemní plyn</w:t>
      </w:r>
      <w:r w:rsidR="00F85E08" w:rsidRPr="00BB6BD0">
        <w:rPr>
          <w:b/>
        </w:rPr>
        <w:t xml:space="preserve">, </w:t>
      </w:r>
      <w:r w:rsidR="00674B31" w:rsidRPr="00BB6BD0">
        <w:rPr>
          <w:b/>
        </w:rPr>
        <w:t>zařízení pro kombinovanou výrobu elektřiny a tepla využívající</w:t>
      </w:r>
      <w:r w:rsidR="00851605" w:rsidRPr="00BB6BD0">
        <w:rPr>
          <w:b/>
        </w:rPr>
        <w:t>ho</w:t>
      </w:r>
      <w:r w:rsidR="00674B31" w:rsidRPr="00BB6BD0">
        <w:rPr>
          <w:b/>
        </w:rPr>
        <w:t xml:space="preserve"> obnovitelné zdroje nebo zemní plyn</w:t>
      </w:r>
      <w:r w:rsidR="00F85E08" w:rsidRPr="00BB6BD0">
        <w:rPr>
          <w:b/>
        </w:rPr>
        <w:t xml:space="preserve"> nebo instalace systému nuceného větrání se zpětným získáváním tepla</w:t>
      </w:r>
      <w:r w:rsidR="00EB6080">
        <w:t xml:space="preserve">. Podmínkou podpory v těchto případech je </w:t>
      </w:r>
      <w:r w:rsidR="00FA3A5A">
        <w:t>splnění průměrného součinitele prostupu tepla budovy U</w:t>
      </w:r>
      <w:r w:rsidR="00260BDB">
        <w:t> </w:t>
      </w:r>
      <w:r w:rsidR="00FA3A5A">
        <w:t xml:space="preserve"> </w:t>
      </w:r>
      <w:r w:rsidR="00FA3A5A" w:rsidRPr="00C76941">
        <w:rPr>
          <w:vertAlign w:val="subscript"/>
        </w:rPr>
        <w:t>em,</w:t>
      </w:r>
      <w:r w:rsidR="00B46C91">
        <w:rPr>
          <w:vertAlign w:val="subscript"/>
        </w:rPr>
        <w:t xml:space="preserve"> </w:t>
      </w:r>
      <w:r w:rsidR="00FA3A5A" w:rsidRPr="00C76941">
        <w:rPr>
          <w:vertAlign w:val="subscript"/>
        </w:rPr>
        <w:t>R</w:t>
      </w:r>
      <w:r w:rsidR="00FA3A5A">
        <w:t xml:space="preserve"> podle vyhl. č. 78/2013 Sb., o energetické náročnosti budov. Pokud budova tuto hodnotu nesplňuje, pak je nutné provést zateplení obvodových konstrukcí</w:t>
      </w:r>
      <w:r w:rsidR="002D2F48">
        <w:t xml:space="preserve"> </w:t>
      </w:r>
      <w:r w:rsidR="00FA3A5A">
        <w:t xml:space="preserve">podle požadavků </w:t>
      </w:r>
      <w:r w:rsidR="00DE6F92">
        <w:t xml:space="preserve">výzvy </w:t>
      </w:r>
      <w:r w:rsidR="00B46C91">
        <w:t xml:space="preserve">stanovených pro </w:t>
      </w:r>
      <w:r w:rsidR="00DE6F92">
        <w:t>zateplení obvodových konstrukcí</w:t>
      </w:r>
      <w:r w:rsidR="00B46C91">
        <w:t>.</w:t>
      </w:r>
    </w:p>
    <w:p w:rsidR="009770AD" w:rsidRDefault="009770AD" w:rsidP="00BE652D">
      <w:pPr>
        <w:spacing w:after="100" w:afterAutospacing="1"/>
        <w:contextualSpacing/>
        <w:jc w:val="both"/>
      </w:pPr>
    </w:p>
    <w:p w:rsidR="00E338DC" w:rsidRDefault="00E338DC" w:rsidP="00BE652D">
      <w:pPr>
        <w:spacing w:after="100" w:afterAutospacing="1"/>
        <w:contextualSpacing/>
        <w:jc w:val="both"/>
      </w:pPr>
      <w:r>
        <w:t>Nový zdroj</w:t>
      </w:r>
      <w:r w:rsidR="009770AD">
        <w:t xml:space="preserve"> na biomasu</w:t>
      </w:r>
      <w:r>
        <w:t xml:space="preserve"> dosahuje účinnosti výroby energie minimálně 80 %</w:t>
      </w:r>
      <w:r w:rsidR="00B76005">
        <w:t>.</w:t>
      </w:r>
      <w:r w:rsidR="00C04DAA">
        <w:t xml:space="preserve"> </w:t>
      </w:r>
      <w:r w:rsidR="00B76005">
        <w:t xml:space="preserve">Tato podmínka se </w:t>
      </w:r>
      <w:r w:rsidR="00B961E0">
        <w:t>týká všech podpo</w:t>
      </w:r>
      <w:r w:rsidR="009770AD">
        <w:t>rovaných</w:t>
      </w:r>
      <w:r w:rsidR="00B961E0">
        <w:t xml:space="preserve"> zdrojů </w:t>
      </w:r>
      <w:r w:rsidR="009770AD">
        <w:t>na biomasu</w:t>
      </w:r>
      <w:r w:rsidR="00B961E0">
        <w:t xml:space="preserve"> </w:t>
      </w:r>
      <w:r w:rsidR="009770AD">
        <w:t xml:space="preserve">o příkonu 0–1 MW </w:t>
      </w:r>
      <w:r w:rsidR="00B961E0">
        <w:t>bez ohledu na skutečnost, zda musí splňovat požadavky podle Nařízení Komise (EU) 2015/1189 nebo požadavky vyplývající z vyhlášky č. 415/2012 Sb., o přípustné úrovni znečišťování a jejím zjišťování a o provedení některých dalších ustanovení zákona o</w:t>
      </w:r>
      <w:r w:rsidR="00410C75">
        <w:t> </w:t>
      </w:r>
      <w:r w:rsidR="00B961E0">
        <w:t xml:space="preserve"> ochraně ovzduší</w:t>
      </w:r>
      <w:r>
        <w:t>.</w:t>
      </w:r>
      <w:r w:rsidR="00FB2F9B">
        <w:t xml:space="preserve"> </w:t>
      </w:r>
    </w:p>
    <w:p w:rsidR="009770AD" w:rsidRDefault="009770AD" w:rsidP="00BE652D">
      <w:pPr>
        <w:spacing w:after="100" w:afterAutospacing="1"/>
        <w:contextualSpacing/>
        <w:jc w:val="both"/>
      </w:pPr>
    </w:p>
    <w:p w:rsidR="00E946B5" w:rsidRDefault="00E946B5" w:rsidP="00BE652D">
      <w:pPr>
        <w:spacing w:after="100" w:afterAutospacing="1"/>
        <w:contextualSpacing/>
        <w:jc w:val="both"/>
      </w:pPr>
      <w:r>
        <w:t>Podporována je také instalace nového zdroje tepla v bytovém domě, ve kterém před realizací opatření neexistovalo ústřední vytápění.</w:t>
      </w:r>
      <w:r w:rsidR="00321178">
        <w:t xml:space="preserve"> Více než polovina bytů musí být ve stávajícím stavu vytápěna zdroji na pevná nebo kapalná fosilní paliva. Tato skutečnost </w:t>
      </w:r>
      <w:r w:rsidR="00321178">
        <w:lastRenderedPageBreak/>
        <w:t>musí být popsána v</w:t>
      </w:r>
      <w:r w:rsidR="00904252">
        <w:t> příloze P</w:t>
      </w:r>
      <w:r w:rsidR="00321178">
        <w:t>odklad</w:t>
      </w:r>
      <w:r w:rsidR="00904252">
        <w:t>y</w:t>
      </w:r>
      <w:r w:rsidR="00321178">
        <w:t xml:space="preserve"> pro hodnocení.</w:t>
      </w:r>
      <w:r>
        <w:t xml:space="preserve"> Na nové ústřední vytápění musí být napojeny všechny bytové jednotky.</w:t>
      </w:r>
    </w:p>
    <w:p w:rsidR="009770AD" w:rsidRDefault="009770AD" w:rsidP="00BE652D">
      <w:pPr>
        <w:spacing w:after="100" w:afterAutospacing="1"/>
        <w:contextualSpacing/>
        <w:jc w:val="both"/>
      </w:pPr>
    </w:p>
    <w:p w:rsidR="00C07AE7" w:rsidRDefault="00C07AE7" w:rsidP="00BE652D">
      <w:pPr>
        <w:spacing w:after="100" w:afterAutospacing="1"/>
        <w:contextualSpacing/>
        <w:jc w:val="both"/>
      </w:pPr>
      <w:r>
        <w:t>V případě projektů zaměřených na výměnu zdroje tepla, kdy zároveň dochází také ke změně paliva, je nutné prokázat úporu emisí CO</w:t>
      </w:r>
      <w:r w:rsidRPr="00C07AE7">
        <w:rPr>
          <w:vertAlign w:val="subscript"/>
        </w:rPr>
        <w:t>2</w:t>
      </w:r>
      <w:r>
        <w:t xml:space="preserve"> ve výši minimálně 30 %</w:t>
      </w:r>
      <w:r w:rsidR="00ED38A5">
        <w:t xml:space="preserve"> oproti původnímu stavu</w:t>
      </w:r>
      <w:r>
        <w:t>.</w:t>
      </w:r>
    </w:p>
    <w:p w:rsidR="00840B2F" w:rsidRDefault="00693623" w:rsidP="00BE652D">
      <w:pPr>
        <w:spacing w:after="100" w:afterAutospacing="1"/>
        <w:contextualSpacing/>
        <w:jc w:val="both"/>
      </w:pPr>
      <w:r>
        <w:t xml:space="preserve">     </w:t>
      </w:r>
    </w:p>
    <w:p w:rsidR="00693623" w:rsidRDefault="00693623" w:rsidP="00BE652D">
      <w:pPr>
        <w:spacing w:after="100" w:afterAutospacing="1"/>
        <w:contextualSpacing/>
        <w:jc w:val="both"/>
      </w:pPr>
      <w:r>
        <w:t>Pokud je podpora požadována na instalaci kotle s ručním podáváním paliva, zdroj musí být napojen na akumulační nádrž o minimálním objemu 55</w:t>
      </w:r>
      <w:r w:rsidR="00400E9B">
        <w:t xml:space="preserve"> </w:t>
      </w:r>
      <w:r>
        <w:t>l/kW instalovaného tepelného výkonu.</w:t>
      </w:r>
    </w:p>
    <w:p w:rsidR="00B3418E" w:rsidRDefault="00B3418E" w:rsidP="00BE652D">
      <w:pPr>
        <w:spacing w:after="100" w:afterAutospacing="1"/>
        <w:contextualSpacing/>
        <w:jc w:val="both"/>
      </w:pPr>
    </w:p>
    <w:p w:rsidR="00B3418E" w:rsidRDefault="00B3418E" w:rsidP="00BE652D">
      <w:pPr>
        <w:spacing w:after="100" w:afterAutospacing="1"/>
        <w:contextualSpacing/>
        <w:jc w:val="both"/>
      </w:pPr>
      <w:r>
        <w:t>V případě instalace systému nuceného větrání se zpětným získáváním tepla:</w:t>
      </w:r>
    </w:p>
    <w:p w:rsidR="00B3418E" w:rsidRDefault="00B3418E" w:rsidP="00B3418E">
      <w:pPr>
        <w:pStyle w:val="Odstavecseseznamem"/>
        <w:numPr>
          <w:ilvl w:val="0"/>
          <w:numId w:val="73"/>
        </w:numPr>
        <w:jc w:val="both"/>
      </w:pPr>
      <w:r>
        <w:t>dosažení minimální účinnosti zpětného získávání tepla ve výši 65 %.</w:t>
      </w:r>
    </w:p>
    <w:p w:rsidR="00696D84" w:rsidRPr="007F0009" w:rsidRDefault="00696D84" w:rsidP="00A431B7">
      <w:pPr>
        <w:jc w:val="both"/>
      </w:pPr>
      <w:r w:rsidRPr="007F0009">
        <w:t xml:space="preserve">V případě nových spalovacích zdrojů </w:t>
      </w:r>
      <w:r w:rsidR="007038A8">
        <w:t>na biomasu</w:t>
      </w:r>
      <w:r w:rsidR="00626B9C">
        <w:t xml:space="preserve"> </w:t>
      </w:r>
      <w:r w:rsidR="00626B9C" w:rsidRPr="00C04DAA">
        <w:t>o</w:t>
      </w:r>
      <w:r w:rsidR="00626B9C" w:rsidRPr="00BB6BD0">
        <w:rPr>
          <w:b/>
        </w:rPr>
        <w:t xml:space="preserve"> tepelném výkonu do 500 kW</w:t>
      </w:r>
      <w:r w:rsidR="007038A8">
        <w:t xml:space="preserve"> </w:t>
      </w:r>
      <w:r w:rsidRPr="007F0009">
        <w:t>je nutné splnit požadavky dané Nařízením Komise (EU) 2015/1189:</w:t>
      </w:r>
    </w:p>
    <w:p w:rsidR="00F014E0" w:rsidRPr="007F0009" w:rsidRDefault="00F014E0" w:rsidP="00F014E0">
      <w:pPr>
        <w:pStyle w:val="Odstavecseseznamem"/>
        <w:numPr>
          <w:ilvl w:val="0"/>
          <w:numId w:val="73"/>
        </w:numPr>
        <w:jc w:val="both"/>
      </w:pPr>
      <w:r w:rsidRPr="007F0009">
        <w:t>sezónní energetická účinnost kotlů se jmenovitým tepelným výkonem 20 kW nebo menším nesmí být menší než 75 %</w:t>
      </w:r>
      <w:r>
        <w:t>,</w:t>
      </w:r>
    </w:p>
    <w:p w:rsidR="00F014E0" w:rsidRPr="007F0009" w:rsidRDefault="00F014E0" w:rsidP="00F014E0">
      <w:pPr>
        <w:pStyle w:val="Odstavecseseznamem"/>
        <w:numPr>
          <w:ilvl w:val="0"/>
          <w:numId w:val="73"/>
        </w:numPr>
        <w:jc w:val="both"/>
      </w:pPr>
      <w:r w:rsidRPr="007F0009">
        <w:t>sezónní energetická účinnost kotlů se jmenovitým tepelným výkonem větším než 20 kW nesmí být menší než 77 %</w:t>
      </w:r>
      <w:r>
        <w:t>,</w:t>
      </w:r>
    </w:p>
    <w:p w:rsidR="00696D84" w:rsidRPr="007F0009" w:rsidRDefault="00696D84" w:rsidP="00A431B7">
      <w:pPr>
        <w:pStyle w:val="Odstavecseseznamem"/>
        <w:numPr>
          <w:ilvl w:val="0"/>
          <w:numId w:val="73"/>
        </w:numPr>
        <w:jc w:val="both"/>
      </w:pPr>
      <w:r w:rsidRPr="007F0009">
        <w:t>sezónní emise částice z vytápění vnitřních prostorů nesmí být vyšší než 40 mg/m3 u kotlů s automatickým přikládáním a vyšší než 60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organických plynných sloučenin z vytápění vnitřních prostorů nesmí být vyšší než 20 mg/m</w:t>
      </w:r>
      <w:r w:rsidRPr="00A431B7">
        <w:rPr>
          <w:vertAlign w:val="superscript"/>
        </w:rPr>
        <w:t>3</w:t>
      </w:r>
      <w:r w:rsidRPr="007F0009">
        <w:t xml:space="preserve"> u kotlů s automatickým přikládáním a vyšší než 30 mg/m</w:t>
      </w:r>
      <w:r w:rsidRPr="00A431B7">
        <w:rPr>
          <w:vertAlign w:val="superscript"/>
        </w:rPr>
        <w:t>3</w:t>
      </w:r>
      <w:r w:rsidRPr="007F0009">
        <w:t xml:space="preserve"> u kotlů s ručním přikládáním</w:t>
      </w:r>
      <w:r w:rsidR="007F0009">
        <w:t>,</w:t>
      </w:r>
    </w:p>
    <w:p w:rsidR="00696D84" w:rsidRPr="007F0009" w:rsidRDefault="00696D84" w:rsidP="00A431B7">
      <w:pPr>
        <w:pStyle w:val="Odstavecseseznamem"/>
        <w:numPr>
          <w:ilvl w:val="0"/>
          <w:numId w:val="73"/>
        </w:numPr>
        <w:jc w:val="both"/>
      </w:pPr>
      <w:r w:rsidRPr="007F0009">
        <w:t>sezónní emise oxidu uhelnatého z vytápění vnitřních prostorů nesmí být vyšší než 500 mg/m</w:t>
      </w:r>
      <w:r w:rsidRPr="00A431B7">
        <w:rPr>
          <w:vertAlign w:val="superscript"/>
        </w:rPr>
        <w:t>3</w:t>
      </w:r>
      <w:r w:rsidRPr="007F0009">
        <w:t xml:space="preserve"> u kotlů s automatickým přikládáním a vyšší než 700 mg/m</w:t>
      </w:r>
      <w:r w:rsidRPr="00A431B7">
        <w:rPr>
          <w:vertAlign w:val="superscript"/>
        </w:rPr>
        <w:t>3</w:t>
      </w:r>
      <w:r w:rsidRPr="007F0009">
        <w:t xml:space="preserve"> u</w:t>
      </w:r>
      <w:r w:rsidR="00410C75">
        <w:t> </w:t>
      </w:r>
      <w:r w:rsidRPr="007F0009">
        <w:t xml:space="preserve"> kotlů s ručním přikládáním</w:t>
      </w:r>
      <w:r w:rsidR="007F0009">
        <w:t>,</w:t>
      </w:r>
    </w:p>
    <w:p w:rsidR="00696D84" w:rsidRPr="007F0009" w:rsidRDefault="00696D84" w:rsidP="00A431B7">
      <w:pPr>
        <w:pStyle w:val="Odstavecseseznamem"/>
        <w:numPr>
          <w:ilvl w:val="0"/>
          <w:numId w:val="73"/>
        </w:numPr>
        <w:jc w:val="both"/>
      </w:pPr>
      <w:r w:rsidRPr="007F0009">
        <w:t>sezónní emise oxidů dusíku z vytápění vnitřních prostorů vyjádřené ekvivalentem oxidu dusičitého nesmí být vyšší než 200 mg/m</w:t>
      </w:r>
      <w:r w:rsidRPr="00A431B7">
        <w:rPr>
          <w:vertAlign w:val="superscript"/>
        </w:rPr>
        <w:t>3</w:t>
      </w:r>
      <w:r w:rsidRPr="007F0009">
        <w:t xml:space="preserve"> u kotlů na biomasu.</w:t>
      </w:r>
    </w:p>
    <w:p w:rsidR="00696D84" w:rsidRPr="007F0009" w:rsidRDefault="00696D84" w:rsidP="00A431B7">
      <w:pPr>
        <w:jc w:val="both"/>
      </w:pPr>
      <w:r w:rsidRPr="007F0009">
        <w:t xml:space="preserve">V případě nových spalovacích zdrojů na biomasu o </w:t>
      </w:r>
      <w:r w:rsidRPr="00BB6BD0">
        <w:rPr>
          <w:b/>
        </w:rPr>
        <w:t>tepelném příkonu 0,3</w:t>
      </w:r>
      <w:r w:rsidR="009770AD">
        <w:rPr>
          <w:b/>
        </w:rPr>
        <w:t>–</w:t>
      </w:r>
      <w:r w:rsidRPr="00BB6BD0">
        <w:rPr>
          <w:b/>
        </w:rPr>
        <w:t>1 MW</w:t>
      </w:r>
      <w:r w:rsidRPr="007F0009">
        <w:t xml:space="preserve"> je nutné splnit následující emisní limity</w:t>
      </w:r>
      <w:r w:rsidR="001B2E4F">
        <w:t xml:space="preserve"> podle vyhlášky č. 415/2012 Sb., o přípustné úrovni znečišťování a jejím zjišťování a o provedení některých dalších ustanovení zákona o</w:t>
      </w:r>
      <w:r w:rsidR="00410C75">
        <w:t> </w:t>
      </w:r>
      <w:r w:rsidR="001B2E4F">
        <w:t xml:space="preserve"> ochraně ovzduší</w:t>
      </w:r>
      <w:r w:rsidRPr="007F0009">
        <w:t>:</w:t>
      </w:r>
    </w:p>
    <w:p w:rsidR="00260BDB" w:rsidRPr="007F0009" w:rsidRDefault="00260BDB" w:rsidP="00260BDB">
      <w:pPr>
        <w:pStyle w:val="Odstavecseseznamem"/>
        <w:numPr>
          <w:ilvl w:val="0"/>
          <w:numId w:val="71"/>
        </w:numPr>
        <w:jc w:val="both"/>
      </w:pPr>
      <w:r w:rsidRPr="007F0009">
        <w:t>emise oxidů dusíku nesmí být vyšší než 600 mg/m</w:t>
      </w:r>
      <w:r w:rsidRPr="00260BDB">
        <w:rPr>
          <w:vertAlign w:val="superscript"/>
        </w:rPr>
        <w:t>3</w:t>
      </w:r>
      <w:r>
        <w:t>,</w:t>
      </w:r>
    </w:p>
    <w:p w:rsidR="00696D84" w:rsidRPr="007F0009" w:rsidRDefault="00260BDB" w:rsidP="00260BDB">
      <w:pPr>
        <w:pStyle w:val="Odstavecseseznamem"/>
        <w:numPr>
          <w:ilvl w:val="0"/>
          <w:numId w:val="71"/>
        </w:numPr>
        <w:jc w:val="both"/>
      </w:pPr>
      <w:r w:rsidRPr="007F0009">
        <w:t>emise tuhých znečišťujících látek nesmí být vyšší než 100 mg/m</w:t>
      </w:r>
      <w:r w:rsidRPr="00A431B7">
        <w:rPr>
          <w:vertAlign w:val="superscript"/>
        </w:rPr>
        <w:t>3</w:t>
      </w:r>
      <w:r>
        <w:t>,</w:t>
      </w:r>
    </w:p>
    <w:p w:rsidR="004C267C" w:rsidRPr="007F0009" w:rsidRDefault="00696D84" w:rsidP="00A431B7">
      <w:pPr>
        <w:pStyle w:val="Odstavecseseznamem"/>
        <w:numPr>
          <w:ilvl w:val="0"/>
          <w:numId w:val="71"/>
        </w:numPr>
        <w:jc w:val="both"/>
      </w:pPr>
      <w:r w:rsidRPr="007F0009">
        <w:t>emise oxidu uhelnatého nesmí být vyšší než 400 mg/m</w:t>
      </w:r>
      <w:r w:rsidRPr="00A431B7">
        <w:rPr>
          <w:vertAlign w:val="superscript"/>
        </w:rPr>
        <w:t>3</w:t>
      </w:r>
      <w:r w:rsidR="007F0009">
        <w:t>.</w:t>
      </w:r>
    </w:p>
    <w:p w:rsidR="004C267C" w:rsidRPr="007F0009" w:rsidRDefault="004C267C" w:rsidP="00A431B7">
      <w:pPr>
        <w:jc w:val="both"/>
      </w:pPr>
      <w:r w:rsidRPr="007F0009">
        <w:t>V případě tepelných čerpadel je nutné splnit parametry definované Nařízením Komise (EU) č. 813/2013:</w:t>
      </w:r>
    </w:p>
    <w:p w:rsidR="004C267C" w:rsidRPr="007F0009" w:rsidRDefault="007F0009" w:rsidP="00A431B7">
      <w:pPr>
        <w:pStyle w:val="Odstavecseseznamem"/>
        <w:numPr>
          <w:ilvl w:val="0"/>
          <w:numId w:val="72"/>
        </w:numPr>
        <w:jc w:val="both"/>
      </w:pPr>
      <w:r>
        <w:t>s</w:t>
      </w:r>
      <w:r w:rsidR="004C267C" w:rsidRPr="007F0009">
        <w:t>ezónní energetická účinnost vytápění ohřívače pro vytápění vnitřních prostorů s tepelným čerpadlem a kombinovaného ohřívače s tepelným čerpadlem, s výjimkou nízkoteplotních tepelných čerpadel nesmí být nižší než 110 %</w:t>
      </w:r>
      <w:r w:rsidR="00C52BC1">
        <w:t>,</w:t>
      </w:r>
    </w:p>
    <w:p w:rsidR="004C267C" w:rsidRDefault="004C267C" w:rsidP="00A431B7">
      <w:pPr>
        <w:pStyle w:val="Odstavecseseznamem"/>
        <w:numPr>
          <w:ilvl w:val="0"/>
          <w:numId w:val="72"/>
        </w:numPr>
        <w:jc w:val="both"/>
      </w:pPr>
      <w:r w:rsidRPr="007F0009">
        <w:lastRenderedPageBreak/>
        <w:t>sezónní energetická účinnost vytápění nízkoteplotními tepelnými čerpadly nesmí být nižší než 125 %.</w:t>
      </w:r>
    </w:p>
    <w:p w:rsidR="002D2F48" w:rsidRDefault="002D2F48" w:rsidP="002D2F48">
      <w:pPr>
        <w:jc w:val="both"/>
      </w:pPr>
      <w:r>
        <w:t xml:space="preserve">V případě instalace tepelných čerpadel je nutné zároveň splnit následující minimální hodnoty topných faktorů: </w:t>
      </w:r>
    </w:p>
    <w:p w:rsidR="002D2F48" w:rsidRDefault="002D2F48" w:rsidP="002D2F48">
      <w:pPr>
        <w:pStyle w:val="Odstavecseseznamem"/>
        <w:numPr>
          <w:ilvl w:val="0"/>
          <w:numId w:val="72"/>
        </w:numPr>
        <w:jc w:val="both"/>
      </w:pPr>
      <w:r>
        <w:t>pro typ tepelného čerpadla země-vzduch min. hodnotu topného faktoru 4,3</w:t>
      </w:r>
    </w:p>
    <w:p w:rsidR="002D2F48" w:rsidRDefault="002D2F48" w:rsidP="002D2F48">
      <w:pPr>
        <w:pStyle w:val="Odstavecseseznamem"/>
        <w:numPr>
          <w:ilvl w:val="0"/>
          <w:numId w:val="72"/>
        </w:numPr>
        <w:jc w:val="both"/>
      </w:pPr>
      <w:r>
        <w:t>pro typ tepelného čerpadla vzduch-vody min. hodnotu topného faktoru 3,1</w:t>
      </w:r>
    </w:p>
    <w:p w:rsidR="002D2F48" w:rsidRPr="007F0009" w:rsidRDefault="002D2F48" w:rsidP="002D2F48">
      <w:pPr>
        <w:pStyle w:val="Odstavecseseznamem"/>
        <w:numPr>
          <w:ilvl w:val="0"/>
          <w:numId w:val="72"/>
        </w:numPr>
        <w:jc w:val="both"/>
      </w:pPr>
      <w:r>
        <w:t>pro typ tepelného čerpadla voda-voda min. hodnotu topného faktoru 5,1</w:t>
      </w:r>
    </w:p>
    <w:p w:rsidR="004C267C" w:rsidRPr="007F0009" w:rsidRDefault="004C267C" w:rsidP="009444E6">
      <w:pPr>
        <w:jc w:val="both"/>
      </w:pPr>
      <w:r w:rsidRPr="007F0009">
        <w:t>V případě plynových kondenzačních kotlů je nutné splnit parametry definované Nařízením Komise (EU) č. 813/2013</w:t>
      </w:r>
      <w:r w:rsidR="00571820" w:rsidRPr="007F0009">
        <w:t>:</w:t>
      </w:r>
    </w:p>
    <w:p w:rsidR="00840B2F" w:rsidRPr="007F0009" w:rsidRDefault="004C267C" w:rsidP="009444E6">
      <w:pPr>
        <w:pStyle w:val="Odstavecseseznamem"/>
        <w:numPr>
          <w:ilvl w:val="0"/>
          <w:numId w:val="74"/>
        </w:numPr>
        <w:jc w:val="both"/>
      </w:pPr>
      <w:r w:rsidRPr="007F0009">
        <w:t>emise oxidů dusíku nesmí překračovat hodnotu 56 mg/kWh spotřebovaného paliva, vztaženo k jednotkám spalného tepla.</w:t>
      </w:r>
    </w:p>
    <w:p w:rsidR="00222517" w:rsidRPr="00F403B4" w:rsidRDefault="00222517" w:rsidP="00BE652D">
      <w:pPr>
        <w:spacing w:after="100" w:afterAutospacing="1"/>
        <w:contextualSpacing/>
        <w:jc w:val="both"/>
      </w:pPr>
      <w:r>
        <w:t>Bude</w:t>
      </w:r>
      <w:r w:rsidRPr="00F403B4">
        <w:t xml:space="preserve"> podporována instalace nuceného větrání s rekuperací tepla, pokud budova doposud nesplňuje požadavky na zajištění dostatečné výměny </w:t>
      </w:r>
      <w:r w:rsidR="000A53B1" w:rsidRPr="00F403B4">
        <w:t>vzduchu a jsou</w:t>
      </w:r>
      <w:r w:rsidRPr="00F403B4">
        <w:t xml:space="preserve"> osazena těsná okna s celoobvodovým kováním (podmínka pro dosažení vysoké účinnosti využití tepla).</w:t>
      </w:r>
      <w:r w:rsidR="00FA3A5A">
        <w:t xml:space="preserve"> Podmínkou podpory v tomto případě je splnění průměrného součinitele prostupu tepla budovy U </w:t>
      </w:r>
      <w:r w:rsidR="00693623" w:rsidRPr="008C35A2">
        <w:rPr>
          <w:vertAlign w:val="subscript"/>
        </w:rPr>
        <w:t xml:space="preserve">em, R </w:t>
      </w:r>
      <w:r w:rsidR="00693623" w:rsidRPr="00C76941">
        <w:t>podle</w:t>
      </w:r>
      <w:r w:rsidR="00FA3A5A">
        <w:t xml:space="preserve"> vyhl. č. 78/2013 Sb., o energetické náročnosti budov. Pokud budova tuto hodnotu nesplňuje, pak je nutné provést zateplení obvodových konstrukcí podle požadavků </w:t>
      </w:r>
      <w:r w:rsidR="00DE6F92">
        <w:t xml:space="preserve">výzvy </w:t>
      </w:r>
      <w:r w:rsidR="00B46C91">
        <w:t xml:space="preserve">stanovených pro </w:t>
      </w:r>
      <w:r w:rsidR="00DE6F92">
        <w:t>zateplení obvodových konstrukcí.</w:t>
      </w:r>
    </w:p>
    <w:p w:rsidR="004818AA" w:rsidRPr="004818AA" w:rsidRDefault="00BE652D" w:rsidP="008A2241">
      <w:pPr>
        <w:spacing w:after="0" w:line="276" w:lineRule="auto"/>
        <w:jc w:val="both"/>
        <w:rPr>
          <w:i/>
        </w:rPr>
      </w:pPr>
      <w:r>
        <w:t xml:space="preserve">     </w:t>
      </w:r>
    </w:p>
    <w:p w:rsidR="00B404B3" w:rsidRPr="00A431B7" w:rsidRDefault="00AD248F" w:rsidP="00A431B7">
      <w:pPr>
        <w:pStyle w:val="Odstavecseseznamem"/>
        <w:numPr>
          <w:ilvl w:val="0"/>
          <w:numId w:val="67"/>
        </w:numPr>
        <w:spacing w:line="276" w:lineRule="auto"/>
        <w:rPr>
          <w:b/>
        </w:rPr>
      </w:pPr>
      <w:r w:rsidRPr="00A431B7">
        <w:rPr>
          <w:b/>
        </w:rPr>
        <w:t>Památkově chráněné budovy</w:t>
      </w:r>
    </w:p>
    <w:p w:rsidR="00FF3D65" w:rsidRDefault="000C482D" w:rsidP="00CC2AC0">
      <w:pPr>
        <w:pStyle w:val="Titulek"/>
        <w:rPr>
          <w:rFonts w:asciiTheme="majorHAnsi" w:hAnsiTheme="majorHAnsi"/>
          <w:b w:val="0"/>
          <w:color w:val="auto"/>
          <w:sz w:val="24"/>
          <w:szCs w:val="24"/>
        </w:rPr>
      </w:pPr>
      <w:r>
        <w:rPr>
          <w:rFonts w:asciiTheme="majorHAnsi" w:hAnsiTheme="majorHAnsi"/>
          <w:b w:val="0"/>
          <w:color w:val="auto"/>
          <w:sz w:val="24"/>
          <w:szCs w:val="24"/>
        </w:rPr>
        <w:t>Pro</w:t>
      </w:r>
      <w:r w:rsidR="00D66956">
        <w:rPr>
          <w:rFonts w:asciiTheme="majorHAnsi" w:hAnsiTheme="majorHAnsi"/>
          <w:b w:val="0"/>
          <w:color w:val="auto"/>
          <w:sz w:val="24"/>
          <w:szCs w:val="24"/>
        </w:rPr>
        <w:t xml:space="preserve"> budov</w:t>
      </w:r>
      <w:r>
        <w:rPr>
          <w:rFonts w:asciiTheme="majorHAnsi" w:hAnsiTheme="majorHAnsi"/>
          <w:b w:val="0"/>
          <w:color w:val="auto"/>
          <w:sz w:val="24"/>
          <w:szCs w:val="24"/>
        </w:rPr>
        <w:t>y</w:t>
      </w:r>
      <w:r w:rsidR="00D66956">
        <w:rPr>
          <w:rFonts w:asciiTheme="majorHAnsi" w:hAnsiTheme="majorHAnsi"/>
          <w:b w:val="0"/>
          <w:color w:val="auto"/>
          <w:sz w:val="24"/>
          <w:szCs w:val="24"/>
        </w:rPr>
        <w:t>, které jsou kulturní památkou, anebo nejsou kulturní památkou, ale nacházejí se v památkové rezervaci nebo památkové zóně,</w:t>
      </w:r>
      <w:r w:rsidR="00AD248F" w:rsidRPr="00641D92">
        <w:rPr>
          <w:rFonts w:asciiTheme="majorHAnsi" w:hAnsiTheme="majorHAnsi"/>
          <w:b w:val="0"/>
          <w:color w:val="auto"/>
          <w:sz w:val="24"/>
          <w:szCs w:val="24"/>
        </w:rPr>
        <w:t xml:space="preserve"> </w:t>
      </w:r>
      <w:r w:rsidR="004A3D19">
        <w:rPr>
          <w:rFonts w:asciiTheme="majorHAnsi" w:hAnsiTheme="majorHAnsi"/>
          <w:b w:val="0"/>
          <w:color w:val="auto"/>
          <w:sz w:val="24"/>
          <w:szCs w:val="24"/>
        </w:rPr>
        <w:t xml:space="preserve">je kritériem pro poskytnutí podpory </w:t>
      </w:r>
      <w:r w:rsidR="002F6645">
        <w:rPr>
          <w:rFonts w:asciiTheme="majorHAnsi" w:hAnsiTheme="majorHAnsi"/>
          <w:b w:val="0"/>
          <w:color w:val="auto"/>
          <w:sz w:val="24"/>
          <w:szCs w:val="24"/>
        </w:rPr>
        <w:t xml:space="preserve">na zateplení obvodových konstrukcí nebo výměnu výplní otvorů </w:t>
      </w:r>
      <w:r w:rsidR="004A3D19">
        <w:rPr>
          <w:rFonts w:asciiTheme="majorHAnsi" w:hAnsiTheme="majorHAnsi"/>
          <w:b w:val="0"/>
          <w:color w:val="auto"/>
          <w:sz w:val="24"/>
          <w:szCs w:val="24"/>
        </w:rPr>
        <w:t xml:space="preserve">dosažení </w:t>
      </w:r>
      <w:r w:rsidR="002F6645">
        <w:rPr>
          <w:rFonts w:asciiTheme="majorHAnsi" w:hAnsiTheme="majorHAnsi"/>
          <w:b w:val="0"/>
          <w:color w:val="auto"/>
          <w:sz w:val="24"/>
          <w:szCs w:val="24"/>
        </w:rPr>
        <w:t>požadované</w:t>
      </w:r>
      <w:r w:rsidR="004A3D19">
        <w:rPr>
          <w:rFonts w:asciiTheme="majorHAnsi" w:hAnsiTheme="majorHAnsi"/>
          <w:b w:val="0"/>
          <w:color w:val="auto"/>
          <w:sz w:val="24"/>
          <w:szCs w:val="24"/>
        </w:rPr>
        <w:t xml:space="preserve"> hodnoty součinitele prostupu </w:t>
      </w:r>
      <w:r w:rsidR="00AB3188">
        <w:rPr>
          <w:rFonts w:asciiTheme="majorHAnsi" w:hAnsiTheme="majorHAnsi"/>
          <w:b w:val="0"/>
          <w:color w:val="auto"/>
          <w:sz w:val="24"/>
          <w:szCs w:val="24"/>
        </w:rPr>
        <w:t xml:space="preserve">tepla U </w:t>
      </w:r>
      <w:r w:rsidR="00AB3188" w:rsidRPr="00C76941">
        <w:rPr>
          <w:rFonts w:asciiTheme="majorHAnsi" w:hAnsiTheme="majorHAnsi"/>
          <w:b w:val="0"/>
          <w:color w:val="auto"/>
          <w:sz w:val="24"/>
          <w:szCs w:val="24"/>
          <w:vertAlign w:val="subscript"/>
        </w:rPr>
        <w:t>N</w:t>
      </w:r>
      <w:r w:rsidR="00AB3188">
        <w:rPr>
          <w:rFonts w:asciiTheme="majorHAnsi" w:hAnsiTheme="majorHAnsi"/>
          <w:b w:val="0"/>
          <w:color w:val="auto"/>
          <w:sz w:val="24"/>
          <w:szCs w:val="24"/>
          <w:vertAlign w:val="subscript"/>
        </w:rPr>
        <w:t>, 20</w:t>
      </w:r>
      <w:r w:rsidR="004A3D19">
        <w:rPr>
          <w:rFonts w:asciiTheme="majorHAnsi" w:hAnsiTheme="majorHAnsi"/>
          <w:b w:val="0"/>
          <w:color w:val="auto"/>
          <w:sz w:val="24"/>
          <w:szCs w:val="24"/>
        </w:rPr>
        <w:t xml:space="preserve"> zateplovaných konstrukcí nebo měněných výplní otvorů podle ČSN 73 0540-2.</w:t>
      </w:r>
    </w:p>
    <w:p w:rsidR="004A3D19" w:rsidRDefault="004A3D19" w:rsidP="000B7C40">
      <w:pPr>
        <w:jc w:val="both"/>
      </w:pPr>
      <w:r>
        <w:rPr>
          <w:lang w:eastAsia="cs-CZ"/>
        </w:rPr>
        <w:t>V případě ostatních podporovaných opatření jsou požadavky shodné s požadavky na ostatní bytové domy.</w:t>
      </w:r>
    </w:p>
    <w:p w:rsidR="004A3D19" w:rsidRPr="00C76941" w:rsidRDefault="002F6645" w:rsidP="000B7C40">
      <w:pPr>
        <w:jc w:val="both"/>
        <w:rPr>
          <w:b/>
        </w:rPr>
      </w:pPr>
      <w:r>
        <w:rPr>
          <w:lang w:eastAsia="cs-CZ"/>
        </w:rPr>
        <w:t>Status kulturní památky nebo domu nacházejícího se v památkové zóně nebo v památkové rezervaci je nutné uvést v </w:t>
      </w:r>
      <w:r w:rsidR="00060830">
        <w:rPr>
          <w:lang w:eastAsia="cs-CZ"/>
        </w:rPr>
        <w:t>P</w:t>
      </w:r>
      <w:r>
        <w:rPr>
          <w:lang w:eastAsia="cs-CZ"/>
        </w:rPr>
        <w:t xml:space="preserve">odkladech pro hodnocení (viz příloha č. 3 těchto </w:t>
      </w:r>
      <w:r w:rsidR="00B30123">
        <w:rPr>
          <w:lang w:eastAsia="cs-CZ"/>
        </w:rPr>
        <w:t>P</w:t>
      </w:r>
      <w:r>
        <w:rPr>
          <w:lang w:eastAsia="cs-CZ"/>
        </w:rPr>
        <w:t>ravidel).</w:t>
      </w:r>
    </w:p>
    <w:p w:rsidR="00E35DAF" w:rsidRPr="00A431B7" w:rsidRDefault="00BC51F1" w:rsidP="00A431B7">
      <w:pPr>
        <w:pStyle w:val="Odstavecseseznamem"/>
        <w:numPr>
          <w:ilvl w:val="0"/>
          <w:numId w:val="67"/>
        </w:numPr>
        <w:rPr>
          <w:b/>
        </w:rPr>
      </w:pPr>
      <w:r w:rsidRPr="00A431B7">
        <w:rPr>
          <w:b/>
        </w:rPr>
        <w:t>Instalace fotovoltaického systému</w:t>
      </w:r>
    </w:p>
    <w:p w:rsidR="00943032" w:rsidRDefault="00BC51F1" w:rsidP="00C52BC1">
      <w:pPr>
        <w:tabs>
          <w:tab w:val="left" w:pos="1089"/>
        </w:tabs>
        <w:jc w:val="both"/>
        <w:rPr>
          <w:rFonts w:cs="Arial"/>
          <w:szCs w:val="20"/>
        </w:rPr>
      </w:pPr>
      <w:r>
        <w:rPr>
          <w:rFonts w:cs="Arial"/>
          <w:szCs w:val="20"/>
        </w:rPr>
        <w:t xml:space="preserve">Jsou podporovány fotovoltaické systémy, jejichž </w:t>
      </w:r>
      <w:r w:rsidR="002D0362">
        <w:rPr>
          <w:rFonts w:cs="Arial"/>
          <w:szCs w:val="20"/>
        </w:rPr>
        <w:t xml:space="preserve">moduly </w:t>
      </w:r>
      <w:r w:rsidR="00A431B7">
        <w:rPr>
          <w:rFonts w:cs="Arial"/>
          <w:szCs w:val="20"/>
        </w:rPr>
        <w:t>budou</w:t>
      </w:r>
      <w:r w:rsidR="002D0362">
        <w:rPr>
          <w:rFonts w:cs="Arial"/>
          <w:szCs w:val="20"/>
        </w:rPr>
        <w:t xml:space="preserve"> umístěny na bytovém domě, který je předmětem podpory. Vyrobená</w:t>
      </w:r>
      <w:r w:rsidR="00943032">
        <w:rPr>
          <w:rFonts w:cs="Arial"/>
          <w:szCs w:val="20"/>
        </w:rPr>
        <w:t xml:space="preserve"> elektrická</w:t>
      </w:r>
      <w:r w:rsidR="002D0362">
        <w:rPr>
          <w:rFonts w:cs="Arial"/>
          <w:szCs w:val="20"/>
        </w:rPr>
        <w:t xml:space="preserve"> energie musí</w:t>
      </w:r>
      <w:r w:rsidR="00032B62">
        <w:rPr>
          <w:rFonts w:cs="Arial"/>
          <w:szCs w:val="20"/>
        </w:rPr>
        <w:t xml:space="preserve"> být využita </w:t>
      </w:r>
      <w:r w:rsidR="00261222">
        <w:rPr>
          <w:rFonts w:cs="Arial"/>
          <w:szCs w:val="20"/>
        </w:rPr>
        <w:t xml:space="preserve">zejména </w:t>
      </w:r>
      <w:r w:rsidR="00032B62">
        <w:rPr>
          <w:rFonts w:cs="Arial"/>
          <w:szCs w:val="20"/>
        </w:rPr>
        <w:t>pro potřeby bytového domu, který je předmětem podpor</w:t>
      </w:r>
      <w:r w:rsidR="009424A1">
        <w:rPr>
          <w:rFonts w:cs="Arial"/>
          <w:szCs w:val="20"/>
        </w:rPr>
        <w:t>y a nesmí být prodávána do sítě.</w:t>
      </w:r>
      <w:r w:rsidR="00F069D0">
        <w:rPr>
          <w:rFonts w:cs="Arial"/>
          <w:szCs w:val="20"/>
        </w:rPr>
        <w:t xml:space="preserve"> Instalace může být pouze součástí komplexních opatření: zateplení obvodových konstrukcí a/nebo instalace tepelného čerpadla.</w:t>
      </w:r>
    </w:p>
    <w:p w:rsidR="00F069D0" w:rsidRDefault="00F069D0" w:rsidP="00FB2F9B">
      <w:pPr>
        <w:pStyle w:val="Odstavecseseznamem"/>
        <w:numPr>
          <w:ilvl w:val="0"/>
          <w:numId w:val="67"/>
        </w:numPr>
        <w:rPr>
          <w:b/>
        </w:rPr>
      </w:pPr>
      <w:r w:rsidRPr="00FB2F9B">
        <w:rPr>
          <w:b/>
        </w:rPr>
        <w:t>Instalace solárních termických systémů</w:t>
      </w:r>
    </w:p>
    <w:p w:rsidR="00F069D0" w:rsidRPr="00FB2F9B" w:rsidRDefault="00F069D0" w:rsidP="00FB2F9B">
      <w:pPr>
        <w:tabs>
          <w:tab w:val="left" w:pos="1089"/>
        </w:tabs>
        <w:jc w:val="both"/>
        <w:rPr>
          <w:rFonts w:cs="Arial"/>
          <w:szCs w:val="20"/>
        </w:rPr>
      </w:pPr>
      <w:r w:rsidRPr="00FB2F9B">
        <w:rPr>
          <w:rFonts w:cs="Arial"/>
          <w:szCs w:val="20"/>
        </w:rPr>
        <w:t>Jsou podporovány solární termické soustavy dosahující celkového využitelného sol</w:t>
      </w:r>
      <w:r w:rsidR="00FB2F9B" w:rsidRPr="00FB2F9B">
        <w:rPr>
          <w:rFonts w:cs="Arial"/>
          <w:szCs w:val="20"/>
        </w:rPr>
        <w:t>árního zisku min. 600 kWh * rok</w:t>
      </w:r>
      <w:r w:rsidRPr="00FB2F9B">
        <w:rPr>
          <w:rFonts w:cs="Arial"/>
          <w:szCs w:val="20"/>
          <w:vertAlign w:val="superscript"/>
        </w:rPr>
        <w:t>-1</w:t>
      </w:r>
      <w:r w:rsidRPr="00FB2F9B">
        <w:rPr>
          <w:rFonts w:cs="Arial"/>
          <w:szCs w:val="20"/>
        </w:rPr>
        <w:t xml:space="preserve"> * bytová jednotka</w:t>
      </w:r>
      <w:r w:rsidRPr="00FB2F9B">
        <w:rPr>
          <w:rFonts w:cs="Arial"/>
          <w:szCs w:val="20"/>
          <w:vertAlign w:val="superscript"/>
        </w:rPr>
        <w:t>-1</w:t>
      </w:r>
      <w:r w:rsidR="00FB2F9B">
        <w:rPr>
          <w:rFonts w:cs="Arial"/>
          <w:szCs w:val="20"/>
        </w:rPr>
        <w:t>.</w:t>
      </w:r>
      <w:r w:rsidR="00FE17E6">
        <w:rPr>
          <w:rFonts w:cs="Arial"/>
          <w:szCs w:val="20"/>
        </w:rPr>
        <w:t xml:space="preserve"> Podporovány jsou systémy </w:t>
      </w:r>
      <w:r w:rsidR="00FE17E6">
        <w:rPr>
          <w:rFonts w:cs="Arial"/>
          <w:szCs w:val="20"/>
        </w:rPr>
        <w:lastRenderedPageBreak/>
        <w:t xml:space="preserve">napojené na akumulační </w:t>
      </w:r>
      <w:r w:rsidR="00C4552F">
        <w:rPr>
          <w:rFonts w:cs="Arial"/>
          <w:szCs w:val="20"/>
        </w:rPr>
        <w:t xml:space="preserve">zásobník tepla </w:t>
      </w:r>
      <w:r w:rsidR="00FE17E6">
        <w:rPr>
          <w:rFonts w:cs="Arial"/>
          <w:szCs w:val="20"/>
        </w:rPr>
        <w:t>o minimálním objemu 45 l na 1 m</w:t>
      </w:r>
      <w:r w:rsidR="00FE17E6" w:rsidRPr="00FE17E6">
        <w:rPr>
          <w:rFonts w:cs="Arial"/>
          <w:szCs w:val="20"/>
          <w:vertAlign w:val="superscript"/>
        </w:rPr>
        <w:t>2</w:t>
      </w:r>
      <w:r w:rsidR="00FE17E6">
        <w:rPr>
          <w:rFonts w:cs="Arial"/>
          <w:szCs w:val="20"/>
        </w:rPr>
        <w:t xml:space="preserve"> apertury kolektoru.</w:t>
      </w:r>
    </w:p>
    <w:p w:rsidR="00BC51F1" w:rsidRPr="00A431B7" w:rsidRDefault="00943032" w:rsidP="00A431B7">
      <w:pPr>
        <w:pStyle w:val="Odstavecseseznamem"/>
        <w:numPr>
          <w:ilvl w:val="0"/>
          <w:numId w:val="67"/>
        </w:numPr>
        <w:jc w:val="both"/>
        <w:rPr>
          <w:b/>
        </w:rPr>
      </w:pPr>
      <w:r w:rsidRPr="00A431B7">
        <w:rPr>
          <w:b/>
        </w:rPr>
        <w:t>Instalace jednotky pro kombinovanou výrobu elektřiny a tepla</w:t>
      </w:r>
    </w:p>
    <w:p w:rsidR="009468A9" w:rsidRDefault="00943032" w:rsidP="00A431B7">
      <w:pPr>
        <w:jc w:val="both"/>
        <w:rPr>
          <w:rFonts w:cs="Arial"/>
          <w:szCs w:val="20"/>
        </w:rPr>
      </w:pPr>
      <w:r>
        <w:rPr>
          <w:rFonts w:cs="Arial"/>
          <w:szCs w:val="20"/>
        </w:rPr>
        <w:t>Vyrobená elektrická energie musí být využita zejména pro potřeby bytového domu, který je předmětem podpory a nesmí být prodávána do sítě.</w:t>
      </w:r>
      <w:r w:rsidR="00F85E08">
        <w:rPr>
          <w:rFonts w:cs="Arial"/>
          <w:szCs w:val="20"/>
        </w:rPr>
        <w:t xml:space="preserve"> Jednotka musí využívat jako palivo zemní plyn nebo obnovitelné zdroje energi</w:t>
      </w:r>
      <w:r w:rsidR="00F014E0">
        <w:rPr>
          <w:rFonts w:cs="Arial"/>
          <w:szCs w:val="20"/>
        </w:rPr>
        <w:t>e</w:t>
      </w:r>
      <w:r w:rsidR="00F85E08">
        <w:rPr>
          <w:rFonts w:cs="Arial"/>
          <w:szCs w:val="20"/>
        </w:rPr>
        <w:t xml:space="preserve"> a dosáhnout úspory celkové primární energie ve výši minimálně 10 % oproti samostatné výrobě elektřiny a tepla.</w:t>
      </w:r>
      <w:r w:rsidR="00C07AE7">
        <w:rPr>
          <w:rFonts w:cs="Arial"/>
          <w:szCs w:val="20"/>
        </w:rPr>
        <w:t xml:space="preserve"> </w:t>
      </w:r>
      <w:r w:rsidR="00C07AE7">
        <w:t xml:space="preserve">Budova, ve které bude jednotka pro kombinovanou výrobu elektřiny a tepla instalována, musí splňovat hodnotu průměrného součinitele prostupu tepla budovy U </w:t>
      </w:r>
      <w:r w:rsidR="00C07AE7" w:rsidRPr="00C76941">
        <w:rPr>
          <w:vertAlign w:val="subscript"/>
        </w:rPr>
        <w:t>em,</w:t>
      </w:r>
      <w:r w:rsidR="00C07AE7">
        <w:rPr>
          <w:vertAlign w:val="subscript"/>
        </w:rPr>
        <w:t xml:space="preserve"> </w:t>
      </w:r>
      <w:r w:rsidR="00C07AE7" w:rsidRPr="00C76941">
        <w:rPr>
          <w:vertAlign w:val="subscript"/>
        </w:rPr>
        <w:t>R</w:t>
      </w:r>
      <w:r w:rsidR="00C07AE7">
        <w:t xml:space="preserve"> podle vyhl. č.</w:t>
      </w:r>
      <w:r w:rsidR="00E946B5">
        <w:t> </w:t>
      </w:r>
      <w:r w:rsidR="00C07AE7">
        <w:t xml:space="preserve"> 78/2013 Sb., o energetické náročnosti budov.</w:t>
      </w:r>
      <w:r w:rsidR="00741BCE">
        <w:t xml:space="preserve"> V případě, že budova nesplňuje hodnotu průměrného součinitele prostupu tepla budovy U </w:t>
      </w:r>
      <w:r w:rsidR="00741BCE" w:rsidRPr="00E8320D">
        <w:rPr>
          <w:vertAlign w:val="subscript"/>
        </w:rPr>
        <w:t>em,R</w:t>
      </w:r>
      <w:r w:rsidR="00741BCE" w:rsidRPr="00860339">
        <w:rPr>
          <w:vertAlign w:val="subscript"/>
        </w:rPr>
        <w:t>,</w:t>
      </w:r>
      <w:r w:rsidR="00741BCE">
        <w:t xml:space="preserve"> je třeba provést zateplení obvodových stěn podle po</w:t>
      </w:r>
      <w:r w:rsidR="00DE6F92">
        <w:t xml:space="preserve">žadavků </w:t>
      </w:r>
      <w:r w:rsidR="00741BCE">
        <w:t>výzvy</w:t>
      </w:r>
      <w:r w:rsidR="00DE6F92">
        <w:t xml:space="preserve"> stanovených pro zateplení obvodových konstrukcí.</w:t>
      </w:r>
    </w:p>
    <w:p w:rsidR="00943032" w:rsidRPr="00C52BC1" w:rsidRDefault="00696D84" w:rsidP="00A431B7">
      <w:pPr>
        <w:jc w:val="both"/>
      </w:pPr>
      <w:r w:rsidRPr="00C52BC1">
        <w:t>Je nutné splnit následující hodnoty emisí vyplývající z Nařízení Komise (EU) č.</w:t>
      </w:r>
      <w:r w:rsidR="00E946B5">
        <w:t> </w:t>
      </w:r>
      <w:r w:rsidRPr="00C52BC1">
        <w:t xml:space="preserve"> 813/2013:</w:t>
      </w:r>
    </w:p>
    <w:p w:rsidR="00696D84" w:rsidRPr="00C52BC1" w:rsidRDefault="00696D84" w:rsidP="00A431B7">
      <w:pPr>
        <w:pStyle w:val="Odstavecseseznamem"/>
        <w:numPr>
          <w:ilvl w:val="0"/>
          <w:numId w:val="77"/>
        </w:numPr>
        <w:jc w:val="both"/>
      </w:pPr>
      <w:r w:rsidRPr="00C52BC1">
        <w:t>emise oxidů dusíku kogeneračních ohřívačů pro vytápění vnitřních prostorů vybavených vnějším spalováním, které využívají plynná paliva, nesmí překračovat 70 mg/kWh spotřebovaného paliva, vztaženo k jednotkám spalného tepla</w:t>
      </w:r>
      <w:r w:rsidR="00C52BC1">
        <w:t>,</w:t>
      </w:r>
    </w:p>
    <w:p w:rsidR="00696D84" w:rsidRDefault="00696D84" w:rsidP="00A431B7">
      <w:pPr>
        <w:pStyle w:val="Odstavecseseznamem"/>
        <w:numPr>
          <w:ilvl w:val="0"/>
          <w:numId w:val="77"/>
        </w:numPr>
        <w:jc w:val="both"/>
      </w:pPr>
      <w:r w:rsidRPr="00C52BC1">
        <w:t>emise oxidů dusíku kogeneračních ohřívačů pro vytápění vnitřních prostorů vybavených motorem s vnitřním spalováním, které využívají plynná paliva, nesmí překračovat 240 mg/kWh spotřebovaného paliva, vztaženo k jednotkám spalného tepla.</w:t>
      </w:r>
    </w:p>
    <w:p w:rsidR="00C52BC1" w:rsidRPr="00C52BC1" w:rsidRDefault="00C52BC1" w:rsidP="00A431B7">
      <w:pPr>
        <w:pStyle w:val="Odstavecseseznamem"/>
        <w:jc w:val="both"/>
      </w:pPr>
    </w:p>
    <w:p w:rsidR="004352D7" w:rsidRPr="00A431B7" w:rsidRDefault="000A53B1" w:rsidP="00A431B7">
      <w:pPr>
        <w:pStyle w:val="Odstavecseseznamem"/>
        <w:numPr>
          <w:ilvl w:val="0"/>
          <w:numId w:val="67"/>
        </w:numPr>
        <w:rPr>
          <w:b/>
        </w:rPr>
      </w:pPr>
      <w:r w:rsidRPr="00A431B7">
        <w:rPr>
          <w:b/>
        </w:rPr>
        <w:t>Kombinace několika podporovaných opatření</w:t>
      </w:r>
    </w:p>
    <w:p w:rsidR="000A53B1" w:rsidRDefault="000A53B1" w:rsidP="005F0E65">
      <w:pPr>
        <w:jc w:val="both"/>
        <w:rPr>
          <w:rFonts w:cs="Arial"/>
          <w:szCs w:val="20"/>
        </w:rPr>
      </w:pPr>
      <w:r>
        <w:rPr>
          <w:rFonts w:cs="Arial"/>
          <w:szCs w:val="20"/>
        </w:rPr>
        <w:t>Pro zvýšení energetické účinnosti je vhodné provést několik opatření zároveň (např. zateplení obvodových stěn a výměna zdroje hlavního zdroje tepla). V jedné žádosti o</w:t>
      </w:r>
      <w:r w:rsidR="00A10E4A">
        <w:rPr>
          <w:rFonts w:cs="Arial"/>
          <w:szCs w:val="20"/>
        </w:rPr>
        <w:t> </w:t>
      </w:r>
      <w:r>
        <w:rPr>
          <w:rFonts w:cs="Arial"/>
          <w:szCs w:val="20"/>
        </w:rPr>
        <w:t>podporu je možné uvést více podporovaných opatření. V takových případech je nutné splnit specifická kritéria přijatelnosti pro každé opatření.</w:t>
      </w:r>
    </w:p>
    <w:p w:rsidR="00C52BC1" w:rsidRDefault="00C52BC1" w:rsidP="00C52BC1">
      <w:pPr>
        <w:pBdr>
          <w:top w:val="single" w:sz="4" w:space="1" w:color="auto"/>
          <w:left w:val="single" w:sz="4" w:space="4" w:color="auto"/>
          <w:bottom w:val="single" w:sz="4" w:space="1" w:color="auto"/>
          <w:right w:val="single" w:sz="4" w:space="4" w:color="auto"/>
        </w:pBdr>
        <w:jc w:val="both"/>
        <w:rPr>
          <w:b/>
          <w:lang w:eastAsia="en-US"/>
        </w:rPr>
      </w:pPr>
      <w:r w:rsidRPr="001856E4">
        <w:rPr>
          <w:b/>
          <w:lang w:eastAsia="en-US"/>
        </w:rPr>
        <w:t>UPOZORNĚNÍ</w:t>
      </w:r>
    </w:p>
    <w:p w:rsidR="00C52BC1"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Všechny projekty musí splňovat podmínky zákona č. 406/2000 Sb., o hospodaření energií, v aktuálním znění, a souvisejících vyhlášek, zejména vyhlášky č. 78/2013 Sb., o</w:t>
      </w:r>
      <w:r w:rsidR="00E946B5">
        <w:rPr>
          <w:lang w:eastAsia="en-US"/>
        </w:rPr>
        <w:t> </w:t>
      </w:r>
      <w:r w:rsidRPr="00A431B7">
        <w:rPr>
          <w:lang w:eastAsia="en-US"/>
        </w:rPr>
        <w:t xml:space="preserve"> energetické náročnosti budov, nebo přísnější, je-li to v těchto Pravidlech stanoveno. V</w:t>
      </w:r>
      <w:r w:rsidR="00E946B5">
        <w:rPr>
          <w:lang w:eastAsia="en-US"/>
        </w:rPr>
        <w:t> </w:t>
      </w:r>
      <w:r w:rsidRPr="00A431B7">
        <w:rPr>
          <w:lang w:eastAsia="en-US"/>
        </w:rPr>
        <w:t xml:space="preserve"> případě, že jsou měněny technologické systémy, musí být splněn požadavek na jejich minimální účinnost stanovenou v právních předpisech (je-li stanovena) nebo přísnější, je-li to v těchto Pravidlech stanoveno.</w:t>
      </w:r>
    </w:p>
    <w:p w:rsidR="003B3565" w:rsidRDefault="003B3565"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Doporučení energetického specialisty uvedená v průkazu energetické náročnosti budov jsou pro žadatele závazná. V případě, že některé opatření nebude provedeno v souladu s</w:t>
      </w:r>
      <w:r w:rsidR="00E946B5">
        <w:rPr>
          <w:lang w:eastAsia="en-US"/>
        </w:rPr>
        <w:t> </w:t>
      </w:r>
      <w:r w:rsidRPr="00A431B7">
        <w:rPr>
          <w:lang w:eastAsia="en-US"/>
        </w:rPr>
        <w:t xml:space="preserve"> doporučením energetického specialisty, je nutné zahájit změnové řízení </w:t>
      </w:r>
      <w:r>
        <w:rPr>
          <w:lang w:eastAsia="en-US"/>
        </w:rPr>
        <w:t xml:space="preserve">(viz kap. 16 Obecných pravidel) </w:t>
      </w:r>
      <w:r w:rsidRPr="00A431B7">
        <w:rPr>
          <w:lang w:eastAsia="en-US"/>
        </w:rPr>
        <w:t>a prokázat splnění všech požadovaných kritérií a hodnot indikátorů.</w:t>
      </w:r>
    </w:p>
    <w:p w:rsidR="008252F1" w:rsidRDefault="008252F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Požadovaná kritéria je vždy nutné splnit pro celý bytový dům. V případě bytového domu, který má několik vchodů a každý má jiného vlastníka nebo je spravován jiným </w:t>
      </w:r>
      <w:r w:rsidRPr="00A431B7">
        <w:rPr>
          <w:lang w:eastAsia="en-US"/>
        </w:rPr>
        <w:lastRenderedPageBreak/>
        <w:t xml:space="preserve">společenstvím vlastníků jednotek, se pro splnění požadovaných kritérií uvažuje každý vchod samostatně. </w:t>
      </w:r>
    </w:p>
    <w:p w:rsidR="00AC45A6"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Pokud je jedním z opatření projektu zlepšení tepelně technických vlastností obvodových konstrukcí budovy a jedná se o budovu se dvěma a více nadzemními podlažími a</w:t>
      </w:r>
      <w:r w:rsidR="00E946B5">
        <w:rPr>
          <w:lang w:eastAsia="en-US"/>
        </w:rPr>
        <w:t> </w:t>
      </w:r>
      <w:r w:rsidRPr="00A431B7">
        <w:rPr>
          <w:lang w:eastAsia="en-US"/>
        </w:rPr>
        <w:t xml:space="preserve"> zachovalým odvětráním v podstřeší, resp. v obvodovém plášti, žadatel doloží, že budou zachovány všechny prostupné ventilační otvory anebo provětrávací štěrbiny o</w:t>
      </w:r>
      <w:r w:rsidR="00E946B5">
        <w:rPr>
          <w:lang w:eastAsia="en-US"/>
        </w:rPr>
        <w:t> </w:t>
      </w:r>
      <w:r w:rsidRPr="00A431B7">
        <w:rPr>
          <w:lang w:eastAsia="en-US"/>
        </w:rPr>
        <w:t xml:space="preserve"> průměru větším než 45 mm, resp. o rozměrech větších než 25 x 60 mm, a navazující dutiny za nimi pro případné hnízdění rorýse obecného či úkryty netopýrů. Není-li zachování takovýchto otvorů a štěrbin možné, musí být zajištěna náhrada v</w:t>
      </w:r>
      <w:r w:rsidR="00E946B5">
        <w:rPr>
          <w:lang w:eastAsia="en-US"/>
        </w:rPr>
        <w:t> </w:t>
      </w:r>
      <w:r w:rsidRPr="00A431B7">
        <w:rPr>
          <w:lang w:eastAsia="en-US"/>
        </w:rPr>
        <w:t xml:space="preserve"> odpovídajícím rozsahu. Jako náhradu lze použít například prefabrikáty s otvory, budky pro rorýse a netopýry, úpravy říms nebo další stavebně-technická opatření (viz metodická doporučení na </w:t>
      </w:r>
      <w:hyperlink r:id="rId14" w:history="1">
        <w:r w:rsidRPr="00C52BC1">
          <w:rPr>
            <w:rStyle w:val="Hypertextovodkaz"/>
            <w:lang w:eastAsia="en-US"/>
          </w:rPr>
          <w:t>www.rorysi.cz</w:t>
        </w:r>
      </w:hyperlink>
      <w:r>
        <w:rPr>
          <w:lang w:eastAsia="en-US"/>
        </w:rPr>
        <w:t xml:space="preserve"> </w:t>
      </w:r>
      <w:r w:rsidRPr="00A431B7">
        <w:rPr>
          <w:lang w:eastAsia="en-US"/>
        </w:rPr>
        <w:t xml:space="preserve">a </w:t>
      </w:r>
      <w:hyperlink r:id="rId15" w:history="1">
        <w:r w:rsidRPr="00A431B7">
          <w:rPr>
            <w:rStyle w:val="Hypertextovodkaz"/>
          </w:rPr>
          <w:t>www.sousednetopyr.cz</w:t>
        </w:r>
      </w:hyperlink>
      <w:r w:rsidRPr="00A431B7">
        <w:rPr>
          <w:lang w:eastAsia="en-US"/>
        </w:rPr>
        <w:t xml:space="preserve">). </w:t>
      </w:r>
      <w:r w:rsidR="00AC45A6">
        <w:rPr>
          <w:lang w:eastAsia="en-US"/>
        </w:rPr>
        <w:t>Toto ustanovení platí i v případech, kdy není aktuálně potvrzen výskyt rorýsů.</w:t>
      </w:r>
    </w:p>
    <w:p w:rsidR="00C52BC1" w:rsidRPr="00A431B7" w:rsidRDefault="00C52BC1"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 xml:space="preserve">Podporována není výstavba přístaveb ani </w:t>
      </w:r>
      <w:r w:rsidR="00F014E0" w:rsidRPr="00A431B7">
        <w:rPr>
          <w:lang w:eastAsia="en-US"/>
        </w:rPr>
        <w:t>nástaveb</w:t>
      </w:r>
      <w:r w:rsidRPr="00A431B7">
        <w:rPr>
          <w:lang w:eastAsia="en-US"/>
        </w:rPr>
        <w:t xml:space="preserve"> bytového domu</w:t>
      </w:r>
      <w:r w:rsidR="006D5E9A">
        <w:rPr>
          <w:lang w:eastAsia="en-US"/>
        </w:rPr>
        <w:t xml:space="preserve"> (</w:t>
      </w:r>
      <w:r w:rsidRPr="00A431B7">
        <w:rPr>
          <w:lang w:eastAsia="en-US"/>
        </w:rPr>
        <w:t xml:space="preserve">Náklady na přístavby a nástavby není možné považovat za způsobilé ani v případech, kdy jsou stavěny v lepším energetickém standardu, než je požadavek vyplývající z platné legislativy.       </w:t>
      </w:r>
    </w:p>
    <w:p w:rsidR="00501E67" w:rsidRDefault="00501E67" w:rsidP="00C52BC1">
      <w:pPr>
        <w:pBdr>
          <w:top w:val="single" w:sz="4" w:space="1" w:color="auto"/>
          <w:left w:val="single" w:sz="4" w:space="4" w:color="auto"/>
          <w:bottom w:val="single" w:sz="4" w:space="1" w:color="auto"/>
          <w:right w:val="single" w:sz="4" w:space="4" w:color="auto"/>
        </w:pBdr>
        <w:jc w:val="both"/>
        <w:rPr>
          <w:lang w:eastAsia="en-US"/>
        </w:rPr>
      </w:pPr>
      <w:r w:rsidRPr="00A431B7">
        <w:rPr>
          <w:lang w:eastAsia="en-US"/>
        </w:rPr>
        <w:t>Podporu na výměnu zdroje tepla lze poskytnout, pokud původní hlavní zdroj je určen ke spalování pevných nebo kapalných fosilních paliv.</w:t>
      </w:r>
      <w:r>
        <w:rPr>
          <w:lang w:eastAsia="en-US"/>
        </w:rPr>
        <w:t xml:space="preserve"> </w:t>
      </w:r>
      <w:r w:rsidR="00CE212F">
        <w:rPr>
          <w:lang w:eastAsia="en-US"/>
        </w:rPr>
        <w:t>N</w:t>
      </w:r>
      <w:r>
        <w:rPr>
          <w:lang w:eastAsia="en-US"/>
        </w:rPr>
        <w:t>elze podpořit výměnu původního zdroje na kapalná paliva za nový zdroj na pevná paliva.</w:t>
      </w:r>
    </w:p>
    <w:p w:rsidR="006008BF" w:rsidRPr="00A431B7" w:rsidRDefault="006008BF" w:rsidP="00C52BC1">
      <w:pPr>
        <w:pBdr>
          <w:top w:val="single" w:sz="4" w:space="1" w:color="auto"/>
          <w:left w:val="single" w:sz="4" w:space="4" w:color="auto"/>
          <w:bottom w:val="single" w:sz="4" w:space="1" w:color="auto"/>
          <w:right w:val="single" w:sz="4" w:space="4" w:color="auto"/>
        </w:pBdr>
        <w:jc w:val="both"/>
        <w:rPr>
          <w:lang w:eastAsia="en-US"/>
        </w:rPr>
      </w:pPr>
      <w:r>
        <w:rPr>
          <w:lang w:eastAsia="en-US"/>
        </w:rPr>
        <w:t>Žadatel je povinen zajistit technický dozor stavebníka nad provádění</w:t>
      </w:r>
      <w:r w:rsidR="00E45523">
        <w:rPr>
          <w:lang w:eastAsia="en-US"/>
        </w:rPr>
        <w:t>m stavby.</w:t>
      </w:r>
    </w:p>
    <w:p w:rsidR="00042F54" w:rsidRDefault="00042F54" w:rsidP="00A431B7">
      <w:pPr>
        <w:pStyle w:val="Pravidla11"/>
        <w:numPr>
          <w:ilvl w:val="1"/>
          <w:numId w:val="63"/>
        </w:numPr>
      </w:pPr>
      <w:bookmarkStart w:id="60" w:name="_Toc436995461"/>
      <w:bookmarkStart w:id="61" w:name="_Toc436995553"/>
      <w:bookmarkStart w:id="62" w:name="_Toc436995462"/>
      <w:bookmarkStart w:id="63" w:name="_Toc436995554"/>
      <w:bookmarkStart w:id="64" w:name="_Toc444247651"/>
      <w:bookmarkEnd w:id="60"/>
      <w:bookmarkEnd w:id="61"/>
      <w:bookmarkEnd w:id="62"/>
      <w:bookmarkEnd w:id="63"/>
      <w:r>
        <w:t>Povinné přílohy žádosti o podporu</w:t>
      </w:r>
      <w:bookmarkEnd w:id="64"/>
    </w:p>
    <w:p w:rsidR="00474669" w:rsidRPr="00EA3680" w:rsidRDefault="00474669" w:rsidP="00A431B7">
      <w:pPr>
        <w:jc w:val="both"/>
      </w:pPr>
      <w:r w:rsidRPr="00EA3680">
        <w:t>Povinné přílohy žadatel nahrává na příslušné Záložky žádosti o podporu v MS2014+. Více in</w:t>
      </w:r>
      <w:r>
        <w:t xml:space="preserve">formací je uvedeno v příloze č. 1 </w:t>
      </w:r>
      <w:r w:rsidRPr="00EA3680">
        <w:t>těchto Pravidel.</w:t>
      </w:r>
    </w:p>
    <w:p w:rsidR="00474669" w:rsidRPr="00CB13B8" w:rsidRDefault="00474669" w:rsidP="00C52BC1">
      <w:pPr>
        <w:rPr>
          <w:rFonts w:cs="Arial"/>
          <w:b/>
          <w:i/>
        </w:rPr>
      </w:pPr>
      <w:r w:rsidRPr="00CB13B8">
        <w:rPr>
          <w:rFonts w:cs="Arial"/>
          <w:b/>
          <w:i/>
        </w:rPr>
        <w:t>Záložka Identifikace projektu</w:t>
      </w:r>
    </w:p>
    <w:p w:rsidR="00474669" w:rsidRPr="009769E5" w:rsidRDefault="00474669" w:rsidP="00C52BC1">
      <w:pPr>
        <w:pStyle w:val="Odstavecseseznamem"/>
        <w:numPr>
          <w:ilvl w:val="0"/>
          <w:numId w:val="50"/>
        </w:numPr>
        <w:jc w:val="both"/>
        <w:rPr>
          <w:b/>
        </w:rPr>
      </w:pPr>
      <w:r w:rsidRPr="009769E5">
        <w:rPr>
          <w:b/>
        </w:rPr>
        <w:t>Plná moc</w:t>
      </w:r>
    </w:p>
    <w:p w:rsidR="00474669" w:rsidRPr="003C5F09" w:rsidRDefault="00474669" w:rsidP="00A431B7">
      <w:pPr>
        <w:pStyle w:val="Odstavecseseznamem"/>
        <w:ind w:left="0"/>
        <w:jc w:val="both"/>
      </w:pPr>
      <w:r w:rsidRPr="003C5F09">
        <w:t xml:space="preserve">Dokládá se v případě přenesení pravomocí na jinou osobu, např. při podpisu žádosti elektronickým podpisem. Plné moci jsou uloženy v elektronické podobě v MS2014+. </w:t>
      </w:r>
    </w:p>
    <w:p w:rsidR="00474669" w:rsidRDefault="00474669" w:rsidP="00C52BC1">
      <w:pPr>
        <w:rPr>
          <w:rFonts w:cs="Arial"/>
          <w:b/>
          <w:i/>
        </w:rPr>
      </w:pPr>
      <w:r w:rsidRPr="00CB13B8">
        <w:rPr>
          <w:rFonts w:cs="Arial"/>
          <w:b/>
          <w:i/>
        </w:rPr>
        <w:t>Záložka Veřejné zakázky</w:t>
      </w:r>
    </w:p>
    <w:p w:rsidR="00474669" w:rsidRPr="009769E5" w:rsidRDefault="00474669" w:rsidP="00C52BC1">
      <w:pPr>
        <w:pStyle w:val="Odstavecseseznamem"/>
        <w:numPr>
          <w:ilvl w:val="0"/>
          <w:numId w:val="50"/>
        </w:numPr>
        <w:jc w:val="both"/>
        <w:rPr>
          <w:b/>
        </w:rPr>
      </w:pPr>
      <w:r w:rsidRPr="009769E5">
        <w:rPr>
          <w:b/>
        </w:rPr>
        <w:t xml:space="preserve">Dokumentace k zadávacím a výběrovým řízením </w:t>
      </w:r>
    </w:p>
    <w:p w:rsidR="00CE212F" w:rsidRDefault="006531B4" w:rsidP="00A431B7">
      <w:pPr>
        <w:spacing w:after="0"/>
        <w:jc w:val="both"/>
      </w:pPr>
      <w:r>
        <w:t>D</w:t>
      </w:r>
      <w:r w:rsidR="00BC570A">
        <w:t>okumentace k za</w:t>
      </w:r>
      <w:r>
        <w:t>dávacím a výběrovým řízením je předkládána v souladu s kap</w:t>
      </w:r>
      <w:r w:rsidR="00BC570A">
        <w:t>itol</w:t>
      </w:r>
      <w:r>
        <w:t>ou</w:t>
      </w:r>
      <w:r w:rsidR="00BC570A">
        <w:t xml:space="preserve"> 5 Obecných pravidel.</w:t>
      </w:r>
      <w:r>
        <w:t xml:space="preserve"> </w:t>
      </w:r>
    </w:p>
    <w:p w:rsidR="00CE212F" w:rsidRDefault="00CE212F" w:rsidP="00A431B7">
      <w:pPr>
        <w:spacing w:after="0"/>
        <w:jc w:val="both"/>
      </w:pPr>
    </w:p>
    <w:p w:rsidR="00474669" w:rsidRDefault="006531B4" w:rsidP="00A431B7">
      <w:pPr>
        <w:spacing w:after="0"/>
        <w:jc w:val="both"/>
      </w:pPr>
      <w:r>
        <w:t>Informace</w:t>
      </w:r>
      <w:r w:rsidR="00CE212F">
        <w:t>,</w:t>
      </w:r>
      <w:r>
        <w:t xml:space="preserve"> k</w:t>
      </w:r>
      <w:r w:rsidR="00CE212F">
        <w:t>e</w:t>
      </w:r>
      <w:r>
        <w:t> </w:t>
      </w:r>
      <w:r w:rsidR="00CE212F">
        <w:t>kter</w:t>
      </w:r>
      <w:r>
        <w:t xml:space="preserve">ým činnostem lze zahájit zadávací nebo výběrové řízení </w:t>
      </w:r>
      <w:r w:rsidR="00955900">
        <w:t xml:space="preserve">nebo uzavřít smlouvu </w:t>
      </w:r>
      <w:r>
        <w:t xml:space="preserve">před podáním žádosti o podporu, aby byl dodržen </w:t>
      </w:r>
      <w:r w:rsidR="00A431B7">
        <w:t>motivační účin</w:t>
      </w:r>
      <w:r>
        <w:t>e</w:t>
      </w:r>
      <w:r w:rsidR="00A431B7">
        <w:t>k</w:t>
      </w:r>
      <w:r>
        <w:t xml:space="preserve">, je uvedena v </w:t>
      </w:r>
      <w:r w:rsidR="00A431B7">
        <w:t>přílo</w:t>
      </w:r>
      <w:r>
        <w:t>ze</w:t>
      </w:r>
      <w:r w:rsidR="00A431B7">
        <w:t xml:space="preserve"> č. 4 těchto Pravidel.</w:t>
      </w:r>
    </w:p>
    <w:p w:rsidR="00B63056" w:rsidRDefault="00B63056" w:rsidP="00A431B7">
      <w:pPr>
        <w:spacing w:after="0"/>
        <w:jc w:val="both"/>
      </w:pPr>
    </w:p>
    <w:p w:rsidR="00B63056" w:rsidRDefault="00B63056" w:rsidP="00A431B7">
      <w:pPr>
        <w:spacing w:after="0"/>
        <w:jc w:val="both"/>
      </w:pPr>
    </w:p>
    <w:p w:rsidR="00B63056" w:rsidRDefault="00B63056" w:rsidP="00A431B7">
      <w:pPr>
        <w:spacing w:after="0"/>
        <w:jc w:val="both"/>
      </w:pPr>
    </w:p>
    <w:p w:rsidR="00A431B7" w:rsidRPr="00A431B7" w:rsidRDefault="00A431B7" w:rsidP="00A431B7">
      <w:pPr>
        <w:spacing w:after="0"/>
        <w:jc w:val="both"/>
        <w:rPr>
          <w:rFonts w:asciiTheme="majorHAnsi" w:hAnsiTheme="majorHAnsi"/>
          <w:b/>
          <w:sz w:val="32"/>
        </w:rPr>
      </w:pPr>
    </w:p>
    <w:p w:rsidR="00474669" w:rsidRPr="00CB13B8" w:rsidRDefault="00474669" w:rsidP="00C52BC1">
      <w:pPr>
        <w:rPr>
          <w:rFonts w:cs="Arial"/>
          <w:b/>
          <w:i/>
        </w:rPr>
      </w:pPr>
      <w:r w:rsidRPr="00CB13B8">
        <w:rPr>
          <w:rFonts w:cs="Arial"/>
          <w:b/>
          <w:i/>
        </w:rPr>
        <w:lastRenderedPageBreak/>
        <w:t>Záložka Přiložené dokumenty</w:t>
      </w:r>
    </w:p>
    <w:p w:rsidR="00474669" w:rsidRPr="009769E5" w:rsidRDefault="00474669" w:rsidP="00C52BC1">
      <w:pPr>
        <w:pStyle w:val="Odstavecseseznamem"/>
        <w:numPr>
          <w:ilvl w:val="0"/>
          <w:numId w:val="50"/>
        </w:numPr>
        <w:jc w:val="both"/>
        <w:rPr>
          <w:b/>
        </w:rPr>
      </w:pPr>
      <w:r w:rsidRPr="009769E5">
        <w:rPr>
          <w:b/>
        </w:rPr>
        <w:t>Doklady o právní subjektivitě žadatele</w:t>
      </w:r>
    </w:p>
    <w:p w:rsidR="00474669" w:rsidRDefault="00474669" w:rsidP="00C52BC1">
      <w:r>
        <w:t xml:space="preserve">Právní subjektivitu nemusí dokládat: </w:t>
      </w:r>
    </w:p>
    <w:p w:rsidR="00474669" w:rsidRDefault="00474669" w:rsidP="00C52BC1">
      <w:pPr>
        <w:pStyle w:val="Odstavecseseznamem"/>
        <w:numPr>
          <w:ilvl w:val="0"/>
          <w:numId w:val="51"/>
        </w:numPr>
        <w:jc w:val="both"/>
      </w:pPr>
      <w:r w:rsidRPr="00EA3680">
        <w:t xml:space="preserve">kraje a </w:t>
      </w:r>
      <w:r>
        <w:t xml:space="preserve">jimi </w:t>
      </w:r>
      <w:r w:rsidRPr="00EA3680">
        <w:t xml:space="preserve">zřizované </w:t>
      </w:r>
      <w:r w:rsidRPr="00FB7F76">
        <w:t>organizace</w:t>
      </w:r>
      <w:r>
        <w:t>,</w:t>
      </w:r>
      <w:r w:rsidRPr="00FB7F76">
        <w:t xml:space="preserve"> </w:t>
      </w:r>
    </w:p>
    <w:p w:rsidR="00474669" w:rsidRDefault="00474669" w:rsidP="00C52BC1">
      <w:pPr>
        <w:pStyle w:val="Odstavecseseznamem"/>
        <w:numPr>
          <w:ilvl w:val="0"/>
          <w:numId w:val="51"/>
        </w:numPr>
        <w:jc w:val="both"/>
      </w:pPr>
      <w:r w:rsidRPr="00EA3680">
        <w:t xml:space="preserve">obce a </w:t>
      </w:r>
      <w:r>
        <w:t>jimi</w:t>
      </w:r>
      <w:r w:rsidRPr="00EA3680">
        <w:t xml:space="preserve"> zřizované organizace, </w:t>
      </w:r>
    </w:p>
    <w:p w:rsidR="00474669" w:rsidRDefault="00474669" w:rsidP="00C52BC1">
      <w:pPr>
        <w:pStyle w:val="Odstavecseseznamem"/>
        <w:numPr>
          <w:ilvl w:val="0"/>
          <w:numId w:val="51"/>
        </w:numPr>
        <w:jc w:val="both"/>
      </w:pPr>
      <w:r w:rsidRPr="00FB7F76">
        <w:t>organizační složky státu</w:t>
      </w:r>
      <w:r>
        <w:t>,</w:t>
      </w:r>
    </w:p>
    <w:p w:rsidR="00474669" w:rsidRDefault="00474669" w:rsidP="00C52BC1">
      <w:pPr>
        <w:pStyle w:val="Odstavecseseznamem"/>
        <w:numPr>
          <w:ilvl w:val="0"/>
          <w:numId w:val="51"/>
        </w:numPr>
        <w:jc w:val="both"/>
      </w:pPr>
      <w:r w:rsidRPr="00FB7F76">
        <w:t>příspěvkové organizace organizačních složek státu</w:t>
      </w:r>
      <w:r>
        <w:t>.</w:t>
      </w:r>
      <w:r w:rsidRPr="00FB7F76">
        <w:t xml:space="preserve"> </w:t>
      </w:r>
    </w:p>
    <w:p w:rsidR="00CF0087" w:rsidRPr="009769E5" w:rsidRDefault="00CF0087" w:rsidP="00C52BC1">
      <w:r w:rsidRPr="009769E5">
        <w:t>Nestátní neziskové organizace doloží:</w:t>
      </w:r>
    </w:p>
    <w:p w:rsidR="00CF0087" w:rsidRPr="00FB7F76" w:rsidRDefault="00CF0087" w:rsidP="00C52BC1">
      <w:pPr>
        <w:pStyle w:val="Odstavecseseznamem"/>
        <w:numPr>
          <w:ilvl w:val="0"/>
          <w:numId w:val="13"/>
        </w:numPr>
        <w:jc w:val="both"/>
      </w:pPr>
      <w:r w:rsidRPr="00FB7F76">
        <w:t>zakladatelskou smlouvu, zakládací či zřizovací listin</w:t>
      </w:r>
      <w:r>
        <w:t>u nebo jiný dokument o</w:t>
      </w:r>
      <w:r w:rsidR="00CD4970">
        <w:t> </w:t>
      </w:r>
      <w:r>
        <w:t xml:space="preserve"> založení</w:t>
      </w:r>
      <w:r w:rsidRPr="00FB7F76">
        <w:t>;</w:t>
      </w:r>
    </w:p>
    <w:p w:rsidR="00CF0087" w:rsidRPr="00FB7F76" w:rsidRDefault="00CF0087" w:rsidP="00C52BC1">
      <w:pPr>
        <w:pStyle w:val="Odstavecseseznamem"/>
        <w:numPr>
          <w:ilvl w:val="0"/>
          <w:numId w:val="13"/>
        </w:numPr>
        <w:jc w:val="both"/>
      </w:pPr>
      <w:r w:rsidRPr="00FB7F76">
        <w:t xml:space="preserve">stanovy, ve kterých musí být ustanovení o vypořádání majetku při zániku organizace, jestliže to nevyplývá ze zákona. </w:t>
      </w:r>
    </w:p>
    <w:p w:rsidR="00CF0087" w:rsidRDefault="00CF0087" w:rsidP="00C52BC1">
      <w:r w:rsidRPr="009769E5">
        <w:t xml:space="preserve">Církve </w:t>
      </w:r>
      <w:r w:rsidRPr="0071422B">
        <w:t xml:space="preserve">a náboženské společnosti, evidované (církevní) právnické osoby </w:t>
      </w:r>
      <w:r>
        <w:t>doloží:</w:t>
      </w:r>
    </w:p>
    <w:p w:rsidR="00CF0087" w:rsidRDefault="00CF0087" w:rsidP="00C52BC1">
      <w:pPr>
        <w:pStyle w:val="Odstavecseseznamem"/>
        <w:numPr>
          <w:ilvl w:val="0"/>
          <w:numId w:val="57"/>
        </w:numPr>
        <w:jc w:val="both"/>
      </w:pPr>
      <w:r w:rsidRPr="001011D2">
        <w:t xml:space="preserve">výpis z Rejstříku církví a náboženských společností </w:t>
      </w:r>
      <w:r w:rsidRPr="00D2724E">
        <w:t>nebo výpis z Rejstříku evidovaných právnických osob</w:t>
      </w:r>
      <w:r>
        <w:t>, který v době podání žádosti nesmí být starší 3 měsíců.</w:t>
      </w:r>
      <w:r w:rsidRPr="00D2724E" w:rsidDel="00D2724E">
        <w:t xml:space="preserve"> </w:t>
      </w:r>
    </w:p>
    <w:p w:rsidR="00A8430E" w:rsidRDefault="00A8430E" w:rsidP="00C52BC1">
      <w:r>
        <w:t>Organizace zakládané obcemi nebo kraji</w:t>
      </w:r>
      <w:r w:rsidR="00747C81">
        <w:t xml:space="preserve"> </w:t>
      </w:r>
      <w:r w:rsidR="00CF0087">
        <w:t xml:space="preserve">nebo </w:t>
      </w:r>
      <w:r w:rsidR="00F71F86">
        <w:t>organizační</w:t>
      </w:r>
      <w:r w:rsidR="00747C81">
        <w:t>mi</w:t>
      </w:r>
      <w:r w:rsidR="00F71F86">
        <w:t xml:space="preserve"> </w:t>
      </w:r>
      <w:r w:rsidR="00747C81">
        <w:t xml:space="preserve">složkami </w:t>
      </w:r>
      <w:r w:rsidR="00F71F86">
        <w:t xml:space="preserve">státu </w:t>
      </w:r>
      <w:r>
        <w:t>doloží:</w:t>
      </w:r>
    </w:p>
    <w:p w:rsidR="00A8430E" w:rsidRDefault="00A8430E" w:rsidP="00A431B7">
      <w:pPr>
        <w:pStyle w:val="Odstavecseseznamem"/>
        <w:numPr>
          <w:ilvl w:val="0"/>
          <w:numId w:val="13"/>
        </w:numPr>
        <w:jc w:val="both"/>
      </w:pPr>
      <w:r>
        <w:t xml:space="preserve">zakládací </w:t>
      </w:r>
      <w:r w:rsidRPr="00EA3680">
        <w:t>listinu nebo jiný dokument o založení</w:t>
      </w:r>
      <w:r w:rsidR="00B30123">
        <w:t>.</w:t>
      </w:r>
      <w:r>
        <w:t xml:space="preserve"> </w:t>
      </w:r>
    </w:p>
    <w:p w:rsidR="00CF0087" w:rsidRDefault="00CF0087" w:rsidP="00C52BC1">
      <w:r>
        <w:t>Dobrovolné svazky obcí a jimi zřizované a zakládané organizace doloží:</w:t>
      </w:r>
    </w:p>
    <w:p w:rsidR="00CF0087" w:rsidRDefault="00CF0087" w:rsidP="00A431B7">
      <w:pPr>
        <w:pStyle w:val="Odstavecseseznamem"/>
        <w:numPr>
          <w:ilvl w:val="0"/>
          <w:numId w:val="13"/>
        </w:numPr>
        <w:jc w:val="both"/>
      </w:pPr>
      <w:r>
        <w:t>zřizovací či zakládací listinu nebo jiný dokument o založení.</w:t>
      </w:r>
    </w:p>
    <w:p w:rsidR="00CF0087" w:rsidRDefault="00CF0087" w:rsidP="00C52BC1">
      <w:r>
        <w:t>Veřejná výzkumná instituce doloží:</w:t>
      </w:r>
    </w:p>
    <w:p w:rsidR="00CF0087" w:rsidRDefault="00CF0087" w:rsidP="00C52BC1">
      <w:pPr>
        <w:pStyle w:val="Odstavecseseznamem"/>
        <w:numPr>
          <w:ilvl w:val="0"/>
          <w:numId w:val="13"/>
        </w:numPr>
        <w:jc w:val="both"/>
      </w:pPr>
      <w:r w:rsidRPr="00FB7F76">
        <w:t>zakladatelskou smlouvu, zakládací či zřizovací listinu nebo jiný dokument o</w:t>
      </w:r>
      <w:r>
        <w:t> </w:t>
      </w:r>
      <w:r w:rsidRPr="00FB7F76">
        <w:t>založení</w:t>
      </w:r>
      <w:r>
        <w:t>.</w:t>
      </w:r>
    </w:p>
    <w:p w:rsidR="00CF0087" w:rsidRDefault="00CF0087" w:rsidP="00C52BC1">
      <w:r>
        <w:t>Ostatní výše neuvedené právnické osoby doloží:</w:t>
      </w:r>
    </w:p>
    <w:p w:rsidR="00CF0087" w:rsidRDefault="00CF0087" w:rsidP="00A431B7">
      <w:pPr>
        <w:pStyle w:val="Odstavecseseznamem"/>
        <w:numPr>
          <w:ilvl w:val="0"/>
          <w:numId w:val="13"/>
        </w:numPr>
        <w:jc w:val="both"/>
      </w:pPr>
      <w:r>
        <w:t>výpis z Obchodního rejstříku, který v době po</w:t>
      </w:r>
      <w:r w:rsidR="00860339">
        <w:t>dání žádosti nesmí být starší 3 </w:t>
      </w:r>
      <w:r>
        <w:t>měsíců</w:t>
      </w:r>
      <w:r w:rsidR="00375CDD">
        <w:t>,</w:t>
      </w:r>
      <w:r>
        <w:t xml:space="preserve"> a zakládací dokumenty. </w:t>
      </w:r>
      <w:r w:rsidRPr="00A54E33">
        <w:t>Došlo-li ke změně statutárního orgánu, která nebyla dosud vyznačena v Obchodním rejstříku, předloží dokumenty o</w:t>
      </w:r>
      <w:r w:rsidR="00CD4970">
        <w:t> </w:t>
      </w:r>
      <w:r w:rsidRPr="00A54E33">
        <w:t xml:space="preserve"> provedené změně. </w:t>
      </w:r>
    </w:p>
    <w:p w:rsidR="00A8430E" w:rsidRDefault="00A8430E" w:rsidP="00C52BC1">
      <w:r>
        <w:t>Fyzické osoby podnikající</w:t>
      </w:r>
      <w:r w:rsidR="00DC1AE6">
        <w:t xml:space="preserve"> (na základě IČO)</w:t>
      </w:r>
      <w:r>
        <w:t xml:space="preserve"> </w:t>
      </w:r>
      <w:r w:rsidR="00F4426E">
        <w:t>doloží</w:t>
      </w:r>
      <w:r w:rsidR="00D238D3">
        <w:t>:</w:t>
      </w:r>
    </w:p>
    <w:p w:rsidR="00E02935" w:rsidRDefault="00E02935" w:rsidP="00A431B7">
      <w:pPr>
        <w:pStyle w:val="Odstavecseseznamem"/>
        <w:numPr>
          <w:ilvl w:val="0"/>
          <w:numId w:val="13"/>
        </w:numPr>
        <w:jc w:val="both"/>
      </w:pPr>
      <w:r w:rsidRPr="00E02935">
        <w:t>oprávnění k podnikání nebo jiný doklad, pokud podniká podle jiného zákona než živnostenského.</w:t>
      </w:r>
      <w:r>
        <w:t xml:space="preserve"> </w:t>
      </w:r>
    </w:p>
    <w:p w:rsidR="00E02935" w:rsidRPr="00E02935" w:rsidRDefault="00E02935" w:rsidP="00E02935">
      <w:r w:rsidRPr="00E02935">
        <w:t>Přehled zakládacích dokumentů podle právní formy žadatele</w:t>
      </w:r>
      <w:r w:rsidR="00904252">
        <w:t>:</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2"/>
        <w:gridCol w:w="4722"/>
      </w:tblGrid>
      <w:tr w:rsidR="00E02935" w:rsidRPr="00C36DCF" w:rsidTr="000727D3">
        <w:trPr>
          <w:trHeight w:val="98"/>
        </w:trPr>
        <w:tc>
          <w:tcPr>
            <w:tcW w:w="338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právní forma žadatele </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b/>
                <w:bCs/>
                <w:color w:val="000000"/>
                <w:lang w:eastAsia="en-US"/>
              </w:rPr>
              <w:t xml:space="preserve">zakládací dokument </w:t>
            </w:r>
          </w:p>
        </w:tc>
      </w:tr>
      <w:tr w:rsidR="00E02935" w:rsidRPr="00C36DCF" w:rsidTr="000727D3">
        <w:trPr>
          <w:trHeight w:val="223"/>
        </w:trPr>
        <w:tc>
          <w:tcPr>
            <w:tcW w:w="338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 xml:space="preserve">společnost s ručením </w:t>
            </w:r>
            <w:r>
              <w:rPr>
                <w:rFonts w:asciiTheme="majorHAnsi" w:eastAsiaTheme="minorHAnsi" w:hAnsiTheme="majorHAnsi" w:cs="Calibri"/>
                <w:color w:val="000000"/>
                <w:lang w:eastAsia="en-US"/>
              </w:rPr>
              <w:lastRenderedPageBreak/>
              <w:t>omezeným</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lastRenderedPageBreak/>
              <w:t xml:space="preserve">zakladatelská listina (1 zakladatel) nebo </w:t>
            </w:r>
            <w:r w:rsidRPr="00C36DCF">
              <w:rPr>
                <w:rFonts w:asciiTheme="majorHAnsi" w:eastAsiaTheme="minorHAnsi" w:hAnsiTheme="majorHAnsi" w:cs="Calibri"/>
                <w:color w:val="000000"/>
                <w:lang w:eastAsia="en-US"/>
              </w:rPr>
              <w:lastRenderedPageBreak/>
              <w:t xml:space="preserve">společenská smlouva (více zakladatelů) </w:t>
            </w:r>
          </w:p>
        </w:tc>
      </w:tr>
      <w:tr w:rsidR="00E02935" w:rsidRPr="00C36DCF" w:rsidTr="000727D3">
        <w:trPr>
          <w:trHeight w:val="219"/>
        </w:trPr>
        <w:tc>
          <w:tcPr>
            <w:tcW w:w="338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lastRenderedPageBreak/>
              <w:t>akciová společnost</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zakladatelská listina (1 zakladatel) nebo zakladatelská smlouva (více zakladatelů) </w:t>
            </w:r>
          </w:p>
        </w:tc>
      </w:tr>
      <w:tr w:rsidR="00E02935" w:rsidRPr="00C36DCF" w:rsidTr="000727D3">
        <w:trPr>
          <w:trHeight w:val="98"/>
        </w:trPr>
        <w:tc>
          <w:tcPr>
            <w:tcW w:w="338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kom</w:t>
            </w:r>
            <w:r>
              <w:rPr>
                <w:rFonts w:asciiTheme="majorHAnsi" w:eastAsiaTheme="minorHAnsi" w:hAnsiTheme="majorHAnsi" w:cs="Calibri"/>
                <w:color w:val="000000"/>
                <w:lang w:eastAsia="en-US"/>
              </w:rPr>
              <w:t>anditní</w:t>
            </w:r>
            <w:r w:rsidRPr="00C36DCF">
              <w:rPr>
                <w:rFonts w:asciiTheme="majorHAnsi" w:eastAsiaTheme="minorHAnsi" w:hAnsiTheme="majorHAnsi" w:cs="Calibri"/>
                <w:color w:val="000000"/>
                <w:lang w:eastAsia="en-US"/>
              </w:rPr>
              <w:t xml:space="preserve"> spol</w:t>
            </w:r>
            <w:r>
              <w:rPr>
                <w:rFonts w:asciiTheme="majorHAnsi" w:eastAsiaTheme="minorHAnsi" w:hAnsiTheme="majorHAnsi" w:cs="Calibri"/>
                <w:color w:val="000000"/>
                <w:lang w:eastAsia="en-US"/>
              </w:rPr>
              <w:t>ečnost</w:t>
            </w:r>
            <w:r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veřejná obchodní společnost</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společenská smlouva </w:t>
            </w:r>
          </w:p>
        </w:tc>
      </w:tr>
      <w:tr w:rsidR="00E02935" w:rsidRPr="00C36DCF" w:rsidTr="000727D3">
        <w:trPr>
          <w:trHeight w:val="98"/>
        </w:trPr>
        <w:tc>
          <w:tcPr>
            <w:tcW w:w="3382" w:type="dxa"/>
          </w:tcPr>
          <w:p w:rsidR="00E02935" w:rsidRPr="00C36DCF" w:rsidRDefault="006215E1" w:rsidP="00C171AA">
            <w:pPr>
              <w:autoSpaceDE w:val="0"/>
              <w:autoSpaceDN w:val="0"/>
              <w:adjustRightInd w:val="0"/>
              <w:spacing w:after="12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 xml:space="preserve">bytové </w:t>
            </w:r>
            <w:r w:rsidR="00E02935" w:rsidRPr="00C36DCF">
              <w:rPr>
                <w:rFonts w:asciiTheme="majorHAnsi" w:eastAsiaTheme="minorHAnsi" w:hAnsiTheme="majorHAnsi" w:cs="Calibri"/>
                <w:color w:val="000000"/>
                <w:lang w:eastAsia="en-US"/>
              </w:rPr>
              <w:t xml:space="preserve">družstvo </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 xml:space="preserve">stanovy </w:t>
            </w:r>
          </w:p>
        </w:tc>
      </w:tr>
      <w:tr w:rsidR="00E02935" w:rsidRPr="00C36DCF" w:rsidTr="000727D3">
        <w:trPr>
          <w:trHeight w:val="98"/>
        </w:trPr>
        <w:tc>
          <w:tcPr>
            <w:tcW w:w="3382" w:type="dxa"/>
          </w:tcPr>
          <w:p w:rsidR="00E02935" w:rsidRPr="00C36DCF" w:rsidRDefault="00CE212F" w:rsidP="00C171AA">
            <w:pPr>
              <w:autoSpaceDE w:val="0"/>
              <w:autoSpaceDN w:val="0"/>
              <w:adjustRightInd w:val="0"/>
              <w:spacing w:after="120"/>
              <w:rPr>
                <w:rFonts w:asciiTheme="majorHAnsi" w:eastAsiaTheme="minorHAnsi" w:hAnsiTheme="majorHAnsi" w:cs="Calibri"/>
                <w:color w:val="000000"/>
                <w:lang w:eastAsia="en-US"/>
              </w:rPr>
            </w:pPr>
            <w:r>
              <w:rPr>
                <w:rFonts w:asciiTheme="majorHAnsi" w:eastAsiaTheme="minorHAnsi" w:hAnsiTheme="majorHAnsi" w:cs="Calibri"/>
                <w:color w:val="000000"/>
                <w:lang w:eastAsia="en-US"/>
              </w:rPr>
              <w:t>s</w:t>
            </w:r>
            <w:r w:rsidR="00E02935">
              <w:rPr>
                <w:rFonts w:asciiTheme="majorHAnsi" w:eastAsiaTheme="minorHAnsi" w:hAnsiTheme="majorHAnsi" w:cs="Calibri"/>
                <w:color w:val="000000"/>
                <w:lang w:eastAsia="en-US"/>
              </w:rPr>
              <w:t>polečenství vlastníků jednotek</w:t>
            </w:r>
            <w:r w:rsidR="00E02935" w:rsidRPr="00C36DCF">
              <w:rPr>
                <w:rFonts w:asciiTheme="majorHAnsi" w:eastAsiaTheme="minorHAnsi" w:hAnsiTheme="majorHAnsi" w:cs="Calibri"/>
                <w:color w:val="000000"/>
                <w:lang w:eastAsia="en-US"/>
              </w:rPr>
              <w:t xml:space="preserve"> </w:t>
            </w:r>
          </w:p>
        </w:tc>
        <w:tc>
          <w:tcPr>
            <w:tcW w:w="4722" w:type="dxa"/>
          </w:tcPr>
          <w:p w:rsidR="00E02935" w:rsidRPr="00C36DCF" w:rsidRDefault="00E02935" w:rsidP="00C171AA">
            <w:pPr>
              <w:autoSpaceDE w:val="0"/>
              <w:autoSpaceDN w:val="0"/>
              <w:adjustRightInd w:val="0"/>
              <w:spacing w:after="120"/>
              <w:rPr>
                <w:rFonts w:asciiTheme="majorHAnsi" w:eastAsiaTheme="minorHAnsi" w:hAnsiTheme="majorHAnsi" w:cs="Calibri"/>
                <w:color w:val="000000"/>
                <w:lang w:eastAsia="en-US"/>
              </w:rPr>
            </w:pPr>
            <w:r w:rsidRPr="00C36DCF">
              <w:rPr>
                <w:rFonts w:asciiTheme="majorHAnsi" w:eastAsiaTheme="minorHAnsi" w:hAnsiTheme="majorHAnsi" w:cs="Calibri"/>
                <w:color w:val="000000"/>
                <w:lang w:eastAsia="en-US"/>
              </w:rPr>
              <w:t>stanovy</w:t>
            </w:r>
          </w:p>
        </w:tc>
      </w:tr>
    </w:tbl>
    <w:p w:rsidR="00042F54" w:rsidRDefault="00042F54" w:rsidP="00042F54">
      <w:pPr>
        <w:pStyle w:val="Odstavecseseznamem"/>
        <w:autoSpaceDE w:val="0"/>
        <w:autoSpaceDN w:val="0"/>
        <w:adjustRightInd w:val="0"/>
        <w:spacing w:after="0"/>
        <w:ind w:left="405"/>
        <w:rPr>
          <w:rFonts w:asciiTheme="majorHAnsi" w:hAnsiTheme="majorHAnsi" w:cs="Arial"/>
        </w:rPr>
      </w:pPr>
    </w:p>
    <w:p w:rsidR="00042F54" w:rsidRPr="00A8430E" w:rsidRDefault="00744EBD" w:rsidP="00C171AA">
      <w:pPr>
        <w:pStyle w:val="Odstavecseseznamem"/>
        <w:numPr>
          <w:ilvl w:val="0"/>
          <w:numId w:val="50"/>
        </w:numPr>
        <w:spacing w:after="0"/>
        <w:ind w:left="714" w:hanging="357"/>
        <w:jc w:val="both"/>
        <w:rPr>
          <w:b/>
        </w:rPr>
      </w:pPr>
      <w:r w:rsidRPr="00A8430E">
        <w:rPr>
          <w:b/>
        </w:rPr>
        <w:t>Podklady pro hodnocení</w:t>
      </w:r>
    </w:p>
    <w:p w:rsidR="00042F54" w:rsidRDefault="00400E9B" w:rsidP="00A431B7">
      <w:pPr>
        <w:jc w:val="both"/>
      </w:pPr>
      <w:r>
        <w:t>Podklady pro hodnocení</w:t>
      </w:r>
      <w:r w:rsidR="00042F54" w:rsidRPr="00CC43CD">
        <w:t xml:space="preserve"> slouží k posouzení realizovatelnosti a potřebnosti projektu. </w:t>
      </w:r>
      <w:r w:rsidR="00787852">
        <w:t>S</w:t>
      </w:r>
      <w:r w:rsidR="00912AFA" w:rsidRPr="00CC43CD">
        <w:t xml:space="preserve">truktura </w:t>
      </w:r>
      <w:r w:rsidR="00912AFA">
        <w:t>podkladů</w:t>
      </w:r>
      <w:r>
        <w:t xml:space="preserve"> pro hodnocení</w:t>
      </w:r>
      <w:r w:rsidR="00042F54" w:rsidRPr="00CC43CD">
        <w:t xml:space="preserve"> je přílohou č. </w:t>
      </w:r>
      <w:r w:rsidR="00551647">
        <w:t>3</w:t>
      </w:r>
      <w:r w:rsidR="00551647" w:rsidRPr="00CC43CD">
        <w:t xml:space="preserve"> </w:t>
      </w:r>
      <w:r w:rsidR="00042F54" w:rsidRPr="00CC43CD">
        <w:t>těchto Pravidel.</w:t>
      </w:r>
    </w:p>
    <w:p w:rsidR="00042F54" w:rsidRDefault="00474669" w:rsidP="00C171AA">
      <w:pPr>
        <w:pStyle w:val="Odstavecseseznamem"/>
        <w:numPr>
          <w:ilvl w:val="0"/>
          <w:numId w:val="50"/>
        </w:numPr>
        <w:ind w:left="714" w:hanging="357"/>
        <w:jc w:val="both"/>
        <w:rPr>
          <w:b/>
        </w:rPr>
      </w:pPr>
      <w:r w:rsidRPr="009769E5">
        <w:rPr>
          <w:b/>
        </w:rPr>
        <w:t>Doklad o prokázání právních vztahů k majetku, který je předmětem projektu</w:t>
      </w:r>
    </w:p>
    <w:p w:rsidR="00474669" w:rsidRDefault="00474669" w:rsidP="00A431B7">
      <w:pPr>
        <w:pStyle w:val="Odstavecseseznamem"/>
        <w:ind w:left="0"/>
        <w:jc w:val="both"/>
      </w:pPr>
      <w:r w:rsidRPr="003C5F09">
        <w:t>Žadatel dokládá výpisy z katastru nemovitostí, týkající se projektu, pokud nepředložil stavební povolení při podání žádosti</w:t>
      </w:r>
      <w:r w:rsidR="00B30123">
        <w:t>.</w:t>
      </w:r>
    </w:p>
    <w:p w:rsidR="00474669" w:rsidRDefault="00474669" w:rsidP="00A8430E">
      <w:pPr>
        <w:pStyle w:val="Odstavecseseznamem"/>
        <w:jc w:val="both"/>
      </w:pPr>
    </w:p>
    <w:p w:rsidR="00474669" w:rsidRPr="009769E5" w:rsidRDefault="00474669" w:rsidP="00474669">
      <w:pPr>
        <w:pStyle w:val="Odstavecseseznamem"/>
        <w:numPr>
          <w:ilvl w:val="0"/>
          <w:numId w:val="50"/>
        </w:numPr>
        <w:jc w:val="both"/>
        <w:rPr>
          <w:b/>
        </w:rPr>
      </w:pPr>
      <w:r w:rsidRPr="009769E5">
        <w:rPr>
          <w:b/>
        </w:rPr>
        <w:t>Žádost o stavební povolení nebo ohlášení, případně stavební povolení nebo souhlas s provedením ohlášeného stavebního záměru nebo veřejnoprávní smlouva nahrazující stavební povolení</w:t>
      </w:r>
    </w:p>
    <w:p w:rsidR="00474669" w:rsidRPr="003C5F09" w:rsidRDefault="00474669" w:rsidP="00C52BC1">
      <w:pPr>
        <w:pStyle w:val="Odstavecseseznamem"/>
        <w:ind w:left="0"/>
        <w:jc w:val="both"/>
      </w:pPr>
      <w:r w:rsidRPr="003C5F09">
        <w:t xml:space="preserve">Pokud žadatel nebude mít k dispozici stavební povolení </w:t>
      </w:r>
      <w:r w:rsidRPr="00E774F4">
        <w:t>nebo souhlas s provedením ohlášeného stavebního záměru či veřejnoprávní smlouvu nahrazující stavební povolení</w:t>
      </w:r>
      <w:r w:rsidRPr="003C5F09">
        <w:t>, dokládá žádost o stavební povolení nebo ohlášení, potvrzené stavebním úřadem, a</w:t>
      </w:r>
      <w:r w:rsidR="00CD4970">
        <w:t> </w:t>
      </w:r>
      <w:r w:rsidRPr="003C5F09">
        <w:t xml:space="preserve"> přílohy, nejsou-li doloženy v jiné příloze žádosti o podporu.</w:t>
      </w:r>
      <w:r>
        <w:t xml:space="preserve"> Samotné stavební povolení pak musí být doloženo nejpozději do dne, kdy je vydáno Rozhodnutí o</w:t>
      </w:r>
      <w:r w:rsidR="00CD4970">
        <w:t> </w:t>
      </w:r>
      <w:r>
        <w:t xml:space="preserve"> poskytnutí dotace/Stanovení výdajů, formou Žádosti o změnu projektu. </w:t>
      </w:r>
    </w:p>
    <w:p w:rsidR="00474669" w:rsidRPr="00A8430E" w:rsidRDefault="00474669" w:rsidP="00A8430E">
      <w:pPr>
        <w:pStyle w:val="Odstavecseseznamem"/>
        <w:jc w:val="both"/>
        <w:rPr>
          <w:b/>
        </w:rPr>
      </w:pPr>
    </w:p>
    <w:p w:rsidR="00474669" w:rsidRPr="009769E5" w:rsidRDefault="00474669" w:rsidP="00A8430E">
      <w:pPr>
        <w:pStyle w:val="Odstavecseseznamem"/>
        <w:numPr>
          <w:ilvl w:val="0"/>
          <w:numId w:val="50"/>
        </w:numPr>
        <w:jc w:val="both"/>
        <w:rPr>
          <w:b/>
        </w:rPr>
      </w:pPr>
      <w:r w:rsidRPr="009769E5">
        <w:rPr>
          <w:b/>
        </w:rPr>
        <w:t>Projektová dokumentace pro vydání stavebního povolení nebo pro ohlášení stavby</w:t>
      </w:r>
    </w:p>
    <w:p w:rsidR="00474669" w:rsidRPr="003C5F09" w:rsidRDefault="00474669" w:rsidP="00C52BC1">
      <w:pPr>
        <w:pStyle w:val="Odstavecseseznamem"/>
        <w:ind w:left="0"/>
        <w:jc w:val="both"/>
      </w:pPr>
      <w:r w:rsidRPr="003C5F09">
        <w:t>Žadatel dokládá projektovou dokumentaci v podrobnosti pro vydání stavebního povolení, jež je součástí žádosti o stavební povolení, nebo je ověřená stavebním úřadem ve stavebním řízení. Pokud stavba nevyžaduje stavební povolení, dokládá žadatel projektovou dokumentaci pro ohlášení stavby. V případě, že již byla zpracována projektová dokumentace pro provádění stavby, žadatel ji také přikládá k žádosti o</w:t>
      </w:r>
      <w:r w:rsidR="00CD4970">
        <w:t> </w:t>
      </w:r>
      <w:r w:rsidRPr="003C5F09">
        <w:t xml:space="preserve"> podporu.</w:t>
      </w:r>
    </w:p>
    <w:p w:rsidR="00CE212F" w:rsidRDefault="00CE212F" w:rsidP="00C52BC1">
      <w:pPr>
        <w:pStyle w:val="Odstavecseseznamem"/>
        <w:ind w:left="0"/>
        <w:jc w:val="both"/>
      </w:pPr>
    </w:p>
    <w:p w:rsidR="00B63056" w:rsidRDefault="00474669" w:rsidP="00C52BC1">
      <w:pPr>
        <w:pStyle w:val="Odstavecseseznamem"/>
        <w:ind w:left="0"/>
        <w:jc w:val="both"/>
      </w:pPr>
      <w:r w:rsidRPr="003C5F09">
        <w:t xml:space="preserve">Projektové dokumentace jsou zpracovány podle zákona č. 183/2006 Sb., o územním plánování a stavebním řádu, ve znění pozdějších předpisů, bližší specifikace je ve vyhlášce č. 499/2006 Sb., o dokumentaci staveb, ve znění pozdějších předpisů. </w:t>
      </w:r>
    </w:p>
    <w:p w:rsidR="00B43F70" w:rsidRPr="003C5F09" w:rsidRDefault="00B43F70" w:rsidP="00B73F15">
      <w:pPr>
        <w:pStyle w:val="Odstavecseseznamem"/>
        <w:jc w:val="both"/>
      </w:pPr>
    </w:p>
    <w:p w:rsidR="00474669" w:rsidRPr="009769E5" w:rsidRDefault="00474669" w:rsidP="00A8430E">
      <w:pPr>
        <w:pStyle w:val="Odstavecseseznamem"/>
        <w:numPr>
          <w:ilvl w:val="0"/>
          <w:numId w:val="50"/>
        </w:numPr>
        <w:jc w:val="both"/>
        <w:rPr>
          <w:b/>
        </w:rPr>
      </w:pPr>
      <w:r>
        <w:rPr>
          <w:b/>
        </w:rPr>
        <w:t xml:space="preserve"> Položkový rozpočet stavby</w:t>
      </w:r>
    </w:p>
    <w:p w:rsidR="005E70DA" w:rsidRDefault="005E70DA" w:rsidP="00E8320D">
      <w:pPr>
        <w:spacing w:before="240" w:after="0"/>
        <w:jc w:val="both"/>
      </w:pPr>
      <w:r>
        <w:t>Žadatel dokládá naskenovaný položkový rozpočet stavby podepsaný autorizovaným projektantem členěný podle jednotného ceníku stavebních prací v cenové úrovni ne starší než k r. 2014 ve formě oceněného soupisu prací (r</w:t>
      </w:r>
      <w:r w:rsidRPr="00E8320D">
        <w:t xml:space="preserve">ozpočet musí vždy obsahovat sloupec, ve kterém je uveden odkaz na typ použité cenové soustavy ve tvaru "rok_typ </w:t>
      </w:r>
      <w:r w:rsidRPr="00E8320D">
        <w:lastRenderedPageBreak/>
        <w:t>cenové soustavy" (např. "2015_OTSKP" nebo "CS ÚRS 2015 O1" nebo „RTS DATA 2016/I“). D</w:t>
      </w:r>
      <w:r w:rsidRPr="00CA3837">
        <w:t>ál</w:t>
      </w:r>
      <w:r>
        <w:t xml:space="preserve">e dokládá jeho elektronickou podobu ve formátu XML – jedná se o otevřený elektronický formát, který umožňuje transfery dat a jejich zpracování různými softwarovými programy a splňuje tak veškeré požadavky Vyhlášky č. 230/2012 Sb. a je volně dostupný. </w:t>
      </w:r>
      <w:r w:rsidRPr="00E8320D">
        <w:t xml:space="preserve"> </w:t>
      </w:r>
    </w:p>
    <w:p w:rsidR="00446FB0" w:rsidRDefault="005E70DA" w:rsidP="00C171AA">
      <w:pPr>
        <w:spacing w:before="240" w:after="0"/>
        <w:jc w:val="both"/>
      </w:pPr>
      <w:r>
        <w:t xml:space="preserve">Pokud budou v položkovém rozpočtu uvedeny položky </w:t>
      </w:r>
      <w:r w:rsidRPr="00C436F2">
        <w:t>charakteru</w:t>
      </w:r>
      <w:r>
        <w:t xml:space="preserve"> soubor nebo komplet, musí projektant k použitým jednotkám připojit jejich </w:t>
      </w:r>
      <w:r w:rsidRPr="00C436F2">
        <w:t>přesnou</w:t>
      </w:r>
      <w:r>
        <w:t xml:space="preserve"> specifikaci a způsob jejich ocenění. Pokud projektant uvede vlastní položky, které nejsou definovány v použité cenové soustavě, uvede také jejich přesnou specifikaci a způsob jejich ocenění. CRR/ŘO IROP bude takové soubory/komplety a položky jednotlivě posuzovat z pohledu formálních náležitostí a přijatelnosti a rozhodne o jejich uznatelnosti. Součástí položkového rozpočtu stavby budou také jednotkové ceny stavebních prací, které jsou uvedeny v cenové soustavě. Pokud je jednotková cena uvedená projektantem vyšší než jednotková cena uvedená v cenové soustavě, je nutné rozdíl vysvětlit. Výstupem specifikace souborů/kompletů či vysvětlení vyšší jednotkové ceny položek je vždy naskenovaný dokument opatřený podpise</w:t>
      </w:r>
      <w:r w:rsidR="00C171AA">
        <w:t>m autorizovaného projektanta.</w:t>
      </w:r>
    </w:p>
    <w:p w:rsidR="009E03D5" w:rsidRPr="00C76941" w:rsidRDefault="009E03D5" w:rsidP="00C76941">
      <w:pPr>
        <w:pStyle w:val="Odstavecseseznamem"/>
        <w:autoSpaceDE w:val="0"/>
        <w:autoSpaceDN w:val="0"/>
        <w:adjustRightInd w:val="0"/>
        <w:spacing w:after="0"/>
        <w:ind w:left="644"/>
        <w:rPr>
          <w:rFonts w:asciiTheme="majorHAnsi" w:hAnsiTheme="majorHAnsi" w:cs="Arial"/>
          <w:u w:val="single"/>
        </w:rPr>
      </w:pPr>
    </w:p>
    <w:p w:rsidR="009E03D5" w:rsidRPr="00E02935" w:rsidRDefault="009E03D5" w:rsidP="00E02935">
      <w:pPr>
        <w:pStyle w:val="Odstavecseseznamem"/>
        <w:numPr>
          <w:ilvl w:val="0"/>
          <w:numId w:val="50"/>
        </w:numPr>
        <w:jc w:val="both"/>
        <w:rPr>
          <w:b/>
        </w:rPr>
      </w:pPr>
      <w:r w:rsidRPr="00E02935">
        <w:rPr>
          <w:b/>
        </w:rPr>
        <w:t>Energetické hodnocení</w:t>
      </w:r>
    </w:p>
    <w:p w:rsidR="00DA79BF" w:rsidRPr="004352D7" w:rsidRDefault="00DA79BF" w:rsidP="00C52BC1">
      <w:pPr>
        <w:pStyle w:val="Odstavecseseznamem"/>
        <w:autoSpaceDE w:val="0"/>
        <w:autoSpaceDN w:val="0"/>
        <w:adjustRightInd w:val="0"/>
        <w:spacing w:after="0"/>
        <w:ind w:left="0"/>
        <w:rPr>
          <w:rFonts w:asciiTheme="majorHAnsi" w:hAnsiTheme="majorHAnsi" w:cs="Arial"/>
        </w:rPr>
      </w:pPr>
      <w:r w:rsidRPr="004352D7">
        <w:rPr>
          <w:rFonts w:asciiTheme="majorHAnsi" w:hAnsiTheme="majorHAnsi" w:cs="Arial"/>
        </w:rPr>
        <w:t>Energetické hodnocení se skládá z následujících částí:</w:t>
      </w:r>
    </w:p>
    <w:p w:rsidR="009E03D5" w:rsidRDefault="009E03D5" w:rsidP="00C52BC1">
      <w:pPr>
        <w:pStyle w:val="Odstavecseseznamem"/>
        <w:autoSpaceDE w:val="0"/>
        <w:autoSpaceDN w:val="0"/>
        <w:adjustRightInd w:val="0"/>
        <w:spacing w:after="0"/>
        <w:ind w:left="0"/>
        <w:rPr>
          <w:rFonts w:asciiTheme="majorHAnsi" w:hAnsiTheme="majorHAnsi" w:cs="Arial"/>
          <w:u w:val="single"/>
        </w:rPr>
      </w:pPr>
    </w:p>
    <w:p w:rsidR="00016385" w:rsidRDefault="009E03D5" w:rsidP="00A431B7">
      <w:pPr>
        <w:pStyle w:val="Odstavecseseznamem"/>
        <w:numPr>
          <w:ilvl w:val="0"/>
          <w:numId w:val="80"/>
        </w:numPr>
        <w:autoSpaceDE w:val="0"/>
        <w:autoSpaceDN w:val="0"/>
        <w:adjustRightInd w:val="0"/>
        <w:spacing w:after="0"/>
        <w:ind w:left="426" w:hanging="426"/>
        <w:jc w:val="both"/>
        <w:rPr>
          <w:rFonts w:asciiTheme="majorHAnsi" w:hAnsiTheme="majorHAnsi" w:cs="Arial"/>
        </w:rPr>
      </w:pPr>
      <w:r w:rsidRPr="00912AFA">
        <w:rPr>
          <w:rFonts w:asciiTheme="majorHAnsi" w:hAnsiTheme="majorHAnsi" w:cs="Arial"/>
        </w:rPr>
        <w:t>Průkaz energetické náročnosti budov</w:t>
      </w:r>
      <w:r w:rsidR="00397285">
        <w:rPr>
          <w:rFonts w:asciiTheme="majorHAnsi" w:hAnsiTheme="majorHAnsi" w:cs="Arial"/>
        </w:rPr>
        <w:t xml:space="preserve"> zpracovaný v souladu s vyhláškou č. 78/2013 Sb., o energetické náročnosti budov</w:t>
      </w:r>
      <w:r w:rsidR="0060707D">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před realizací opatření</w:t>
      </w:r>
      <w:r w:rsidR="00FB32DB">
        <w:rPr>
          <w:rFonts w:asciiTheme="majorHAnsi" w:hAnsiTheme="majorHAnsi" w:cs="Arial"/>
        </w:rPr>
        <w:t>,</w:t>
      </w:r>
    </w:p>
    <w:p w:rsidR="00016385" w:rsidRDefault="00016385" w:rsidP="00A431B7">
      <w:pPr>
        <w:pStyle w:val="Odstavecseseznamem"/>
        <w:numPr>
          <w:ilvl w:val="2"/>
          <w:numId w:val="78"/>
        </w:numPr>
        <w:autoSpaceDE w:val="0"/>
        <w:autoSpaceDN w:val="0"/>
        <w:adjustRightInd w:val="0"/>
        <w:spacing w:after="0"/>
        <w:ind w:left="709" w:hanging="283"/>
        <w:jc w:val="both"/>
        <w:rPr>
          <w:rFonts w:asciiTheme="majorHAnsi" w:hAnsiTheme="majorHAnsi" w:cs="Arial"/>
        </w:rPr>
      </w:pPr>
      <w:r>
        <w:rPr>
          <w:rFonts w:asciiTheme="majorHAnsi" w:hAnsiTheme="majorHAnsi" w:cs="Arial"/>
        </w:rPr>
        <w:t>pro stav po realizaci navrhovaných opatření</w:t>
      </w:r>
      <w:r w:rsidR="00FB32DB">
        <w:rPr>
          <w:rFonts w:asciiTheme="majorHAnsi" w:hAnsiTheme="majorHAnsi" w:cs="Arial"/>
        </w:rPr>
        <w:t>.</w:t>
      </w:r>
      <w:r w:rsidR="009E03D5" w:rsidRPr="00912AFA">
        <w:rPr>
          <w:rFonts w:asciiTheme="majorHAnsi" w:hAnsiTheme="majorHAnsi" w:cs="Arial"/>
        </w:rPr>
        <w:t xml:space="preserve"> </w:t>
      </w:r>
    </w:p>
    <w:p w:rsidR="0060707D" w:rsidRDefault="0060707D" w:rsidP="0060707D">
      <w:pPr>
        <w:autoSpaceDE w:val="0"/>
        <w:autoSpaceDN w:val="0"/>
        <w:adjustRightInd w:val="0"/>
        <w:spacing w:after="0"/>
        <w:jc w:val="both"/>
        <w:rPr>
          <w:rFonts w:asciiTheme="majorHAnsi" w:hAnsiTheme="majorHAnsi" w:cs="Arial"/>
        </w:rPr>
      </w:pPr>
    </w:p>
    <w:p w:rsidR="00841519" w:rsidRDefault="00841519" w:rsidP="00E8320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UPOZORNĚNÍ</w:t>
      </w:r>
    </w:p>
    <w:p w:rsidR="0010778C" w:rsidRDefault="00841519" w:rsidP="00E8320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Úspory plynoucí z opatření, která nespadají do způsobilých výdajů (např. výměna starého plynového kotle na nový)</w:t>
      </w:r>
      <w:r w:rsidR="00F43F99">
        <w:rPr>
          <w:rFonts w:asciiTheme="majorHAnsi" w:hAnsiTheme="majorHAnsi" w:cs="Arial"/>
        </w:rPr>
        <w:t>,</w:t>
      </w:r>
      <w:r>
        <w:rPr>
          <w:rFonts w:asciiTheme="majorHAnsi" w:hAnsiTheme="majorHAnsi" w:cs="Arial"/>
        </w:rPr>
        <w:t xml:space="preserve"> nelze započítat do celkové úspory energie.</w:t>
      </w:r>
    </w:p>
    <w:p w:rsidR="00B9070F" w:rsidRDefault="00B9070F" w:rsidP="00E8320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p>
    <w:p w:rsidR="0010778C" w:rsidRDefault="0010778C" w:rsidP="00E8320D">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 xml:space="preserve">Energetický audit </w:t>
      </w:r>
      <w:r w:rsidR="00F456A5">
        <w:rPr>
          <w:rFonts w:asciiTheme="majorHAnsi" w:hAnsiTheme="majorHAnsi" w:cs="Arial"/>
        </w:rPr>
        <w:t xml:space="preserve">ani energetický posudek </w:t>
      </w:r>
      <w:r>
        <w:rPr>
          <w:rFonts w:asciiTheme="majorHAnsi" w:hAnsiTheme="majorHAnsi" w:cs="Arial"/>
        </w:rPr>
        <w:t>ne</w:t>
      </w:r>
      <w:r w:rsidR="00F456A5">
        <w:rPr>
          <w:rFonts w:asciiTheme="majorHAnsi" w:hAnsiTheme="majorHAnsi" w:cs="Arial"/>
        </w:rPr>
        <w:t>jsou</w:t>
      </w:r>
      <w:r>
        <w:rPr>
          <w:rFonts w:asciiTheme="majorHAnsi" w:hAnsiTheme="majorHAnsi" w:cs="Arial"/>
        </w:rPr>
        <w:t xml:space="preserve"> akceptován</w:t>
      </w:r>
      <w:r w:rsidR="00F456A5">
        <w:rPr>
          <w:rFonts w:asciiTheme="majorHAnsi" w:hAnsiTheme="majorHAnsi" w:cs="Arial"/>
        </w:rPr>
        <w:t>y</w:t>
      </w:r>
      <w:r>
        <w:rPr>
          <w:rFonts w:asciiTheme="majorHAnsi" w:hAnsiTheme="majorHAnsi" w:cs="Arial"/>
        </w:rPr>
        <w:t xml:space="preserve"> jako náhrada za průkaz energetické náročnosti budov.</w:t>
      </w:r>
    </w:p>
    <w:p w:rsidR="00016385" w:rsidRDefault="00016385" w:rsidP="00C52BC1">
      <w:pPr>
        <w:pStyle w:val="Odstavecseseznamem"/>
        <w:autoSpaceDE w:val="0"/>
        <w:autoSpaceDN w:val="0"/>
        <w:adjustRightInd w:val="0"/>
        <w:spacing w:after="0"/>
        <w:ind w:left="0"/>
        <w:jc w:val="both"/>
        <w:rPr>
          <w:rFonts w:asciiTheme="majorHAnsi" w:hAnsiTheme="majorHAnsi" w:cs="Arial"/>
        </w:rPr>
      </w:pPr>
    </w:p>
    <w:p w:rsidR="00912AFA" w:rsidRDefault="00016385" w:rsidP="00C52BC1">
      <w:pPr>
        <w:pStyle w:val="Odstavecseseznamem"/>
        <w:autoSpaceDE w:val="0"/>
        <w:autoSpaceDN w:val="0"/>
        <w:adjustRightInd w:val="0"/>
        <w:spacing w:after="0"/>
        <w:ind w:left="0"/>
        <w:jc w:val="both"/>
        <w:rPr>
          <w:rFonts w:asciiTheme="majorHAnsi" w:hAnsiTheme="majorHAnsi" w:cs="Arial"/>
        </w:rPr>
      </w:pPr>
      <w:r>
        <w:rPr>
          <w:rFonts w:asciiTheme="majorHAnsi" w:hAnsiTheme="majorHAnsi" w:cs="Arial"/>
        </w:rPr>
        <w:t>V</w:t>
      </w:r>
      <w:r w:rsidR="00912AFA">
        <w:rPr>
          <w:rFonts w:asciiTheme="majorHAnsi" w:hAnsiTheme="majorHAnsi" w:cs="Arial"/>
        </w:rPr>
        <w:t xml:space="preserve"> části</w:t>
      </w:r>
      <w:r w:rsidR="000E3394" w:rsidRPr="00912AFA">
        <w:rPr>
          <w:rFonts w:asciiTheme="majorHAnsi" w:hAnsiTheme="majorHAnsi" w:cs="Arial"/>
        </w:rPr>
        <w:t xml:space="preserve"> „Doporučení k realizaci a</w:t>
      </w:r>
      <w:r w:rsidR="00745856">
        <w:rPr>
          <w:rFonts w:asciiTheme="majorHAnsi" w:hAnsiTheme="majorHAnsi" w:cs="Arial"/>
        </w:rPr>
        <w:t> </w:t>
      </w:r>
      <w:r w:rsidR="000E3394" w:rsidRPr="00912AFA">
        <w:rPr>
          <w:rFonts w:asciiTheme="majorHAnsi" w:hAnsiTheme="majorHAnsi" w:cs="Arial"/>
        </w:rPr>
        <w:t xml:space="preserve">zdůvodnění“ v průkazu energetické náročnosti pro stav před realizací </w:t>
      </w:r>
      <w:r w:rsidR="00940759">
        <w:rPr>
          <w:rFonts w:asciiTheme="majorHAnsi" w:hAnsiTheme="majorHAnsi" w:cs="Arial"/>
        </w:rPr>
        <w:t xml:space="preserve">opatření </w:t>
      </w:r>
      <w:r w:rsidR="000E3394" w:rsidRPr="00912AFA">
        <w:rPr>
          <w:rFonts w:asciiTheme="majorHAnsi" w:hAnsiTheme="majorHAnsi" w:cs="Arial"/>
        </w:rPr>
        <w:t xml:space="preserve">musí být jednoznačně </w:t>
      </w:r>
      <w:r w:rsidR="00900139" w:rsidRPr="00912AFA">
        <w:rPr>
          <w:rFonts w:asciiTheme="majorHAnsi" w:hAnsiTheme="majorHAnsi" w:cs="Arial"/>
        </w:rPr>
        <w:t>uveden rozsah prováděných opatření</w:t>
      </w:r>
      <w:r w:rsidR="00912AFA">
        <w:rPr>
          <w:rFonts w:asciiTheme="majorHAnsi" w:hAnsiTheme="majorHAnsi" w:cs="Arial"/>
        </w:rPr>
        <w:t xml:space="preserve"> a</w:t>
      </w:r>
      <w:r w:rsidR="00CD4970">
        <w:rPr>
          <w:rFonts w:asciiTheme="majorHAnsi" w:hAnsiTheme="majorHAnsi" w:cs="Arial"/>
        </w:rPr>
        <w:t> </w:t>
      </w:r>
      <w:r w:rsidR="00912AFA">
        <w:rPr>
          <w:rFonts w:asciiTheme="majorHAnsi" w:hAnsiTheme="majorHAnsi" w:cs="Arial"/>
        </w:rPr>
        <w:t xml:space="preserve"> vybrané technické údaje:</w:t>
      </w:r>
    </w:p>
    <w:p w:rsidR="006765FC" w:rsidRDefault="006765FC" w:rsidP="00C52BC1">
      <w:pPr>
        <w:pStyle w:val="Odstavecseseznamem"/>
        <w:autoSpaceDE w:val="0"/>
        <w:autoSpaceDN w:val="0"/>
        <w:adjustRightInd w:val="0"/>
        <w:spacing w:after="0"/>
        <w:ind w:left="0"/>
        <w:jc w:val="both"/>
        <w:rPr>
          <w:rFonts w:asciiTheme="majorHAnsi" w:hAnsiTheme="majorHAnsi" w:cs="Arial"/>
        </w:rPr>
      </w:pPr>
    </w:p>
    <w:p w:rsidR="00912AFA"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w:t>
      </w:r>
      <w:r w:rsidRPr="00912AFA">
        <w:rPr>
          <w:rFonts w:asciiTheme="majorHAnsi" w:hAnsiTheme="majorHAnsi" w:cs="Arial"/>
        </w:rPr>
        <w:t> </w:t>
      </w:r>
      <w:r w:rsidR="00900139" w:rsidRPr="00912AFA">
        <w:rPr>
          <w:rFonts w:asciiTheme="majorHAnsi" w:hAnsiTheme="majorHAnsi" w:cs="Arial"/>
        </w:rPr>
        <w:t>případě instalace technologií (instalace zdroje tepla, instalace jednotky pro kombinovanou výrobu elektřiny a tepla, instalace fotovoltaického systému, instalace solárních termických systémů) zde musí být uvedeny takové hodnoty jednotlivých parametrů, aby při jejich dodržení byly splněny podmínky Programu.</w:t>
      </w:r>
      <w:r w:rsidR="0031150E" w:rsidRPr="00912AFA">
        <w:rPr>
          <w:rFonts w:asciiTheme="majorHAnsi" w:hAnsiTheme="majorHAnsi" w:cs="Arial"/>
        </w:rPr>
        <w:t xml:space="preserve">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 xml:space="preserve">V případě zateplení obvodových konstrukcí zde musí být uvedený typ, hodnota součinitele tepelné vodivosti a </w:t>
      </w:r>
      <w:r w:rsidR="00706B9A">
        <w:rPr>
          <w:rFonts w:asciiTheme="majorHAnsi" w:hAnsiTheme="majorHAnsi" w:cs="Arial"/>
        </w:rPr>
        <w:t>mocnost</w:t>
      </w:r>
      <w:r>
        <w:rPr>
          <w:rFonts w:asciiTheme="majorHAnsi" w:hAnsiTheme="majorHAnsi" w:cs="Arial"/>
        </w:rPr>
        <w:t xml:space="preserve"> navrhovaného izolantu. </w:t>
      </w:r>
    </w:p>
    <w:p w:rsidR="00DA79BF" w:rsidRDefault="00912AFA" w:rsidP="00A431B7">
      <w:pPr>
        <w:pStyle w:val="Odstavecseseznamem"/>
        <w:numPr>
          <w:ilvl w:val="1"/>
          <w:numId w:val="79"/>
        </w:numPr>
        <w:autoSpaceDE w:val="0"/>
        <w:autoSpaceDN w:val="0"/>
        <w:adjustRightInd w:val="0"/>
        <w:spacing w:after="0"/>
        <w:ind w:left="709" w:hanging="283"/>
        <w:jc w:val="both"/>
        <w:rPr>
          <w:rFonts w:asciiTheme="majorHAnsi" w:hAnsiTheme="majorHAnsi" w:cs="Arial"/>
        </w:rPr>
      </w:pPr>
      <w:r>
        <w:rPr>
          <w:rFonts w:asciiTheme="majorHAnsi" w:hAnsiTheme="majorHAnsi" w:cs="Arial"/>
        </w:rPr>
        <w:t>V případě výpl</w:t>
      </w:r>
      <w:r w:rsidR="00DA79BF">
        <w:rPr>
          <w:rFonts w:asciiTheme="majorHAnsi" w:hAnsiTheme="majorHAnsi" w:cs="Arial"/>
        </w:rPr>
        <w:t>ní otvorů zde musí být uvedena hodnota součinitele prostupu tepla a hodnota činitele prostupu solárního záření.</w:t>
      </w:r>
    </w:p>
    <w:p w:rsidR="00C171AA" w:rsidRDefault="00C171AA" w:rsidP="006765FC">
      <w:pPr>
        <w:pStyle w:val="Odstavecseseznamem"/>
        <w:autoSpaceDE w:val="0"/>
        <w:autoSpaceDN w:val="0"/>
        <w:adjustRightInd w:val="0"/>
        <w:spacing w:after="0"/>
        <w:ind w:left="1440"/>
        <w:jc w:val="both"/>
        <w:rPr>
          <w:rFonts w:asciiTheme="majorHAnsi" w:hAnsiTheme="majorHAnsi" w:cs="Arial"/>
        </w:rPr>
      </w:pPr>
    </w:p>
    <w:p w:rsidR="009E03D5" w:rsidRDefault="0031150E" w:rsidP="00A431B7">
      <w:pPr>
        <w:autoSpaceDE w:val="0"/>
        <w:autoSpaceDN w:val="0"/>
        <w:adjustRightInd w:val="0"/>
        <w:spacing w:after="0"/>
        <w:jc w:val="both"/>
        <w:rPr>
          <w:rFonts w:asciiTheme="majorHAnsi" w:hAnsiTheme="majorHAnsi" w:cs="Arial"/>
        </w:rPr>
      </w:pPr>
      <w:r w:rsidRPr="006765FC">
        <w:rPr>
          <w:rFonts w:asciiTheme="majorHAnsi" w:hAnsiTheme="majorHAnsi" w:cs="Arial"/>
        </w:rPr>
        <w:t xml:space="preserve">Uvedená doporučení </w:t>
      </w:r>
      <w:r w:rsidR="00DA79BF">
        <w:rPr>
          <w:rFonts w:asciiTheme="majorHAnsi" w:hAnsiTheme="majorHAnsi" w:cs="Arial"/>
        </w:rPr>
        <w:t xml:space="preserve">být </w:t>
      </w:r>
      <w:r w:rsidR="00363821">
        <w:rPr>
          <w:rFonts w:asciiTheme="majorHAnsi" w:hAnsiTheme="majorHAnsi" w:cs="Arial"/>
        </w:rPr>
        <w:t xml:space="preserve">v souladu </w:t>
      </w:r>
      <w:r w:rsidR="00DA79BF">
        <w:rPr>
          <w:rFonts w:asciiTheme="majorHAnsi" w:hAnsiTheme="majorHAnsi" w:cs="Arial"/>
        </w:rPr>
        <w:t>s hodnotami uvedenými</w:t>
      </w:r>
      <w:r w:rsidRPr="006765FC">
        <w:rPr>
          <w:rFonts w:asciiTheme="majorHAnsi" w:hAnsiTheme="majorHAnsi" w:cs="Arial"/>
        </w:rPr>
        <w:t xml:space="preserve"> </w:t>
      </w:r>
      <w:r w:rsidR="00DA79BF">
        <w:rPr>
          <w:rFonts w:asciiTheme="majorHAnsi" w:hAnsiTheme="majorHAnsi" w:cs="Arial"/>
        </w:rPr>
        <w:t>v</w:t>
      </w:r>
      <w:r w:rsidRPr="006765FC">
        <w:rPr>
          <w:rFonts w:asciiTheme="majorHAnsi" w:hAnsiTheme="majorHAnsi" w:cs="Arial"/>
        </w:rPr>
        <w:t> </w:t>
      </w:r>
      <w:r w:rsidR="00DA79BF" w:rsidRPr="00DA79BF">
        <w:rPr>
          <w:rFonts w:asciiTheme="majorHAnsi" w:hAnsiTheme="majorHAnsi" w:cs="Arial"/>
        </w:rPr>
        <w:t>protokol</w:t>
      </w:r>
      <w:r w:rsidR="00DA79BF">
        <w:rPr>
          <w:rFonts w:asciiTheme="majorHAnsi" w:hAnsiTheme="majorHAnsi" w:cs="Arial"/>
        </w:rPr>
        <w:t>ech</w:t>
      </w:r>
      <w:r w:rsidRPr="006765FC">
        <w:rPr>
          <w:rFonts w:asciiTheme="majorHAnsi" w:hAnsiTheme="majorHAnsi" w:cs="Arial"/>
        </w:rPr>
        <w:t xml:space="preserve"> výpočtů.</w:t>
      </w:r>
    </w:p>
    <w:p w:rsidR="00710B6A" w:rsidRDefault="00710B6A" w:rsidP="00A431B7">
      <w:pPr>
        <w:autoSpaceDE w:val="0"/>
        <w:autoSpaceDN w:val="0"/>
        <w:adjustRightInd w:val="0"/>
        <w:spacing w:after="0"/>
        <w:jc w:val="both"/>
        <w:rPr>
          <w:rFonts w:asciiTheme="majorHAnsi" w:hAnsiTheme="majorHAnsi" w:cs="Arial"/>
        </w:rPr>
      </w:pPr>
    </w:p>
    <w:p w:rsidR="00261222" w:rsidRDefault="00261222" w:rsidP="00A431B7">
      <w:pPr>
        <w:pStyle w:val="Odstavecseseznamem"/>
        <w:autoSpaceDE w:val="0"/>
        <w:autoSpaceDN w:val="0"/>
        <w:adjustRightInd w:val="0"/>
        <w:spacing w:after="0"/>
        <w:ind w:left="644"/>
        <w:jc w:val="both"/>
        <w:rPr>
          <w:rFonts w:asciiTheme="majorHAnsi" w:hAnsiTheme="majorHAnsi" w:cs="Arial"/>
          <w:u w:val="single"/>
        </w:rPr>
      </w:pPr>
    </w:p>
    <w:p w:rsidR="006B184E" w:rsidRPr="00A431B7" w:rsidRDefault="00753294" w:rsidP="00291186">
      <w:pPr>
        <w:pStyle w:val="Odstavecseseznamem"/>
        <w:numPr>
          <w:ilvl w:val="0"/>
          <w:numId w:val="80"/>
        </w:numPr>
        <w:ind w:left="426" w:hanging="426"/>
        <w:jc w:val="both"/>
      </w:pPr>
      <w:r w:rsidRPr="00A431B7">
        <w:t>Protokol výpočtu solárních zisků s uvedenou hodnotou celkový</w:t>
      </w:r>
      <w:r w:rsidR="00F51968">
        <w:t>ch využitelných solárních zisků</w:t>
      </w:r>
      <w:r w:rsidR="00291186">
        <w:t>.</w:t>
      </w:r>
      <w:r w:rsidR="00F51968">
        <w:t xml:space="preserve"> </w:t>
      </w:r>
      <w:r w:rsidR="00291186">
        <w:t>J</w:t>
      </w:r>
      <w:r w:rsidR="00F51968">
        <w:t>e možné využít protokol Bilance solárních zisků pro potřeby programu Nová zelená úsporám, který je dostupný na webové adrese</w:t>
      </w:r>
      <w:r w:rsidR="00FE17E6">
        <w:t xml:space="preserve"> </w:t>
      </w:r>
      <w:hyperlink r:id="rId16" w:history="1">
        <w:r w:rsidR="00940759">
          <w:rPr>
            <w:rStyle w:val="Hypertextovodkaz"/>
          </w:rPr>
          <w:t>http://www.novazelenausporam.cz/zpracovatele-odborneho-posudku/energeticti-specialiste/vypocetni-nastroj-pro-bilancovani-solarnich-termickych-systemu-v1-1/.</w:t>
        </w:r>
      </w:hyperlink>
      <w:r w:rsidRPr="00A431B7">
        <w:t xml:space="preserve"> </w:t>
      </w:r>
      <w:r w:rsidR="006765FC" w:rsidRPr="00A431B7">
        <w:t xml:space="preserve"> Protokol se dodává v</w:t>
      </w:r>
      <w:r w:rsidR="009452A8" w:rsidRPr="00A431B7">
        <w:t> </w:t>
      </w:r>
      <w:r w:rsidR="006765FC" w:rsidRPr="00A431B7">
        <w:t>případě</w:t>
      </w:r>
      <w:r w:rsidR="009452A8" w:rsidRPr="00A431B7">
        <w:t xml:space="preserve"> žádosti o podporu na</w:t>
      </w:r>
      <w:r w:rsidR="006765FC" w:rsidRPr="00A431B7">
        <w:t xml:space="preserve"> instalac</w:t>
      </w:r>
      <w:r w:rsidR="009452A8" w:rsidRPr="00A431B7">
        <w:t>i</w:t>
      </w:r>
      <w:r w:rsidR="006765FC" w:rsidRPr="00A431B7">
        <w:t xml:space="preserve"> solárních termických kolektorů.</w:t>
      </w:r>
      <w:r w:rsidR="0060707D">
        <w:t xml:space="preserve"> </w:t>
      </w:r>
    </w:p>
    <w:p w:rsidR="009452A8" w:rsidRPr="00A431B7" w:rsidRDefault="008E4A07" w:rsidP="00A431B7">
      <w:pPr>
        <w:pStyle w:val="Odstavecseseznamem"/>
        <w:numPr>
          <w:ilvl w:val="0"/>
          <w:numId w:val="80"/>
        </w:numPr>
        <w:ind w:left="426" w:hanging="426"/>
        <w:jc w:val="both"/>
      </w:pPr>
      <w:r w:rsidRPr="00A431B7">
        <w:t>Protokol v</w:t>
      </w:r>
      <w:r w:rsidR="009452A8" w:rsidRPr="00A431B7">
        <w:t>ýpoč</w:t>
      </w:r>
      <w:r w:rsidRPr="00A431B7">
        <w:t>tu</w:t>
      </w:r>
      <w:r w:rsidR="009452A8" w:rsidRPr="00A431B7">
        <w:t xml:space="preserve"> úspor primární energie při kombinované výrobě elektřiny a tepla. Výpočet bude proveden podle přílohy č. 2 k vyhlášce č. 453/2012 Sb., o elektřině z vysokoúčinné kombinované výroby elektřiny a tepla. </w:t>
      </w:r>
      <w:r w:rsidRPr="00A431B7">
        <w:t>Protokol</w:t>
      </w:r>
      <w:r w:rsidR="009452A8" w:rsidRPr="00A431B7">
        <w:t xml:space="preserve"> je povinn</w:t>
      </w:r>
      <w:r w:rsidRPr="00A431B7">
        <w:t>ý</w:t>
      </w:r>
      <w:r w:rsidR="009452A8" w:rsidRPr="00A431B7">
        <w:t xml:space="preserve"> pro žádosti o podporu</w:t>
      </w:r>
      <w:r w:rsidR="00B43F70" w:rsidRPr="00A431B7">
        <w:t>, jejichž součástí je</w:t>
      </w:r>
      <w:r w:rsidR="009452A8" w:rsidRPr="00A431B7">
        <w:t xml:space="preserve"> instalac</w:t>
      </w:r>
      <w:r w:rsidR="00B43F70" w:rsidRPr="00A431B7">
        <w:t>e</w:t>
      </w:r>
      <w:r w:rsidR="009452A8" w:rsidRPr="00A431B7">
        <w:t xml:space="preserve"> jednotky pro kombinovanou výrobu elektřiny a</w:t>
      </w:r>
      <w:r w:rsidR="00D72A27" w:rsidRPr="00A431B7">
        <w:t> </w:t>
      </w:r>
      <w:r w:rsidR="009452A8" w:rsidRPr="00A431B7">
        <w:t>tepla</w:t>
      </w:r>
      <w:r w:rsidR="00B46C91" w:rsidRPr="00A431B7">
        <w:t>.</w:t>
      </w:r>
    </w:p>
    <w:p w:rsidR="00125109" w:rsidRDefault="00C07AE7" w:rsidP="00E8320D">
      <w:pPr>
        <w:pStyle w:val="Odstavecseseznamem"/>
        <w:numPr>
          <w:ilvl w:val="0"/>
          <w:numId w:val="80"/>
        </w:numPr>
        <w:ind w:left="426" w:hanging="426"/>
        <w:jc w:val="both"/>
      </w:pPr>
      <w:r w:rsidRPr="00125109">
        <w:t>Výpočet úspory CO</w:t>
      </w:r>
      <w:r w:rsidRPr="00ED38A5">
        <w:rPr>
          <w:vertAlign w:val="subscript"/>
        </w:rPr>
        <w:t>2</w:t>
      </w:r>
      <w:r w:rsidRPr="00125109">
        <w:t xml:space="preserve"> v případě, kdy je součástí projektu výměna zdroje tepla a</w:t>
      </w:r>
      <w:r w:rsidR="00CD4970">
        <w:t> </w:t>
      </w:r>
      <w:r w:rsidRPr="00125109">
        <w:t xml:space="preserve"> zároveň dochází ke změně paliva</w:t>
      </w:r>
      <w:r w:rsidR="00291186">
        <w:t>.</w:t>
      </w:r>
    </w:p>
    <w:p w:rsidR="00C171AA" w:rsidRPr="00125109" w:rsidRDefault="00C171AA" w:rsidP="00C171AA">
      <w:pPr>
        <w:jc w:val="both"/>
      </w:pPr>
    </w:p>
    <w:p w:rsidR="00722BC3" w:rsidRPr="00E8320D" w:rsidRDefault="003A1DE0" w:rsidP="00722BC3">
      <w:pPr>
        <w:pStyle w:val="Odstavecseseznamem"/>
        <w:numPr>
          <w:ilvl w:val="0"/>
          <w:numId w:val="50"/>
        </w:numPr>
        <w:jc w:val="both"/>
        <w:rPr>
          <w:b/>
        </w:rPr>
      </w:pPr>
      <w:r>
        <w:rPr>
          <w:b/>
        </w:rPr>
        <w:t xml:space="preserve"> </w:t>
      </w:r>
      <w:r w:rsidR="00B51866" w:rsidRPr="007059C8">
        <w:rPr>
          <w:b/>
        </w:rPr>
        <w:t>Výpis z rejstříku trestů</w:t>
      </w:r>
    </w:p>
    <w:p w:rsidR="00042F54" w:rsidRPr="00C171AA" w:rsidRDefault="00B51866" w:rsidP="00C171AA">
      <w:pPr>
        <w:pStyle w:val="Odstavecseseznamem"/>
        <w:ind w:left="0"/>
        <w:jc w:val="both"/>
      </w:pPr>
      <w:r w:rsidRPr="00B51866">
        <w:t xml:space="preserve">Dokládají </w:t>
      </w:r>
      <w:r w:rsidR="00BA0E1A">
        <w:t>fyzické osoby podnikající</w:t>
      </w:r>
      <w:r w:rsidR="00826A9B" w:rsidRPr="00B51866">
        <w:t xml:space="preserve"> </w:t>
      </w:r>
      <w:r w:rsidRPr="00B51866">
        <w:t xml:space="preserve">a všichni statutární zástupci </w:t>
      </w:r>
      <w:r w:rsidR="00817E65">
        <w:t xml:space="preserve">dobrovolných svazků obcí a jimi zřizovaných organizací, </w:t>
      </w:r>
      <w:r w:rsidR="00826A9B">
        <w:t>n</w:t>
      </w:r>
      <w:r w:rsidR="00826A9B" w:rsidRPr="009769E5">
        <w:t>estátní neziskové organizace</w:t>
      </w:r>
      <w:r w:rsidR="00817E65">
        <w:t>, církví a</w:t>
      </w:r>
      <w:r w:rsidR="00CD4970">
        <w:t> </w:t>
      </w:r>
      <w:r w:rsidR="00817E65">
        <w:t xml:space="preserve"> církevních organizací, </w:t>
      </w:r>
      <w:r w:rsidRPr="00B51866">
        <w:t xml:space="preserve">obchodních korporací, </w:t>
      </w:r>
      <w:r w:rsidR="00937839" w:rsidRPr="00DB0C8E">
        <w:t>by</w:t>
      </w:r>
      <w:r w:rsidR="00937839" w:rsidRPr="00263417">
        <w:t xml:space="preserve">tových družstev </w:t>
      </w:r>
      <w:r w:rsidRPr="00263417">
        <w:t>a společenství vlastníků jednotek</w:t>
      </w:r>
      <w:r w:rsidRPr="00AA789D">
        <w:t>. Výpis z rejstříku trestů v době podání žádosti nesmí</w:t>
      </w:r>
      <w:r w:rsidRPr="0037057D">
        <w:t xml:space="preserve"> být starší 3 měsíců.</w:t>
      </w:r>
    </w:p>
    <w:p w:rsidR="00A87B25" w:rsidRPr="00BB6BD0" w:rsidRDefault="00A87B25" w:rsidP="00BB6BD0">
      <w:pPr>
        <w:pStyle w:val="Odstavecseseznamem"/>
        <w:jc w:val="both"/>
        <w:rPr>
          <w:b/>
        </w:rPr>
      </w:pPr>
    </w:p>
    <w:p w:rsidR="00BB6BD0" w:rsidRPr="00C171AA" w:rsidRDefault="003A1DE0" w:rsidP="00C171AA">
      <w:pPr>
        <w:pStyle w:val="Odstavecseseznamem"/>
        <w:numPr>
          <w:ilvl w:val="0"/>
          <w:numId w:val="50"/>
        </w:numPr>
        <w:jc w:val="both"/>
        <w:rPr>
          <w:b/>
        </w:rPr>
      </w:pPr>
      <w:r w:rsidRPr="00C171AA">
        <w:rPr>
          <w:b/>
        </w:rPr>
        <w:t xml:space="preserve"> </w:t>
      </w:r>
      <w:r w:rsidR="00BB6BD0" w:rsidRPr="00C171AA">
        <w:rPr>
          <w:b/>
        </w:rPr>
        <w:t>Usnesení shromáždění vlastníků (SVJ) nebo zápis z členské schůze bytového domu</w:t>
      </w:r>
    </w:p>
    <w:p w:rsidR="00A87B25" w:rsidRPr="00BB6BD0" w:rsidRDefault="00BB6BD0" w:rsidP="00BB6BD0">
      <w:pPr>
        <w:pStyle w:val="Odstavecseseznamem"/>
        <w:ind w:left="0"/>
        <w:jc w:val="both"/>
      </w:pPr>
      <w:r>
        <w:t>V usnesení shromáždění vlastníků nebo v zápisu z členské schůze musí být</w:t>
      </w:r>
      <w:r w:rsidR="002A2993" w:rsidRPr="00BB6BD0">
        <w:t xml:space="preserve"> </w:t>
      </w:r>
      <w:r w:rsidR="00A87B25" w:rsidRPr="00BB6BD0">
        <w:t xml:space="preserve">uveden souhlas potřebného počtu (podle stanov) vlastníků jednotek nebo členů bytového družstva s provedením prací, na které je podána žádost o </w:t>
      </w:r>
      <w:r w:rsidR="00587AE1" w:rsidRPr="00BB6BD0">
        <w:t>podporu</w:t>
      </w:r>
      <w:r w:rsidR="00014E24">
        <w:t>.</w:t>
      </w:r>
    </w:p>
    <w:p w:rsidR="00F71F86" w:rsidRDefault="00F71F86" w:rsidP="00A431B7">
      <w:pPr>
        <w:pStyle w:val="Odstavecseseznamem"/>
        <w:jc w:val="both"/>
        <w:rPr>
          <w:b/>
        </w:rPr>
      </w:pPr>
    </w:p>
    <w:p w:rsidR="00BB6BD0" w:rsidRPr="00E8320D" w:rsidRDefault="00C171AA" w:rsidP="00E8320D">
      <w:pPr>
        <w:pStyle w:val="Odstavecseseznamem"/>
        <w:numPr>
          <w:ilvl w:val="0"/>
          <w:numId w:val="50"/>
        </w:numPr>
        <w:jc w:val="both"/>
        <w:rPr>
          <w:b/>
        </w:rPr>
      </w:pPr>
      <w:r>
        <w:rPr>
          <w:b/>
        </w:rPr>
        <w:t xml:space="preserve"> </w:t>
      </w:r>
      <w:r w:rsidR="00BA0E1A">
        <w:rPr>
          <w:b/>
        </w:rPr>
        <w:t>Průzkum trhu</w:t>
      </w:r>
    </w:p>
    <w:p w:rsidR="00BB6BD0" w:rsidRPr="00C171AA" w:rsidRDefault="00722BC3" w:rsidP="00C171AA">
      <w:pPr>
        <w:pStyle w:val="Odstavecseseznamem"/>
        <w:ind w:left="0"/>
        <w:jc w:val="both"/>
      </w:pPr>
      <w:r w:rsidRPr="00722BC3">
        <w:t xml:space="preserve">Průzkum trhu se provádí, resp. dokládá pouze ve vztahu k plánovaným výdajům </w:t>
      </w:r>
      <w:r w:rsidRPr="007B7B55">
        <w:t>hlavních aktivit projektu, které nejsou součástí položkového rozpočtu stavby. Žadatel doloží veškeré doklady, prokazující provedení průzkumu trhu, jako je písemná či elektronická komunikace s oslovenými dodavateli ohledně kalkulace cen, ceníky dodavatelů, výtisk internetových stránek dodavatele nebo srovnávače cen, smlouvy na obdobné zakázky, apod. Žadatel popíše mechanismus odvození jednotlivých cenových položek v rozpočtu projektu ve vztah</w:t>
      </w:r>
      <w:r w:rsidR="00C171AA">
        <w:t xml:space="preserve">u k provedenému průzkumu trhu. </w:t>
      </w:r>
    </w:p>
    <w:p w:rsidR="00BB6BD0" w:rsidRDefault="00BB6BD0" w:rsidP="00A431B7">
      <w:pPr>
        <w:pStyle w:val="Odstavecseseznamem"/>
        <w:jc w:val="both"/>
        <w:rPr>
          <w:b/>
        </w:rPr>
      </w:pPr>
    </w:p>
    <w:p w:rsidR="00F71F86" w:rsidRDefault="00F71F86" w:rsidP="00A431B7">
      <w:pPr>
        <w:pStyle w:val="Odstavecseseznamem"/>
        <w:numPr>
          <w:ilvl w:val="0"/>
          <w:numId w:val="83"/>
        </w:numPr>
        <w:spacing w:after="120"/>
        <w:rPr>
          <w:b/>
        </w:rPr>
      </w:pPr>
      <w:r>
        <w:rPr>
          <w:b/>
        </w:rPr>
        <w:t xml:space="preserve"> </w:t>
      </w:r>
      <w:r w:rsidRPr="000A1055">
        <w:rPr>
          <w:b/>
        </w:rPr>
        <w:t>Seznam objednávek – přímých nákupů</w:t>
      </w:r>
    </w:p>
    <w:p w:rsidR="00664985" w:rsidRDefault="00F71F86" w:rsidP="00664985">
      <w:pPr>
        <w:spacing w:after="120"/>
        <w:jc w:val="both"/>
        <w:rPr>
          <w:lang w:eastAsia="en-US"/>
        </w:rPr>
      </w:pPr>
      <w:r w:rsidRPr="003A5BC1">
        <w:rPr>
          <w:lang w:eastAsia="en-US"/>
        </w:rPr>
        <w:t xml:space="preserve">Žadatel do formuláře (viz příloha č. </w:t>
      </w:r>
      <w:r>
        <w:rPr>
          <w:lang w:eastAsia="en-US"/>
        </w:rPr>
        <w:t>10</w:t>
      </w:r>
      <w:r w:rsidRPr="003A5BC1">
        <w:rPr>
          <w:lang w:eastAsia="en-US"/>
        </w:rPr>
        <w:t xml:space="preserve"> Obecných pravidel) vypíše všechny uskutečněné objednávky – přímé nákupy ve výši od 100 tis. bez DPH vztahující se k</w:t>
      </w:r>
      <w:r w:rsidR="00CD4970">
        <w:rPr>
          <w:lang w:eastAsia="en-US"/>
        </w:rPr>
        <w:t> </w:t>
      </w:r>
      <w:r w:rsidRPr="003A5BC1">
        <w:rPr>
          <w:lang w:eastAsia="en-US"/>
        </w:rPr>
        <w:t xml:space="preserve"> projektu, které provedl před podáním žádosti o podporu.</w:t>
      </w:r>
    </w:p>
    <w:p w:rsidR="00C171AA" w:rsidRDefault="00C171AA" w:rsidP="00664985">
      <w:pPr>
        <w:spacing w:after="120"/>
        <w:jc w:val="both"/>
        <w:rPr>
          <w:lang w:eastAsia="en-US"/>
        </w:rPr>
      </w:pPr>
    </w:p>
    <w:p w:rsidR="00C171AA" w:rsidRDefault="00C171AA" w:rsidP="00664985">
      <w:pPr>
        <w:spacing w:after="120"/>
        <w:jc w:val="both"/>
        <w:rPr>
          <w:lang w:eastAsia="en-US"/>
        </w:rPr>
      </w:pPr>
    </w:p>
    <w:p w:rsidR="00D3758D" w:rsidRDefault="00D3758D" w:rsidP="00C171AA">
      <w:pPr>
        <w:pStyle w:val="Pravidla11"/>
        <w:numPr>
          <w:ilvl w:val="1"/>
          <w:numId w:val="63"/>
        </w:numPr>
        <w:spacing w:after="120"/>
        <w:ind w:left="1423"/>
      </w:pPr>
      <w:bookmarkStart w:id="65" w:name="_Toc436995464"/>
      <w:bookmarkStart w:id="66" w:name="_Toc444247652"/>
      <w:bookmarkEnd w:id="65"/>
      <w:r>
        <w:lastRenderedPageBreak/>
        <w:t>Struktura financování</w:t>
      </w:r>
      <w:bookmarkEnd w:id="66"/>
    </w:p>
    <w:tbl>
      <w:tblPr>
        <w:tblStyle w:val="Mkatabulky"/>
        <w:tblW w:w="9322" w:type="dxa"/>
        <w:tblLook w:val="04A0" w:firstRow="1" w:lastRow="0" w:firstColumn="1" w:lastColumn="0" w:noHBand="0" w:noVBand="1"/>
      </w:tblPr>
      <w:tblGrid>
        <w:gridCol w:w="4219"/>
        <w:gridCol w:w="1701"/>
        <w:gridCol w:w="1701"/>
        <w:gridCol w:w="1701"/>
      </w:tblGrid>
      <w:tr w:rsidR="00CF37D1" w:rsidRPr="00C171AA" w:rsidTr="005C25F8">
        <w:tc>
          <w:tcPr>
            <w:tcW w:w="4219" w:type="dxa"/>
            <w:vMerge w:val="restart"/>
            <w:shd w:val="clear" w:color="auto" w:fill="auto"/>
            <w:vAlign w:val="center"/>
          </w:tcPr>
          <w:p w:rsidR="00CF37D1" w:rsidRPr="00C171AA" w:rsidRDefault="000B4C27" w:rsidP="005C25F8">
            <w:pPr>
              <w:spacing w:after="200"/>
              <w:jc w:val="center"/>
              <w:rPr>
                <w:rFonts w:asciiTheme="majorHAnsi" w:hAnsiTheme="majorHAnsi"/>
                <w:sz w:val="20"/>
                <w:szCs w:val="20"/>
                <w:lang w:val="cs-CZ" w:eastAsia="cs-CZ"/>
              </w:rPr>
            </w:pPr>
            <w:r w:rsidRPr="00C171AA">
              <w:rPr>
                <w:rFonts w:asciiTheme="majorHAnsi" w:hAnsiTheme="majorHAnsi"/>
                <w:b/>
                <w:sz w:val="20"/>
                <w:szCs w:val="20"/>
                <w:lang w:val="cs-CZ" w:eastAsia="cs-CZ"/>
              </w:rPr>
              <w:t>Hladiny podpory</w:t>
            </w:r>
          </w:p>
        </w:tc>
        <w:tc>
          <w:tcPr>
            <w:tcW w:w="5103" w:type="dxa"/>
            <w:gridSpan w:val="3"/>
            <w:shd w:val="clear" w:color="auto" w:fill="auto"/>
            <w:vAlign w:val="center"/>
          </w:tcPr>
          <w:p w:rsidR="00CF37D1" w:rsidRPr="00C171AA" w:rsidRDefault="00CF37D1" w:rsidP="005C25F8">
            <w:pPr>
              <w:spacing w:after="200"/>
              <w:jc w:val="center"/>
              <w:rPr>
                <w:rFonts w:asciiTheme="majorHAnsi" w:hAnsiTheme="majorHAnsi"/>
                <w:b/>
                <w:sz w:val="20"/>
                <w:szCs w:val="20"/>
                <w:lang w:val="cs-CZ" w:eastAsia="cs-CZ"/>
              </w:rPr>
            </w:pPr>
            <w:r w:rsidRPr="00C171AA">
              <w:rPr>
                <w:rFonts w:asciiTheme="majorHAnsi" w:hAnsiTheme="majorHAnsi"/>
                <w:b/>
                <w:sz w:val="20"/>
                <w:szCs w:val="20"/>
                <w:lang w:val="cs-CZ" w:eastAsia="cs-CZ"/>
              </w:rPr>
              <w:t>Podíly spolufinancování</w:t>
            </w:r>
          </w:p>
        </w:tc>
      </w:tr>
      <w:tr w:rsidR="00BE2057" w:rsidRPr="00C171AA" w:rsidTr="00D75B95">
        <w:tc>
          <w:tcPr>
            <w:tcW w:w="4219" w:type="dxa"/>
            <w:vMerge/>
            <w:shd w:val="clear" w:color="auto" w:fill="auto"/>
          </w:tcPr>
          <w:p w:rsidR="00CF37D1" w:rsidRPr="00C171AA" w:rsidRDefault="00CF37D1" w:rsidP="00E10E85">
            <w:pPr>
              <w:spacing w:after="200"/>
              <w:rPr>
                <w:rFonts w:asciiTheme="majorHAnsi" w:hAnsiTheme="majorHAnsi"/>
                <w:sz w:val="20"/>
                <w:szCs w:val="20"/>
                <w:lang w:val="cs-CZ" w:eastAsia="cs-CZ"/>
              </w:rPr>
            </w:pPr>
          </w:p>
        </w:tc>
        <w:tc>
          <w:tcPr>
            <w:tcW w:w="1701" w:type="dxa"/>
            <w:shd w:val="clear" w:color="auto" w:fill="auto"/>
          </w:tcPr>
          <w:p w:rsidR="00CF37D1" w:rsidRPr="00C171AA" w:rsidRDefault="00CF37D1" w:rsidP="00E10E85">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Organizační složky státu a jejich příspěvkové organizace</w:t>
            </w:r>
          </w:p>
        </w:tc>
        <w:tc>
          <w:tcPr>
            <w:tcW w:w="1701" w:type="dxa"/>
            <w:shd w:val="clear" w:color="auto" w:fill="auto"/>
          </w:tcPr>
          <w:p w:rsidR="00CF37D1" w:rsidRPr="00C171AA" w:rsidRDefault="00CF37D1" w:rsidP="00403F2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 xml:space="preserve">Obce, kraje a jimi </w:t>
            </w:r>
            <w:r w:rsidR="00403F21" w:rsidRPr="00C171AA">
              <w:rPr>
                <w:rFonts w:asciiTheme="majorHAnsi" w:hAnsiTheme="majorHAnsi"/>
                <w:b/>
                <w:sz w:val="20"/>
                <w:szCs w:val="20"/>
                <w:lang w:val="cs-CZ" w:eastAsia="cs-CZ"/>
              </w:rPr>
              <w:t xml:space="preserve">zřizované </w:t>
            </w:r>
            <w:r w:rsidRPr="00C171AA">
              <w:rPr>
                <w:rFonts w:asciiTheme="majorHAnsi" w:hAnsiTheme="majorHAnsi"/>
                <w:b/>
                <w:sz w:val="20"/>
                <w:szCs w:val="20"/>
                <w:lang w:val="cs-CZ" w:eastAsia="cs-CZ"/>
              </w:rPr>
              <w:t>organizace</w:t>
            </w:r>
          </w:p>
        </w:tc>
        <w:tc>
          <w:tcPr>
            <w:tcW w:w="1701" w:type="dxa"/>
            <w:shd w:val="clear" w:color="auto" w:fill="auto"/>
          </w:tcPr>
          <w:p w:rsidR="00CF37D1" w:rsidRPr="00C171AA" w:rsidRDefault="00CF37D1" w:rsidP="00E10E85">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Ostatní žadatelé</w:t>
            </w:r>
          </w:p>
        </w:tc>
      </w:tr>
      <w:tr w:rsidR="00246D95" w:rsidRPr="00C171AA" w:rsidTr="00AC45A6">
        <w:tc>
          <w:tcPr>
            <w:tcW w:w="4219" w:type="dxa"/>
            <w:shd w:val="clear" w:color="auto" w:fill="auto"/>
          </w:tcPr>
          <w:p w:rsidR="00246D95" w:rsidRPr="00C171AA" w:rsidRDefault="00246D95" w:rsidP="00E10E8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1a) Projekty zaměřené na zateplení obvodových konstrukcí a/nebo výměnu výplní otvorů u budov, které nejsou kulturní památkou, ani se nenacházejí v památkové rezervaci nebo v památkové zóně. Při současném splnění následujících podmínek:</w:t>
            </w:r>
          </w:p>
          <w:p w:rsidR="00246D95" w:rsidRPr="00C171AA" w:rsidRDefault="00246D95"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úspora celkové dodané energie v minimální výši 40 %</w:t>
            </w:r>
          </w:p>
          <w:p w:rsidR="00246D95" w:rsidRPr="00C171AA" w:rsidRDefault="00246D95"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dosažení klasifikační třídy celkové dodané energie B nebo lepší</w:t>
            </w: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splnění požadavků nákladově optimální úrovně podle písm. a) nebo b) odst. 2, §6 vyhl. č. 78/2013 Sb., o energetické náročnosti budov</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32,3 %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67,7 %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32,3 %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1,9 %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65,8 %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32,3 %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0 %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67,7 %</w:t>
            </w:r>
          </w:p>
        </w:tc>
      </w:tr>
      <w:tr w:rsidR="00246D95" w:rsidRPr="00C171AA" w:rsidTr="00AC45A6">
        <w:tc>
          <w:tcPr>
            <w:tcW w:w="9322" w:type="dxa"/>
            <w:gridSpan w:val="4"/>
            <w:shd w:val="clear" w:color="auto" w:fill="auto"/>
          </w:tcPr>
          <w:p w:rsidR="00246D95" w:rsidRPr="00C171AA" w:rsidRDefault="00246D95" w:rsidP="00487CB1">
            <w:pPr>
              <w:spacing w:after="200"/>
              <w:rPr>
                <w:rFonts w:asciiTheme="majorHAnsi" w:hAnsiTheme="majorHAnsi"/>
                <w:sz w:val="20"/>
                <w:szCs w:val="20"/>
                <w:lang w:val="cs-CZ" w:eastAsia="cs-CZ"/>
              </w:rPr>
            </w:pPr>
          </w:p>
        </w:tc>
      </w:tr>
      <w:tr w:rsidR="00246D95" w:rsidRPr="00C171AA" w:rsidTr="00AC45A6">
        <w:tc>
          <w:tcPr>
            <w:tcW w:w="4219" w:type="dxa"/>
            <w:shd w:val="clear" w:color="auto" w:fill="auto"/>
          </w:tcPr>
          <w:p w:rsidR="00246D95" w:rsidRPr="00C171AA" w:rsidRDefault="00246D95" w:rsidP="00246D9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1b) Projekty zaměřené na zateplení obvodových konstrukcí a/nebo výměnu výplní otvorů u budov, které nejsou kulturní památkou, ani se nenacházejí v památkové rezervaci nebo v památkové zóně. Při současném splnění následujících podmínek:</w:t>
            </w:r>
          </w:p>
          <w:p w:rsidR="00246D95" w:rsidRPr="00C171AA" w:rsidRDefault="00246D95" w:rsidP="00E10E8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úspora celkové dodané energie v minimální výši 30 %</w:t>
            </w:r>
          </w:p>
          <w:p w:rsidR="00246D95" w:rsidRPr="00C171AA" w:rsidRDefault="00246D95" w:rsidP="00E10E8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dosažení klasifikační třídy celkové dodané energie C nebo lepší</w:t>
            </w:r>
          </w:p>
          <w:p w:rsidR="00246D95" w:rsidRPr="00C171AA" w:rsidRDefault="00246D95" w:rsidP="00895DD2">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splnění požadavků nákladově optimální úrovně podle písm. a) nebo b) odst. 2, §6 vyhl. č. 78/2013 Sb., o energetické náročnosti budov</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0077CB">
            <w:pPr>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74,5 %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25, 5 %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1,5 %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73 %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25, 5 %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0 %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74,5 %</w:t>
            </w:r>
          </w:p>
        </w:tc>
      </w:tr>
      <w:tr w:rsidR="00246D95" w:rsidRPr="00C171AA" w:rsidTr="00AC45A6">
        <w:tc>
          <w:tcPr>
            <w:tcW w:w="9322" w:type="dxa"/>
            <w:gridSpan w:val="4"/>
            <w:shd w:val="clear" w:color="auto" w:fill="auto"/>
          </w:tcPr>
          <w:p w:rsidR="00246D95" w:rsidRPr="00C171AA" w:rsidRDefault="00246D95" w:rsidP="00487CB1">
            <w:pPr>
              <w:spacing w:after="200"/>
              <w:rPr>
                <w:rFonts w:asciiTheme="majorHAnsi" w:hAnsiTheme="majorHAnsi"/>
                <w:sz w:val="20"/>
                <w:szCs w:val="20"/>
                <w:lang w:val="cs-CZ" w:eastAsia="cs-CZ"/>
              </w:rPr>
            </w:pPr>
          </w:p>
        </w:tc>
      </w:tr>
      <w:tr w:rsidR="00246D95" w:rsidRPr="00C171AA" w:rsidTr="00AC45A6">
        <w:tc>
          <w:tcPr>
            <w:tcW w:w="4219" w:type="dxa"/>
            <w:shd w:val="clear" w:color="auto" w:fill="auto"/>
          </w:tcPr>
          <w:p w:rsidR="00246D95" w:rsidRPr="00C171AA" w:rsidRDefault="00246D95" w:rsidP="00246D9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1c) Projekty zaměřené na zateplení obvodových konstrukcí a/nebo výměnu výplní otvorů u budov, které nejsou kulturní památkou, ani se nenacházejí v památkové rezervaci nebo v památkové zóně. Při současném splnění následujících podmínek:</w:t>
            </w:r>
          </w:p>
          <w:p w:rsidR="00246D95" w:rsidRPr="00C171AA" w:rsidRDefault="00246D95"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úspora celkové dodané energie v minimální výši 20 %</w:t>
            </w:r>
          </w:p>
          <w:p w:rsidR="00246D95" w:rsidRPr="00C171AA" w:rsidRDefault="00246D95" w:rsidP="00BB6BD0">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xml:space="preserve">- u jednotlivých zateplovaných konstrukcí </w:t>
            </w:r>
            <w:r w:rsidRPr="00C171AA">
              <w:rPr>
                <w:rFonts w:asciiTheme="majorHAnsi" w:hAnsiTheme="majorHAnsi"/>
                <w:sz w:val="20"/>
                <w:szCs w:val="20"/>
                <w:lang w:val="cs-CZ" w:eastAsia="cs-CZ"/>
              </w:rPr>
              <w:lastRenderedPageBreak/>
              <w:t>nebo měněných výplní otvorů dosažení hodnoty 0,95 násobku doporučené hodnoty součinitele prostupu tepla podle ČSN 73 0540-2 nebo lepší hodnoty</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lastRenderedPageBreak/>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74,5 %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1,5 %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73 %</w:t>
            </w:r>
          </w:p>
        </w:tc>
        <w:tc>
          <w:tcPr>
            <w:tcW w:w="1701" w:type="dxa"/>
            <w:shd w:val="clear" w:color="auto" w:fill="auto"/>
          </w:tcPr>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lastRenderedPageBreak/>
              <w:t>Příspěvek EFRR:</w:t>
            </w:r>
          </w:p>
          <w:p w:rsidR="00246D95" w:rsidRPr="00C171AA" w:rsidRDefault="00246D95" w:rsidP="00487CB1">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0 %</w:t>
            </w:r>
          </w:p>
          <w:p w:rsidR="00246D95" w:rsidRPr="00C171AA" w:rsidRDefault="00246D95" w:rsidP="00487CB1">
            <w:pPr>
              <w:spacing w:after="200"/>
              <w:rPr>
                <w:rFonts w:asciiTheme="majorHAnsi" w:hAnsiTheme="majorHAnsi"/>
                <w:sz w:val="20"/>
                <w:szCs w:val="20"/>
                <w:lang w:val="cs-CZ" w:eastAsia="cs-CZ"/>
              </w:rPr>
            </w:pPr>
          </w:p>
          <w:p w:rsidR="00246D95" w:rsidRPr="00C171AA" w:rsidRDefault="00246D95" w:rsidP="00375CDD">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 74,5 %</w:t>
            </w:r>
          </w:p>
        </w:tc>
      </w:tr>
      <w:tr w:rsidR="00883634" w:rsidRPr="00C171AA" w:rsidTr="00D75B95">
        <w:tc>
          <w:tcPr>
            <w:tcW w:w="9322" w:type="dxa"/>
            <w:gridSpan w:val="4"/>
            <w:shd w:val="clear" w:color="auto" w:fill="auto"/>
          </w:tcPr>
          <w:p w:rsidR="00883634" w:rsidRPr="00C171AA" w:rsidRDefault="00883634" w:rsidP="00487CB1">
            <w:pPr>
              <w:rPr>
                <w:rFonts w:asciiTheme="majorHAnsi" w:hAnsiTheme="majorHAnsi"/>
                <w:sz w:val="20"/>
                <w:szCs w:val="20"/>
                <w:lang w:val="cs-CZ" w:eastAsia="cs-CZ"/>
              </w:rPr>
            </w:pPr>
          </w:p>
        </w:tc>
      </w:tr>
      <w:tr w:rsidR="000B4C27" w:rsidRPr="00C171AA" w:rsidTr="00D75B95">
        <w:tc>
          <w:tcPr>
            <w:tcW w:w="4219" w:type="dxa"/>
            <w:shd w:val="clear" w:color="auto" w:fill="auto"/>
          </w:tcPr>
          <w:p w:rsidR="00F456A5" w:rsidRPr="00C171AA" w:rsidRDefault="000B4C27" w:rsidP="00F456A5">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 xml:space="preserve">2/ Projekty zaměřené na zateplení obvodových konstrukcí a výměnu výplní otvorů u budov, které jsou kulturní památkou, anebo nejsou kulturní památkou, ale nacházejí se v památkové rezervaci nebo v památkové </w:t>
            </w:r>
            <w:r w:rsidR="001A3395" w:rsidRPr="00C171AA">
              <w:rPr>
                <w:rFonts w:asciiTheme="majorHAnsi" w:hAnsiTheme="majorHAnsi"/>
                <w:sz w:val="20"/>
                <w:szCs w:val="20"/>
                <w:lang w:val="cs-CZ" w:eastAsia="cs-CZ"/>
              </w:rPr>
              <w:t>zóně</w:t>
            </w:r>
            <w:r w:rsidR="0092771D" w:rsidRPr="00C171AA">
              <w:rPr>
                <w:rFonts w:asciiTheme="majorHAnsi" w:hAnsiTheme="majorHAnsi"/>
                <w:sz w:val="20"/>
                <w:szCs w:val="20"/>
                <w:lang w:val="cs-CZ" w:eastAsia="cs-CZ"/>
              </w:rPr>
              <w:t>:</w:t>
            </w:r>
          </w:p>
          <w:p w:rsidR="001A3395" w:rsidRPr="00C171AA" w:rsidRDefault="0092771D" w:rsidP="00E8320D">
            <w:pPr>
              <w:pStyle w:val="Odstavecseseznamem"/>
              <w:numPr>
                <w:ilvl w:val="0"/>
                <w:numId w:val="79"/>
              </w:numPr>
              <w:rPr>
                <w:rFonts w:asciiTheme="majorHAnsi" w:hAnsiTheme="majorHAnsi"/>
                <w:sz w:val="20"/>
                <w:szCs w:val="20"/>
                <w:lang w:val="cs-CZ" w:eastAsia="cs-CZ"/>
              </w:rPr>
            </w:pPr>
            <w:r w:rsidRPr="00C171AA">
              <w:rPr>
                <w:rFonts w:asciiTheme="majorHAnsi" w:hAnsiTheme="majorHAnsi"/>
                <w:sz w:val="20"/>
                <w:szCs w:val="20"/>
                <w:lang w:val="cs-CZ" w:eastAsia="cs-CZ"/>
              </w:rPr>
              <w:t xml:space="preserve">jednotlivé zateplované konstrukce nebo měněné výplně otvorů musí splňovat doporučenou hodnotu součinitele prostupu tepla U </w:t>
            </w:r>
            <w:r w:rsidRPr="00C171AA">
              <w:rPr>
                <w:rFonts w:asciiTheme="majorHAnsi" w:hAnsiTheme="majorHAnsi"/>
                <w:sz w:val="20"/>
                <w:szCs w:val="20"/>
                <w:vertAlign w:val="subscript"/>
                <w:lang w:val="cs-CZ" w:eastAsia="cs-CZ"/>
              </w:rPr>
              <w:t>N,20</w:t>
            </w:r>
            <w:r w:rsidRPr="00C171AA">
              <w:rPr>
                <w:rFonts w:asciiTheme="majorHAnsi" w:hAnsiTheme="majorHAnsi"/>
                <w:sz w:val="20"/>
                <w:szCs w:val="20"/>
                <w:lang w:val="cs-CZ" w:eastAsia="cs-CZ"/>
              </w:rPr>
              <w:t xml:space="preserve"> podle ČSN 73 0540-2</w:t>
            </w:r>
          </w:p>
          <w:p w:rsidR="000B4C27" w:rsidRPr="00C171AA" w:rsidRDefault="000B4C27" w:rsidP="00F456A5">
            <w:pPr>
              <w:spacing w:after="200"/>
              <w:rPr>
                <w:rFonts w:asciiTheme="majorHAnsi" w:hAnsiTheme="majorHAnsi"/>
                <w:sz w:val="20"/>
                <w:szCs w:val="20"/>
                <w:lang w:val="cs-CZ" w:eastAsia="cs-CZ"/>
              </w:rPr>
            </w:pPr>
          </w:p>
        </w:tc>
        <w:tc>
          <w:tcPr>
            <w:tcW w:w="1701" w:type="dxa"/>
            <w:shd w:val="clear" w:color="auto" w:fill="auto"/>
          </w:tcPr>
          <w:p w:rsidR="000B4C27" w:rsidRPr="00C171AA" w:rsidRDefault="000B4C27"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0B4C27" w:rsidRPr="00C171AA" w:rsidRDefault="000B4C27" w:rsidP="000B4C27">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0B4C27" w:rsidRPr="00C171AA" w:rsidRDefault="000B4C27" w:rsidP="000B4C27">
            <w:pPr>
              <w:spacing w:after="200"/>
              <w:rPr>
                <w:rFonts w:asciiTheme="majorHAnsi" w:hAnsiTheme="majorHAnsi"/>
                <w:sz w:val="20"/>
                <w:szCs w:val="20"/>
                <w:lang w:val="cs-CZ" w:eastAsia="cs-CZ"/>
              </w:rPr>
            </w:pPr>
          </w:p>
          <w:p w:rsidR="000B4C27" w:rsidRPr="00C171AA" w:rsidRDefault="000B4C27"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74,5 %</w:t>
            </w:r>
          </w:p>
        </w:tc>
        <w:tc>
          <w:tcPr>
            <w:tcW w:w="1701" w:type="dxa"/>
            <w:shd w:val="clear" w:color="auto" w:fill="auto"/>
          </w:tcPr>
          <w:p w:rsidR="000B4C27" w:rsidRPr="00C171AA" w:rsidRDefault="000B4C27"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0B4C27" w:rsidRPr="00C171AA" w:rsidRDefault="000B4C27" w:rsidP="000B4C27">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0B4C27" w:rsidRPr="00C171AA" w:rsidRDefault="000B4C27" w:rsidP="000B4C27">
            <w:pPr>
              <w:spacing w:after="200"/>
              <w:rPr>
                <w:rFonts w:asciiTheme="majorHAnsi" w:hAnsiTheme="majorHAnsi"/>
                <w:sz w:val="20"/>
                <w:szCs w:val="20"/>
                <w:lang w:val="cs-CZ" w:eastAsia="cs-CZ"/>
              </w:rPr>
            </w:pPr>
          </w:p>
          <w:p w:rsidR="000B4C27" w:rsidRPr="00C171AA" w:rsidRDefault="000B4C27"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1,5 %</w:t>
            </w:r>
          </w:p>
          <w:p w:rsidR="00375CDD" w:rsidRPr="00C171AA" w:rsidRDefault="00375CDD" w:rsidP="00BB6BD0">
            <w:pPr>
              <w:spacing w:after="200"/>
              <w:rPr>
                <w:rFonts w:asciiTheme="majorHAnsi" w:hAnsiTheme="majorHAnsi"/>
                <w:sz w:val="20"/>
                <w:szCs w:val="20"/>
                <w:lang w:val="cs-CZ" w:eastAsia="cs-CZ"/>
              </w:rPr>
            </w:pPr>
          </w:p>
          <w:p w:rsidR="000B4C27" w:rsidRPr="00C171AA" w:rsidRDefault="000B4C27" w:rsidP="00BB6BD0">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w:t>
            </w:r>
            <w:r w:rsidR="00375CDD" w:rsidRPr="00C171AA">
              <w:rPr>
                <w:rFonts w:asciiTheme="majorHAnsi" w:hAnsiTheme="majorHAnsi"/>
                <w:sz w:val="20"/>
                <w:szCs w:val="20"/>
                <w:lang w:val="cs-CZ" w:eastAsia="cs-CZ"/>
              </w:rPr>
              <w:t xml:space="preserve"> </w:t>
            </w:r>
            <w:r w:rsidRPr="00C171AA">
              <w:rPr>
                <w:rFonts w:asciiTheme="majorHAnsi" w:hAnsiTheme="majorHAnsi"/>
                <w:sz w:val="20"/>
                <w:szCs w:val="20"/>
                <w:lang w:val="cs-CZ" w:eastAsia="cs-CZ"/>
              </w:rPr>
              <w:t>73 %</w:t>
            </w:r>
          </w:p>
        </w:tc>
        <w:tc>
          <w:tcPr>
            <w:tcW w:w="1701" w:type="dxa"/>
            <w:shd w:val="clear" w:color="auto" w:fill="auto"/>
          </w:tcPr>
          <w:p w:rsidR="000B4C27" w:rsidRPr="00C171AA" w:rsidRDefault="000B4C27"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r w:rsidR="00403F21" w:rsidRPr="00C171AA">
              <w:rPr>
                <w:rFonts w:asciiTheme="majorHAnsi" w:hAnsiTheme="majorHAnsi"/>
                <w:sz w:val="20"/>
                <w:szCs w:val="20"/>
                <w:lang w:val="cs-CZ" w:eastAsia="cs-CZ"/>
              </w:rPr>
              <w:t>:</w:t>
            </w:r>
          </w:p>
          <w:p w:rsidR="000B4C27" w:rsidRPr="00C171AA" w:rsidRDefault="000B4C27" w:rsidP="000B4C27">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D75B95" w:rsidRPr="00C171AA" w:rsidRDefault="00D75B95" w:rsidP="000B4C27">
            <w:pPr>
              <w:spacing w:after="200"/>
              <w:rPr>
                <w:rFonts w:asciiTheme="majorHAnsi" w:hAnsiTheme="majorHAnsi"/>
                <w:sz w:val="20"/>
                <w:szCs w:val="20"/>
                <w:lang w:val="cs-CZ" w:eastAsia="cs-CZ"/>
              </w:rPr>
            </w:pPr>
          </w:p>
          <w:p w:rsidR="000B4C27" w:rsidRPr="00C171AA" w:rsidRDefault="000B4C27" w:rsidP="000B4C27">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0 %</w:t>
            </w:r>
          </w:p>
          <w:p w:rsidR="000B4C27" w:rsidRPr="00C171AA" w:rsidRDefault="000B4C27" w:rsidP="000B4C27">
            <w:pPr>
              <w:spacing w:after="200"/>
              <w:rPr>
                <w:rFonts w:asciiTheme="majorHAnsi" w:hAnsiTheme="majorHAnsi"/>
                <w:sz w:val="20"/>
                <w:szCs w:val="20"/>
                <w:lang w:val="cs-CZ" w:eastAsia="cs-CZ"/>
              </w:rPr>
            </w:pPr>
          </w:p>
          <w:p w:rsidR="000B4C27" w:rsidRPr="00C171AA" w:rsidRDefault="000B4C27" w:rsidP="00BB6BD0">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w:t>
            </w:r>
            <w:r w:rsidR="00375CDD" w:rsidRPr="00C171AA">
              <w:rPr>
                <w:rFonts w:asciiTheme="majorHAnsi" w:hAnsiTheme="majorHAnsi"/>
                <w:sz w:val="20"/>
                <w:szCs w:val="20"/>
                <w:lang w:val="cs-CZ" w:eastAsia="cs-CZ"/>
              </w:rPr>
              <w:t xml:space="preserve"> </w:t>
            </w:r>
            <w:r w:rsidRPr="00C171AA">
              <w:rPr>
                <w:rFonts w:asciiTheme="majorHAnsi" w:hAnsiTheme="majorHAnsi"/>
                <w:sz w:val="20"/>
                <w:szCs w:val="20"/>
                <w:lang w:val="cs-CZ" w:eastAsia="cs-CZ"/>
              </w:rPr>
              <w:t>74,5 %</w:t>
            </w:r>
          </w:p>
        </w:tc>
      </w:tr>
      <w:tr w:rsidR="000B4C27" w:rsidRPr="00C171AA" w:rsidTr="00D75B95">
        <w:tc>
          <w:tcPr>
            <w:tcW w:w="9322" w:type="dxa"/>
            <w:gridSpan w:val="4"/>
            <w:shd w:val="clear" w:color="auto" w:fill="auto"/>
          </w:tcPr>
          <w:p w:rsidR="000B4C27" w:rsidRPr="00C171AA" w:rsidRDefault="000B4C27" w:rsidP="00487CB1">
            <w:pPr>
              <w:rPr>
                <w:rFonts w:asciiTheme="majorHAnsi" w:hAnsiTheme="majorHAnsi"/>
                <w:sz w:val="20"/>
                <w:szCs w:val="20"/>
                <w:lang w:val="cs-CZ" w:eastAsia="cs-CZ"/>
              </w:rPr>
            </w:pPr>
          </w:p>
        </w:tc>
      </w:tr>
      <w:tr w:rsidR="00883634" w:rsidRPr="00C171AA" w:rsidTr="00D75B95">
        <w:tc>
          <w:tcPr>
            <w:tcW w:w="4219" w:type="dxa"/>
            <w:shd w:val="clear" w:color="auto" w:fill="auto"/>
          </w:tcPr>
          <w:p w:rsidR="00883634" w:rsidRPr="00C171AA" w:rsidRDefault="00883634"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3/ Projekty týkající se instalace technologických systémů bez současného zateplení obvodových konstrukcí a výměny otvorů</w:t>
            </w:r>
          </w:p>
        </w:tc>
        <w:tc>
          <w:tcPr>
            <w:tcW w:w="1701" w:type="dxa"/>
            <w:shd w:val="clear" w:color="auto" w:fill="auto"/>
          </w:tcPr>
          <w:p w:rsidR="00883634" w:rsidRPr="00C171AA" w:rsidRDefault="00883634" w:rsidP="00B30123">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883634" w:rsidRPr="00C171AA" w:rsidRDefault="00883634" w:rsidP="00B30123">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883634" w:rsidRPr="00C171AA" w:rsidRDefault="00883634" w:rsidP="00B30123">
            <w:pPr>
              <w:spacing w:after="200"/>
              <w:rPr>
                <w:rFonts w:asciiTheme="majorHAnsi" w:hAnsiTheme="majorHAnsi"/>
                <w:sz w:val="20"/>
                <w:szCs w:val="20"/>
                <w:lang w:val="cs-CZ" w:eastAsia="cs-CZ"/>
              </w:rPr>
            </w:pPr>
          </w:p>
          <w:p w:rsidR="00883634" w:rsidRPr="00C171AA" w:rsidRDefault="00883634" w:rsidP="00487CB1">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74,5 %</w:t>
            </w:r>
          </w:p>
        </w:tc>
        <w:tc>
          <w:tcPr>
            <w:tcW w:w="1701" w:type="dxa"/>
            <w:shd w:val="clear" w:color="auto" w:fill="auto"/>
          </w:tcPr>
          <w:p w:rsidR="00883634" w:rsidRPr="00C171AA" w:rsidRDefault="00883634" w:rsidP="00B30123">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EFRR:</w:t>
            </w:r>
          </w:p>
          <w:p w:rsidR="00883634" w:rsidRPr="00C171AA" w:rsidRDefault="00883634" w:rsidP="00B30123">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883634" w:rsidRPr="00C171AA" w:rsidRDefault="00883634" w:rsidP="00B30123">
            <w:pPr>
              <w:spacing w:after="200"/>
              <w:rPr>
                <w:rFonts w:asciiTheme="majorHAnsi" w:hAnsiTheme="majorHAnsi"/>
                <w:sz w:val="20"/>
                <w:szCs w:val="20"/>
                <w:lang w:val="cs-CZ" w:eastAsia="cs-CZ"/>
              </w:rPr>
            </w:pPr>
          </w:p>
          <w:p w:rsidR="00883634" w:rsidRPr="00C171AA" w:rsidRDefault="00883634" w:rsidP="00B30123">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1,5 %</w:t>
            </w:r>
          </w:p>
          <w:p w:rsidR="00883634" w:rsidRPr="00C171AA" w:rsidRDefault="00883634" w:rsidP="00B30123">
            <w:pPr>
              <w:spacing w:after="200"/>
              <w:rPr>
                <w:rFonts w:asciiTheme="majorHAnsi" w:hAnsiTheme="majorHAnsi"/>
                <w:sz w:val="20"/>
                <w:szCs w:val="20"/>
                <w:lang w:val="cs-CZ" w:eastAsia="cs-CZ"/>
              </w:rPr>
            </w:pPr>
          </w:p>
          <w:p w:rsidR="00883634" w:rsidRPr="00C171AA" w:rsidRDefault="00883634" w:rsidP="00BB6BD0">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w:t>
            </w:r>
            <w:r w:rsidR="00375CDD" w:rsidRPr="00C171AA">
              <w:rPr>
                <w:rFonts w:asciiTheme="majorHAnsi" w:hAnsiTheme="majorHAnsi"/>
                <w:sz w:val="20"/>
                <w:szCs w:val="20"/>
                <w:lang w:val="cs-CZ" w:eastAsia="cs-CZ"/>
              </w:rPr>
              <w:t xml:space="preserve"> </w:t>
            </w:r>
            <w:r w:rsidRPr="00C171AA">
              <w:rPr>
                <w:rFonts w:asciiTheme="majorHAnsi" w:hAnsiTheme="majorHAnsi"/>
                <w:sz w:val="20"/>
                <w:szCs w:val="20"/>
                <w:lang w:val="cs-CZ" w:eastAsia="cs-CZ"/>
              </w:rPr>
              <w:t>73 %</w:t>
            </w:r>
          </w:p>
        </w:tc>
        <w:tc>
          <w:tcPr>
            <w:tcW w:w="1701" w:type="dxa"/>
            <w:shd w:val="clear" w:color="auto" w:fill="auto"/>
          </w:tcPr>
          <w:p w:rsidR="00883634" w:rsidRPr="00C171AA" w:rsidRDefault="00883634" w:rsidP="00B30123">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w:t>
            </w:r>
            <w:r w:rsidR="00403F21" w:rsidRPr="00C171AA">
              <w:rPr>
                <w:rFonts w:asciiTheme="majorHAnsi" w:hAnsiTheme="majorHAnsi"/>
                <w:sz w:val="20"/>
                <w:szCs w:val="20"/>
                <w:lang w:val="cs-CZ" w:eastAsia="cs-CZ"/>
              </w:rPr>
              <w:t xml:space="preserve"> </w:t>
            </w:r>
            <w:r w:rsidRPr="00C171AA">
              <w:rPr>
                <w:rFonts w:asciiTheme="majorHAnsi" w:hAnsiTheme="majorHAnsi"/>
                <w:sz w:val="20"/>
                <w:szCs w:val="20"/>
                <w:lang w:val="cs-CZ" w:eastAsia="cs-CZ"/>
              </w:rPr>
              <w:t>EFRR:</w:t>
            </w:r>
          </w:p>
          <w:p w:rsidR="00883634" w:rsidRPr="00C171AA" w:rsidRDefault="00883634" w:rsidP="00B30123">
            <w:pPr>
              <w:spacing w:after="200"/>
              <w:rPr>
                <w:rFonts w:asciiTheme="majorHAnsi" w:hAnsiTheme="majorHAnsi"/>
                <w:b/>
                <w:sz w:val="20"/>
                <w:szCs w:val="20"/>
                <w:lang w:val="cs-CZ" w:eastAsia="cs-CZ"/>
              </w:rPr>
            </w:pPr>
            <w:r w:rsidRPr="00C171AA">
              <w:rPr>
                <w:rFonts w:asciiTheme="majorHAnsi" w:hAnsiTheme="majorHAnsi"/>
                <w:b/>
                <w:sz w:val="20"/>
                <w:szCs w:val="20"/>
                <w:lang w:val="cs-CZ" w:eastAsia="cs-CZ"/>
              </w:rPr>
              <w:t>25,5 %</w:t>
            </w:r>
          </w:p>
          <w:p w:rsidR="00883634" w:rsidRPr="00C171AA" w:rsidRDefault="00883634" w:rsidP="00B30123">
            <w:pPr>
              <w:spacing w:after="200"/>
              <w:rPr>
                <w:rFonts w:asciiTheme="majorHAnsi" w:hAnsiTheme="majorHAnsi"/>
                <w:sz w:val="20"/>
                <w:szCs w:val="20"/>
                <w:lang w:val="cs-CZ" w:eastAsia="cs-CZ"/>
              </w:rPr>
            </w:pPr>
          </w:p>
          <w:p w:rsidR="00883634" w:rsidRPr="00C171AA" w:rsidRDefault="00883634" w:rsidP="00B30123">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Příspěvek státního rozpočtu: 0 %</w:t>
            </w:r>
          </w:p>
          <w:p w:rsidR="00883634" w:rsidRPr="00C171AA" w:rsidRDefault="00883634" w:rsidP="00B30123">
            <w:pPr>
              <w:spacing w:after="200"/>
              <w:rPr>
                <w:rFonts w:asciiTheme="majorHAnsi" w:hAnsiTheme="majorHAnsi"/>
                <w:sz w:val="20"/>
                <w:szCs w:val="20"/>
                <w:lang w:val="cs-CZ" w:eastAsia="cs-CZ"/>
              </w:rPr>
            </w:pPr>
          </w:p>
          <w:p w:rsidR="00883634" w:rsidRPr="00C171AA" w:rsidRDefault="00883634" w:rsidP="00BB6BD0">
            <w:pPr>
              <w:spacing w:after="200"/>
              <w:rPr>
                <w:rFonts w:asciiTheme="majorHAnsi" w:hAnsiTheme="majorHAnsi"/>
                <w:sz w:val="20"/>
                <w:szCs w:val="20"/>
                <w:lang w:val="cs-CZ" w:eastAsia="cs-CZ"/>
              </w:rPr>
            </w:pPr>
            <w:r w:rsidRPr="00C171AA">
              <w:rPr>
                <w:rFonts w:asciiTheme="majorHAnsi" w:hAnsiTheme="majorHAnsi"/>
                <w:sz w:val="20"/>
                <w:szCs w:val="20"/>
                <w:lang w:val="cs-CZ" w:eastAsia="cs-CZ"/>
              </w:rPr>
              <w:t>Příjemce:</w:t>
            </w:r>
            <w:r w:rsidR="00375CDD" w:rsidRPr="00C171AA">
              <w:rPr>
                <w:rFonts w:asciiTheme="majorHAnsi" w:hAnsiTheme="majorHAnsi"/>
                <w:sz w:val="20"/>
                <w:szCs w:val="20"/>
                <w:lang w:val="cs-CZ" w:eastAsia="cs-CZ"/>
              </w:rPr>
              <w:t xml:space="preserve"> </w:t>
            </w:r>
            <w:r w:rsidRPr="00C171AA">
              <w:rPr>
                <w:rFonts w:asciiTheme="majorHAnsi" w:hAnsiTheme="majorHAnsi"/>
                <w:sz w:val="20"/>
                <w:szCs w:val="20"/>
                <w:lang w:val="cs-CZ" w:eastAsia="cs-CZ"/>
              </w:rPr>
              <w:t>74,5 %</w:t>
            </w:r>
          </w:p>
        </w:tc>
      </w:tr>
    </w:tbl>
    <w:p w:rsidR="00291186" w:rsidRDefault="00291186" w:rsidP="000077CB">
      <w:pPr>
        <w:jc w:val="both"/>
      </w:pPr>
    </w:p>
    <w:p w:rsidR="00C63004" w:rsidRPr="00B2399E" w:rsidRDefault="007B4B0C" w:rsidP="000077CB">
      <w:pPr>
        <w:jc w:val="both"/>
      </w:pPr>
      <w:r>
        <w:t>V případě kombinace instalace technologických systém</w:t>
      </w:r>
      <w:r w:rsidR="00B9070F">
        <w:t>ů</w:t>
      </w:r>
      <w:r>
        <w:t xml:space="preserve"> a zateplení obvodových konstrukcí a</w:t>
      </w:r>
      <w:r w:rsidR="00246D95">
        <w:t>/nebo</w:t>
      </w:r>
      <w:r>
        <w:t xml:space="preserve"> výměny výplní otvorů podle </w:t>
      </w:r>
      <w:r w:rsidR="00E0108F">
        <w:t>bodu 1a)</w:t>
      </w:r>
      <w:r w:rsidR="00246D95">
        <w:t xml:space="preserve"> </w:t>
      </w:r>
      <w:r>
        <w:t xml:space="preserve">tabulky, má žadatel nárok na </w:t>
      </w:r>
      <w:r w:rsidR="006A7067">
        <w:t xml:space="preserve">podporu podle </w:t>
      </w:r>
      <w:r w:rsidR="00E0108F">
        <w:t>bodu 1a)</w:t>
      </w:r>
      <w:r w:rsidR="00246D95">
        <w:t xml:space="preserve"> </w:t>
      </w:r>
      <w:r w:rsidR="006A7067">
        <w:t>tabulky</w:t>
      </w:r>
      <w:r w:rsidR="00E0108F">
        <w:t xml:space="preserve"> na všechna podporovaná opatření, která jsou součástí žádosti o podporu.</w:t>
      </w:r>
    </w:p>
    <w:p w:rsidR="00FD5DC8" w:rsidRPr="00F71F86" w:rsidRDefault="00D3758D" w:rsidP="000077CB">
      <w:pPr>
        <w:pStyle w:val="Pravidla11"/>
        <w:numPr>
          <w:ilvl w:val="1"/>
          <w:numId w:val="63"/>
        </w:numPr>
      </w:pPr>
      <w:bookmarkStart w:id="67" w:name="_Toc436995467"/>
      <w:bookmarkStart w:id="68" w:name="_Toc436995557"/>
      <w:bookmarkStart w:id="69" w:name="_Toc436995468"/>
      <w:bookmarkStart w:id="70" w:name="_Toc436995558"/>
      <w:bookmarkStart w:id="71" w:name="_Toc444247653"/>
      <w:bookmarkEnd w:id="67"/>
      <w:bookmarkEnd w:id="68"/>
      <w:bookmarkEnd w:id="69"/>
      <w:bookmarkEnd w:id="70"/>
      <w:r w:rsidRPr="00F71F86">
        <w:t>Způsobilé výdaje</w:t>
      </w:r>
      <w:bookmarkEnd w:id="71"/>
    </w:p>
    <w:p w:rsidR="00704365" w:rsidRDefault="00F71F86" w:rsidP="004A5734">
      <w:pPr>
        <w:jc w:val="both"/>
        <w:rPr>
          <w:rFonts w:asciiTheme="majorHAnsi" w:hAnsiTheme="majorHAnsi" w:cs="Arial"/>
        </w:rPr>
      </w:pPr>
      <w:r w:rsidRPr="002720F5">
        <w:rPr>
          <w:rFonts w:cs="Arial"/>
        </w:rPr>
        <w:t>Základní hlediska způsobilosti výdaje jsou uvedena v kapitole 10.1 Obecných pravidel.</w:t>
      </w:r>
      <w:r>
        <w:rPr>
          <w:rFonts w:cs="Arial"/>
        </w:rPr>
        <w:t xml:space="preserve">  </w:t>
      </w:r>
      <w:r w:rsidR="00704365" w:rsidRPr="00704365">
        <w:rPr>
          <w:rFonts w:asciiTheme="majorHAnsi" w:hAnsiTheme="majorHAnsi" w:cs="Arial"/>
        </w:rPr>
        <w:t>Příjemce je povinen řádně doložit způsobilé výdaje nárokované pro daný projekt příslušným účetním dokladem, popřípadě další podpůrnou dokumentací vyžadovanou v</w:t>
      </w:r>
      <w:r w:rsidR="00CD4970">
        <w:rPr>
          <w:rFonts w:asciiTheme="majorHAnsi" w:hAnsiTheme="majorHAnsi" w:cs="Arial"/>
        </w:rPr>
        <w:t> </w:t>
      </w:r>
      <w:r w:rsidR="00704365" w:rsidRPr="00704365">
        <w:rPr>
          <w:rFonts w:asciiTheme="majorHAnsi" w:hAnsiTheme="majorHAnsi" w:cs="Arial"/>
        </w:rPr>
        <w:t xml:space="preserve"> rámci jednotlivých programů. Výdaje, byť z věcného hlediska způsobilé, které nejsou řádně doložené, jsou vždy považovány za výdaje nezpůsobil</w:t>
      </w:r>
      <w:r w:rsidR="00997A72">
        <w:rPr>
          <w:rFonts w:asciiTheme="majorHAnsi" w:hAnsiTheme="majorHAnsi" w:cs="Arial"/>
        </w:rPr>
        <w:t xml:space="preserve">é. </w:t>
      </w:r>
    </w:p>
    <w:p w:rsidR="001B2C19" w:rsidRPr="001B2C19" w:rsidRDefault="001B2C19" w:rsidP="004B3EC0">
      <w:pPr>
        <w:pBdr>
          <w:top w:val="single" w:sz="4" w:space="1" w:color="auto"/>
          <w:left w:val="single" w:sz="4" w:space="4" w:color="auto"/>
          <w:bottom w:val="single" w:sz="4" w:space="1" w:color="auto"/>
          <w:right w:val="single" w:sz="4" w:space="4" w:color="auto"/>
        </w:pBdr>
        <w:jc w:val="both"/>
        <w:rPr>
          <w:rFonts w:asciiTheme="majorHAnsi" w:hAnsiTheme="majorHAnsi" w:cs="Arial"/>
          <w:b/>
        </w:rPr>
      </w:pPr>
      <w:r w:rsidRPr="001B2C19">
        <w:rPr>
          <w:rFonts w:asciiTheme="majorHAnsi" w:hAnsiTheme="majorHAnsi" w:cs="Arial"/>
          <w:b/>
        </w:rPr>
        <w:t>UPOZORNĚNÍ</w:t>
      </w:r>
    </w:p>
    <w:p w:rsidR="001574CD" w:rsidRDefault="001B2C19">
      <w:pPr>
        <w:pBdr>
          <w:top w:val="single" w:sz="4" w:space="1" w:color="auto"/>
          <w:left w:val="single" w:sz="4" w:space="4" w:color="auto"/>
          <w:bottom w:val="single" w:sz="4" w:space="1" w:color="auto"/>
          <w:right w:val="single" w:sz="4" w:space="4" w:color="auto"/>
        </w:pBdr>
        <w:jc w:val="both"/>
        <w:rPr>
          <w:rFonts w:asciiTheme="majorHAnsi" w:hAnsiTheme="majorHAnsi" w:cs="Arial"/>
        </w:rPr>
      </w:pPr>
      <w:r>
        <w:rPr>
          <w:rFonts w:asciiTheme="majorHAnsi" w:hAnsiTheme="majorHAnsi" w:cs="Arial"/>
        </w:rPr>
        <w:t>V</w:t>
      </w:r>
      <w:r w:rsidR="001574CD">
        <w:rPr>
          <w:rFonts w:asciiTheme="majorHAnsi" w:hAnsiTheme="majorHAnsi" w:cs="Arial"/>
        </w:rPr>
        <w:t xml:space="preserve"> případě, že součástí bytového domu jsou také </w:t>
      </w:r>
      <w:r w:rsidR="006250C4">
        <w:rPr>
          <w:rFonts w:asciiTheme="majorHAnsi" w:hAnsiTheme="majorHAnsi" w:cs="Arial"/>
        </w:rPr>
        <w:t>provozovny nebo komerční prostory</w:t>
      </w:r>
      <w:r w:rsidR="001574CD">
        <w:rPr>
          <w:rFonts w:asciiTheme="majorHAnsi" w:hAnsiTheme="majorHAnsi" w:cs="Arial"/>
        </w:rPr>
        <w:t>, patří</w:t>
      </w:r>
      <w:r w:rsidR="006D5E9A">
        <w:rPr>
          <w:rFonts w:asciiTheme="majorHAnsi" w:hAnsiTheme="majorHAnsi" w:cs="Arial"/>
        </w:rPr>
        <w:t xml:space="preserve"> výdaje vynaložené na tyto prostory </w:t>
      </w:r>
      <w:r w:rsidR="001574CD">
        <w:rPr>
          <w:rFonts w:asciiTheme="majorHAnsi" w:hAnsiTheme="majorHAnsi" w:cs="Arial"/>
        </w:rPr>
        <w:t xml:space="preserve">mezi způsobilé </w:t>
      </w:r>
      <w:r w:rsidR="006D5E9A">
        <w:rPr>
          <w:rFonts w:asciiTheme="majorHAnsi" w:hAnsiTheme="majorHAnsi" w:cs="Arial"/>
        </w:rPr>
        <w:t xml:space="preserve">pouze v případě, kdy jsou součástí </w:t>
      </w:r>
      <w:r w:rsidR="006D5E9A" w:rsidRPr="00E8320D">
        <w:rPr>
          <w:rFonts w:asciiTheme="majorHAnsi" w:hAnsiTheme="majorHAnsi" w:cs="Arial"/>
        </w:rPr>
        <w:t>komplexní rekonstrukce bytového domu jako celku</w:t>
      </w:r>
      <w:r w:rsidR="0087216F" w:rsidRPr="00E8320D">
        <w:rPr>
          <w:rFonts w:asciiTheme="majorHAnsi" w:hAnsiTheme="majorHAnsi" w:cs="Arial"/>
        </w:rPr>
        <w:t>.</w:t>
      </w:r>
    </w:p>
    <w:p w:rsidR="00E8320D" w:rsidRDefault="00E8320D" w:rsidP="00D00572">
      <w:pPr>
        <w:tabs>
          <w:tab w:val="left" w:pos="4050"/>
        </w:tabs>
        <w:jc w:val="both"/>
        <w:rPr>
          <w:rFonts w:asciiTheme="majorHAnsi" w:hAnsiTheme="majorHAnsi" w:cs="Arial"/>
          <w:b/>
        </w:rPr>
      </w:pPr>
    </w:p>
    <w:p w:rsidR="00A1533E" w:rsidRPr="000077CB" w:rsidRDefault="00A1533E" w:rsidP="00D00572">
      <w:pPr>
        <w:tabs>
          <w:tab w:val="left" w:pos="4050"/>
        </w:tabs>
        <w:jc w:val="both"/>
        <w:rPr>
          <w:rFonts w:asciiTheme="majorHAnsi" w:hAnsiTheme="majorHAnsi" w:cs="Arial"/>
          <w:b/>
        </w:rPr>
      </w:pPr>
      <w:r w:rsidRPr="000077CB">
        <w:rPr>
          <w:rFonts w:asciiTheme="majorHAnsi" w:hAnsiTheme="majorHAnsi" w:cs="Arial"/>
          <w:b/>
        </w:rPr>
        <w:lastRenderedPageBreak/>
        <w:t>Způsobilé výdaje musí:</w:t>
      </w:r>
    </w:p>
    <w:p w:rsidR="00A1533E" w:rsidRPr="00F71F86" w:rsidRDefault="00A1533E" w:rsidP="000077CB">
      <w:pPr>
        <w:pStyle w:val="Odstavecseseznamem"/>
        <w:numPr>
          <w:ilvl w:val="0"/>
          <w:numId w:val="84"/>
        </w:numPr>
      </w:pPr>
      <w:r w:rsidRPr="00F71F86">
        <w:t>být vynaloženy v souladu s cíli Integrovaného regionálního operačního programu a</w:t>
      </w:r>
      <w:r w:rsidR="00B95BF6" w:rsidRPr="00F71F86">
        <w:t> </w:t>
      </w:r>
      <w:r w:rsidRPr="00F71F86">
        <w:t>specifického cíle 2.5,</w:t>
      </w:r>
    </w:p>
    <w:p w:rsidR="00A1533E" w:rsidRDefault="00F71F86" w:rsidP="009444E6">
      <w:pPr>
        <w:pStyle w:val="Odstavecseseznamem"/>
        <w:numPr>
          <w:ilvl w:val="0"/>
          <w:numId w:val="84"/>
        </w:numPr>
        <w:jc w:val="both"/>
      </w:pPr>
      <w:r>
        <w:t xml:space="preserve">přímo </w:t>
      </w:r>
      <w:r w:rsidR="00A1533E" w:rsidRPr="00F71F86">
        <w:t>souviset s realizací projektu,</w:t>
      </w:r>
    </w:p>
    <w:p w:rsidR="007A29A4" w:rsidRPr="00F71F86" w:rsidRDefault="007A29A4" w:rsidP="009444E6">
      <w:pPr>
        <w:pStyle w:val="Odstavecseseznamem"/>
        <w:numPr>
          <w:ilvl w:val="0"/>
          <w:numId w:val="84"/>
        </w:numPr>
        <w:jc w:val="both"/>
        <w:rPr>
          <w:lang w:eastAsia="en-US"/>
        </w:rPr>
      </w:pPr>
      <w:r w:rsidRPr="002720F5">
        <w:rPr>
          <w:lang w:eastAsia="en-US"/>
        </w:rPr>
        <w:t xml:space="preserve">musí vzniknout a být </w:t>
      </w:r>
      <w:r w:rsidR="00937839" w:rsidRPr="002720F5">
        <w:rPr>
          <w:lang w:eastAsia="en-US"/>
        </w:rPr>
        <w:t xml:space="preserve">vynaloženy </w:t>
      </w:r>
      <w:r w:rsidRPr="002720F5">
        <w:rPr>
          <w:lang w:eastAsia="en-US"/>
        </w:rPr>
        <w:t>v období od 1. 1. 2014 do data ukončení</w:t>
      </w:r>
      <w:r>
        <w:rPr>
          <w:lang w:eastAsia="en-US"/>
        </w:rPr>
        <w:t xml:space="preserve"> realizace </w:t>
      </w:r>
      <w:r w:rsidRPr="002720F5">
        <w:rPr>
          <w:lang w:eastAsia="en-US"/>
        </w:rPr>
        <w:t xml:space="preserve">projektu </w:t>
      </w:r>
      <w:r>
        <w:rPr>
          <w:lang w:eastAsia="en-US"/>
        </w:rPr>
        <w:t>uvedeného v</w:t>
      </w:r>
      <w:r w:rsidRPr="002720F5">
        <w:rPr>
          <w:lang w:eastAsia="en-US"/>
        </w:rPr>
        <w:t xml:space="preserve"> Rozhodnutí</w:t>
      </w:r>
      <w:r w:rsidRPr="004B3C74">
        <w:rPr>
          <w:rFonts w:eastAsiaTheme="minorHAnsi" w:cs="Cambria"/>
          <w:lang w:eastAsia="en-US"/>
        </w:rPr>
        <w:t>/</w:t>
      </w:r>
      <w:r w:rsidRPr="004B3C74">
        <w:rPr>
          <w:rFonts w:asciiTheme="majorHAnsi" w:hAnsiTheme="majorHAnsi" w:cs="Arial"/>
        </w:rPr>
        <w:t>Stanovení výdajů</w:t>
      </w:r>
      <w:r w:rsidRPr="002720F5">
        <w:rPr>
          <w:lang w:eastAsia="en-US"/>
        </w:rPr>
        <w:t>,</w:t>
      </w:r>
    </w:p>
    <w:p w:rsidR="00A1533E" w:rsidRPr="00F71F86" w:rsidRDefault="00A1533E" w:rsidP="009444E6">
      <w:pPr>
        <w:pStyle w:val="Odstavecseseznamem"/>
        <w:numPr>
          <w:ilvl w:val="0"/>
          <w:numId w:val="84"/>
        </w:numPr>
        <w:jc w:val="both"/>
      </w:pPr>
      <w:r w:rsidRPr="00F71F86">
        <w:t>být doloženy průkaznými doklady (faktura, doklad o úhradě, předávací protokol, smlouvy s</w:t>
      </w:r>
      <w:r w:rsidR="002F2540" w:rsidRPr="00F71F86">
        <w:t> </w:t>
      </w:r>
      <w:r w:rsidRPr="00F71F86">
        <w:t>dodavateli</w:t>
      </w:r>
      <w:r w:rsidR="002F2540" w:rsidRPr="00F71F86">
        <w:t xml:space="preserve"> apod.</w:t>
      </w:r>
      <w:r w:rsidRPr="00F71F86">
        <w:t>).</w:t>
      </w:r>
    </w:p>
    <w:p w:rsidR="00930C9A" w:rsidRPr="007A29A4" w:rsidRDefault="009D5458" w:rsidP="000077CB">
      <w:pPr>
        <w:pStyle w:val="Nadpis3"/>
      </w:pPr>
      <w:bookmarkStart w:id="72" w:name="_Toc444247654"/>
      <w:r w:rsidRPr="007A29A4">
        <w:t xml:space="preserve">Způsobilé </w:t>
      </w:r>
      <w:r w:rsidR="00A1533E" w:rsidRPr="007A29A4">
        <w:t>výdaj</w:t>
      </w:r>
      <w:r w:rsidRPr="007A29A4">
        <w:t>e</w:t>
      </w:r>
      <w:r w:rsidR="005A5BC1" w:rsidRPr="007A29A4">
        <w:t xml:space="preserve"> na hlavní aktivity</w:t>
      </w:r>
      <w:r w:rsidR="00A1533E" w:rsidRPr="007A29A4">
        <w:t xml:space="preserve"> </w:t>
      </w:r>
      <w:r w:rsidR="00930C9A" w:rsidRPr="007A29A4">
        <w:t>projektu</w:t>
      </w:r>
      <w:bookmarkEnd w:id="72"/>
    </w:p>
    <w:p w:rsidR="00930C9A" w:rsidRPr="00270B84" w:rsidRDefault="00930C9A" w:rsidP="00C751E1">
      <w:pPr>
        <w:jc w:val="both"/>
      </w:pPr>
      <w:r>
        <w:t xml:space="preserve">Na hlavní aktivity projektu musí být zaměřeno </w:t>
      </w:r>
      <w:r w:rsidRPr="000077CB">
        <w:rPr>
          <w:b/>
        </w:rPr>
        <w:t xml:space="preserve">minimálně 85 % způsobilých výdajů </w:t>
      </w:r>
      <w:r w:rsidR="00C40929" w:rsidRPr="000077CB">
        <w:rPr>
          <w:b/>
        </w:rPr>
        <w:t>projektu</w:t>
      </w:r>
      <w:r w:rsidR="00C40929">
        <w:t>.</w:t>
      </w:r>
    </w:p>
    <w:p w:rsidR="00C67D1D" w:rsidRPr="000077CB" w:rsidRDefault="00C67D1D" w:rsidP="000077CB">
      <w:pPr>
        <w:pStyle w:val="Heading4Palatinoks"/>
        <w:rPr>
          <w:spacing w:val="40"/>
          <w:u w:val="single"/>
        </w:rPr>
      </w:pPr>
      <w:r w:rsidRPr="000077CB">
        <w:rPr>
          <w:spacing w:val="40"/>
          <w:u w:val="single"/>
        </w:rPr>
        <w:t>Stavb</w:t>
      </w:r>
      <w:r w:rsidR="00DD24D9">
        <w:rPr>
          <w:spacing w:val="40"/>
          <w:u w:val="single"/>
        </w:rPr>
        <w:t>y</w:t>
      </w:r>
    </w:p>
    <w:p w:rsidR="00B77BDA" w:rsidRDefault="006723FB" w:rsidP="000077CB">
      <w:pPr>
        <w:pStyle w:val="Odstavecseseznamem"/>
        <w:numPr>
          <w:ilvl w:val="0"/>
          <w:numId w:val="86"/>
        </w:numPr>
        <w:jc w:val="both"/>
        <w:rPr>
          <w:bCs/>
        </w:rPr>
      </w:pPr>
      <w:r w:rsidRPr="005A5C23">
        <w:rPr>
          <w:bCs/>
        </w:rPr>
        <w:t xml:space="preserve">zateplení obvodových </w:t>
      </w:r>
      <w:r w:rsidR="00B961BC">
        <w:rPr>
          <w:bCs/>
        </w:rPr>
        <w:t xml:space="preserve">konstrukcí </w:t>
      </w:r>
      <w:r w:rsidR="002D0A90">
        <w:rPr>
          <w:bCs/>
        </w:rPr>
        <w:t>na obálce budovy a výdaje přímo související se zateplením konstrukcí na obálce budovy (náklady na lešení a stavební výtahy, náklady na vyrovnání podkladové plochy pod zateplovacím systémem, klempířské prvky a mřížky ventilačních otvorů, staveništní přesun hmot);</w:t>
      </w:r>
    </w:p>
    <w:p w:rsidR="002D0A90" w:rsidRDefault="006723FB" w:rsidP="000077CB">
      <w:pPr>
        <w:pStyle w:val="Odstavecseseznamem"/>
        <w:numPr>
          <w:ilvl w:val="0"/>
          <w:numId w:val="86"/>
        </w:numPr>
        <w:jc w:val="both"/>
        <w:rPr>
          <w:bCs/>
        </w:rPr>
      </w:pPr>
      <w:r w:rsidRPr="005A5C23">
        <w:rPr>
          <w:bCs/>
        </w:rPr>
        <w:t>výměna oken a</w:t>
      </w:r>
      <w:r w:rsidR="001A15F0">
        <w:rPr>
          <w:bCs/>
        </w:rPr>
        <w:t> </w:t>
      </w:r>
      <w:r w:rsidRPr="005A5C23">
        <w:rPr>
          <w:bCs/>
        </w:rPr>
        <w:t>dveří</w:t>
      </w:r>
      <w:r w:rsidR="00B961BC">
        <w:rPr>
          <w:bCs/>
        </w:rPr>
        <w:t xml:space="preserve"> </w:t>
      </w:r>
      <w:r w:rsidR="002D0A90">
        <w:rPr>
          <w:bCs/>
        </w:rPr>
        <w:t>na obálce budovy a výdaje přímo související s výměnou oken a dveří (vnější parapety, vybourání původních výplní otvorů, změna velikosti otvorů, zednické zapravení oken a dveří);</w:t>
      </w:r>
    </w:p>
    <w:p w:rsidR="006723FB" w:rsidRPr="005A5C23" w:rsidRDefault="002D0A90" w:rsidP="000077CB">
      <w:pPr>
        <w:pStyle w:val="Odstavecseseznamem"/>
        <w:numPr>
          <w:ilvl w:val="0"/>
          <w:numId w:val="86"/>
        </w:numPr>
        <w:jc w:val="both"/>
        <w:rPr>
          <w:bCs/>
        </w:rPr>
      </w:pPr>
      <w:r>
        <w:rPr>
          <w:bCs/>
        </w:rPr>
        <w:t>střešní krytina (v případech, kdy se střecha nachází na obálce budovy a krytina plní hydroizolační funkci);</w:t>
      </w:r>
    </w:p>
    <w:p w:rsidR="007A438D" w:rsidRDefault="004C4CF4" w:rsidP="000077CB">
      <w:pPr>
        <w:pStyle w:val="Odstavecseseznamem"/>
        <w:numPr>
          <w:ilvl w:val="0"/>
          <w:numId w:val="86"/>
        </w:numPr>
        <w:rPr>
          <w:bCs/>
        </w:rPr>
      </w:pPr>
      <w:r>
        <w:rPr>
          <w:bCs/>
        </w:rPr>
        <w:t>i</w:t>
      </w:r>
      <w:r w:rsidR="007A438D" w:rsidRPr="005A5C23">
        <w:rPr>
          <w:bCs/>
        </w:rPr>
        <w:t xml:space="preserve">nstalace </w:t>
      </w:r>
      <w:r w:rsidR="006802E0" w:rsidRPr="005A5C23">
        <w:rPr>
          <w:bCs/>
        </w:rPr>
        <w:t>exteriérov</w:t>
      </w:r>
      <w:r w:rsidR="006802E0">
        <w:rPr>
          <w:bCs/>
        </w:rPr>
        <w:t>ých</w:t>
      </w:r>
      <w:r w:rsidR="006802E0" w:rsidRPr="005A5C23">
        <w:rPr>
          <w:bCs/>
        </w:rPr>
        <w:t xml:space="preserve"> </w:t>
      </w:r>
      <w:r w:rsidR="007A438D" w:rsidRPr="005A5C23">
        <w:rPr>
          <w:bCs/>
        </w:rPr>
        <w:t>prvků stínění</w:t>
      </w:r>
      <w:r w:rsidR="007A29A4">
        <w:rPr>
          <w:bCs/>
        </w:rPr>
        <w:t>.</w:t>
      </w:r>
    </w:p>
    <w:p w:rsidR="00C67D1D" w:rsidRPr="000077CB" w:rsidRDefault="00C67D1D" w:rsidP="000077CB">
      <w:pPr>
        <w:pStyle w:val="Heading4Palatinoks"/>
        <w:rPr>
          <w:spacing w:val="40"/>
          <w:u w:val="single"/>
        </w:rPr>
      </w:pPr>
      <w:r w:rsidRPr="000077CB">
        <w:rPr>
          <w:spacing w:val="40"/>
          <w:u w:val="single"/>
        </w:rPr>
        <w:t xml:space="preserve">Pořízení </w:t>
      </w:r>
      <w:r w:rsidR="00DD24D9">
        <w:rPr>
          <w:spacing w:val="40"/>
          <w:u w:val="single"/>
        </w:rPr>
        <w:t>majetku</w:t>
      </w:r>
    </w:p>
    <w:p w:rsidR="006723FB" w:rsidRPr="005A5C23" w:rsidRDefault="004C4CF4" w:rsidP="006802E0">
      <w:pPr>
        <w:pStyle w:val="Odstavecseseznamem"/>
        <w:numPr>
          <w:ilvl w:val="0"/>
          <w:numId w:val="87"/>
        </w:numPr>
        <w:jc w:val="both"/>
        <w:rPr>
          <w:bCs/>
        </w:rPr>
      </w:pPr>
      <w:r>
        <w:rPr>
          <w:bCs/>
        </w:rPr>
        <w:t>i</w:t>
      </w:r>
      <w:r w:rsidR="006723FB" w:rsidRPr="005A5C23">
        <w:rPr>
          <w:bCs/>
        </w:rPr>
        <w:t>nstalace systému nuceného větrání se zpětným získáváním tepla</w:t>
      </w:r>
      <w:r>
        <w:rPr>
          <w:bCs/>
        </w:rPr>
        <w:t>;</w:t>
      </w:r>
    </w:p>
    <w:p w:rsidR="006723FB" w:rsidRPr="005A5C23" w:rsidRDefault="004C4CF4">
      <w:pPr>
        <w:pStyle w:val="Odstavecseseznamem"/>
        <w:numPr>
          <w:ilvl w:val="0"/>
          <w:numId w:val="87"/>
        </w:numPr>
        <w:jc w:val="both"/>
        <w:rPr>
          <w:bCs/>
        </w:rPr>
      </w:pPr>
      <w:r>
        <w:rPr>
          <w:bCs/>
        </w:rPr>
        <w:t>v</w:t>
      </w:r>
      <w:r w:rsidR="006723FB" w:rsidRPr="005A5C23">
        <w:rPr>
          <w:bCs/>
        </w:rPr>
        <w:t>ýměna stávajícího</w:t>
      </w:r>
      <w:r w:rsidR="00F51968">
        <w:rPr>
          <w:bCs/>
        </w:rPr>
        <w:t xml:space="preserve"> hlavního</w:t>
      </w:r>
      <w:r w:rsidR="006723FB" w:rsidRPr="005A5C23">
        <w:rPr>
          <w:bCs/>
        </w:rPr>
        <w:t xml:space="preserve"> zdroje tepla na tuhá nebo kapalná fosilní paliva za plynový kondenzační kotel, kotel na biomasu, tepelné čerpadlo nebo jednotku pro kombinovanou výrobu elektřiny a tepla využívající obnovitelné zdroje energie nebo zemní plyn</w:t>
      </w:r>
      <w:r>
        <w:rPr>
          <w:bCs/>
        </w:rPr>
        <w:t>;</w:t>
      </w:r>
    </w:p>
    <w:p w:rsidR="006723FB" w:rsidRPr="005A5C23" w:rsidRDefault="004C4CF4" w:rsidP="00BB6BD0">
      <w:pPr>
        <w:pStyle w:val="Odstavecseseznamem"/>
        <w:numPr>
          <w:ilvl w:val="0"/>
          <w:numId w:val="87"/>
        </w:numPr>
        <w:jc w:val="both"/>
        <w:rPr>
          <w:bCs/>
        </w:rPr>
      </w:pPr>
      <w:r>
        <w:rPr>
          <w:bCs/>
        </w:rPr>
        <w:t>i</w:t>
      </w:r>
      <w:r w:rsidR="006723FB" w:rsidRPr="005A5C23">
        <w:rPr>
          <w:bCs/>
        </w:rPr>
        <w:t>nstalaci nového</w:t>
      </w:r>
      <w:r w:rsidR="00F51968">
        <w:rPr>
          <w:bCs/>
        </w:rPr>
        <w:t xml:space="preserve"> hlavního</w:t>
      </w:r>
      <w:r w:rsidR="006723FB" w:rsidRPr="005A5C23">
        <w:rPr>
          <w:bCs/>
        </w:rPr>
        <w:t xml:space="preserve"> zdroje tepla (plynový kondenzační kotel, kotel na biomasu nebo tepelné čerpadlo)</w:t>
      </w:r>
      <w:r>
        <w:rPr>
          <w:bCs/>
        </w:rPr>
        <w:t>;</w:t>
      </w:r>
    </w:p>
    <w:p w:rsidR="006723FB" w:rsidRPr="005A5C23" w:rsidRDefault="004C4CF4" w:rsidP="006802E0">
      <w:pPr>
        <w:pStyle w:val="Odstavecseseznamem"/>
        <w:numPr>
          <w:ilvl w:val="0"/>
          <w:numId w:val="87"/>
        </w:numPr>
        <w:jc w:val="both"/>
        <w:rPr>
          <w:bCs/>
        </w:rPr>
      </w:pPr>
      <w:r>
        <w:rPr>
          <w:bCs/>
        </w:rPr>
        <w:t>i</w:t>
      </w:r>
      <w:r w:rsidR="006723FB" w:rsidRPr="005A5C23">
        <w:rPr>
          <w:bCs/>
        </w:rPr>
        <w:t>nstalace solárních termických kolektorů</w:t>
      </w:r>
      <w:r>
        <w:rPr>
          <w:bCs/>
        </w:rPr>
        <w:t>;</w:t>
      </w:r>
    </w:p>
    <w:p w:rsidR="006723FB" w:rsidRPr="005A5C23" w:rsidRDefault="004C4CF4">
      <w:pPr>
        <w:pStyle w:val="Odstavecseseznamem"/>
        <w:numPr>
          <w:ilvl w:val="0"/>
          <w:numId w:val="87"/>
        </w:numPr>
        <w:jc w:val="both"/>
        <w:rPr>
          <w:bCs/>
        </w:rPr>
      </w:pPr>
      <w:r>
        <w:rPr>
          <w:bCs/>
        </w:rPr>
        <w:t>i</w:t>
      </w:r>
      <w:r w:rsidR="006723FB" w:rsidRPr="005A5C23">
        <w:rPr>
          <w:bCs/>
        </w:rPr>
        <w:t xml:space="preserve">nstalace </w:t>
      </w:r>
      <w:r w:rsidR="00F51968">
        <w:rPr>
          <w:bCs/>
        </w:rPr>
        <w:t xml:space="preserve">solárních </w:t>
      </w:r>
      <w:r w:rsidR="006723FB" w:rsidRPr="005A5C23">
        <w:rPr>
          <w:bCs/>
        </w:rPr>
        <w:t>fotovoltaických soustav</w:t>
      </w:r>
      <w:r>
        <w:rPr>
          <w:bCs/>
        </w:rPr>
        <w:t>;</w:t>
      </w:r>
    </w:p>
    <w:p w:rsidR="006723FB" w:rsidRDefault="004C4CF4">
      <w:pPr>
        <w:pStyle w:val="Odstavecseseznamem"/>
        <w:numPr>
          <w:ilvl w:val="0"/>
          <w:numId w:val="87"/>
        </w:numPr>
        <w:jc w:val="both"/>
        <w:rPr>
          <w:bCs/>
        </w:rPr>
      </w:pPr>
      <w:r>
        <w:rPr>
          <w:bCs/>
        </w:rPr>
        <w:t>i</w:t>
      </w:r>
      <w:r w:rsidR="006723FB" w:rsidRPr="005A5C23">
        <w:rPr>
          <w:bCs/>
        </w:rPr>
        <w:t>nstalace akumulační nádrže (pokud je součástí některého z výše uvedených opatření</w:t>
      </w:r>
      <w:r w:rsidR="00C66543" w:rsidRPr="005A5C23">
        <w:rPr>
          <w:bCs/>
        </w:rPr>
        <w:t>)</w:t>
      </w:r>
      <w:r>
        <w:rPr>
          <w:bCs/>
        </w:rPr>
        <w:t>;</w:t>
      </w:r>
    </w:p>
    <w:p w:rsidR="00280A3E" w:rsidRPr="00B63056" w:rsidRDefault="00280A3E">
      <w:pPr>
        <w:pStyle w:val="Odstavecseseznamem"/>
        <w:numPr>
          <w:ilvl w:val="0"/>
          <w:numId w:val="87"/>
        </w:numPr>
        <w:jc w:val="both"/>
        <w:rPr>
          <w:bCs/>
        </w:rPr>
      </w:pPr>
      <w:r>
        <w:rPr>
          <w:rFonts w:asciiTheme="majorHAnsi" w:hAnsiTheme="majorHAnsi"/>
          <w:bCs/>
        </w:rPr>
        <w:t>v</w:t>
      </w:r>
      <w:r w:rsidRPr="005A5C23">
        <w:rPr>
          <w:rFonts w:asciiTheme="majorHAnsi" w:hAnsiTheme="majorHAnsi"/>
          <w:bCs/>
        </w:rPr>
        <w:t>ýdaje spojené s  realizací opatření na ochranu hnízdišť rorýse a úkrytů netopýrů</w:t>
      </w:r>
      <w:r w:rsidR="003A1DE0">
        <w:rPr>
          <w:rFonts w:asciiTheme="majorHAnsi" w:hAnsiTheme="majorHAnsi"/>
          <w:bCs/>
        </w:rPr>
        <w:t>.</w:t>
      </w:r>
    </w:p>
    <w:p w:rsidR="00B63056" w:rsidRPr="001574CD" w:rsidRDefault="00B63056" w:rsidP="001D2A8D">
      <w:pPr>
        <w:pStyle w:val="Odstavecseseznamem"/>
        <w:jc w:val="both"/>
        <w:rPr>
          <w:bCs/>
        </w:rPr>
      </w:pPr>
    </w:p>
    <w:p w:rsidR="001574CD" w:rsidRPr="001574CD" w:rsidRDefault="001574CD" w:rsidP="001574CD">
      <w:pPr>
        <w:pStyle w:val="Heading4Palatinoks"/>
        <w:rPr>
          <w:spacing w:val="40"/>
          <w:u w:val="single"/>
        </w:rPr>
      </w:pPr>
      <w:r w:rsidRPr="001574CD">
        <w:rPr>
          <w:spacing w:val="40"/>
          <w:u w:val="single"/>
        </w:rPr>
        <w:t>DPH</w:t>
      </w:r>
    </w:p>
    <w:p w:rsidR="001574CD" w:rsidRDefault="001574CD" w:rsidP="001574CD">
      <w:pPr>
        <w:pStyle w:val="Odstavecseseznamem"/>
        <w:numPr>
          <w:ilvl w:val="0"/>
          <w:numId w:val="87"/>
        </w:numPr>
        <w:jc w:val="both"/>
        <w:rPr>
          <w:bCs/>
        </w:rPr>
      </w:pPr>
      <w:r>
        <w:rPr>
          <w:bCs/>
        </w:rPr>
        <w:t>Pokud nemá plátce DPH k podporovaným aktivitám nárok na odpočet vstupu</w:t>
      </w:r>
      <w:r w:rsidR="00AD54E1">
        <w:rPr>
          <w:bCs/>
        </w:rPr>
        <w:t>;</w:t>
      </w:r>
    </w:p>
    <w:p w:rsidR="001574CD" w:rsidRPr="001574CD" w:rsidRDefault="001574CD" w:rsidP="001574CD">
      <w:pPr>
        <w:pStyle w:val="Odstavecseseznamem"/>
        <w:numPr>
          <w:ilvl w:val="0"/>
          <w:numId w:val="87"/>
        </w:numPr>
        <w:jc w:val="both"/>
        <w:rPr>
          <w:bCs/>
        </w:rPr>
      </w:pPr>
      <w:r>
        <w:rPr>
          <w:bCs/>
        </w:rPr>
        <w:t>DPH je způsobilým výdajem, je-li způsobilým výdajem plnění, ke kterému se vztahuje</w:t>
      </w:r>
      <w:r w:rsidR="00AD54E1">
        <w:rPr>
          <w:bCs/>
        </w:rPr>
        <w:t>.</w:t>
      </w:r>
    </w:p>
    <w:p w:rsidR="009D5458" w:rsidRPr="007A29A4" w:rsidRDefault="009D5458" w:rsidP="000077CB">
      <w:pPr>
        <w:pStyle w:val="Nadpis3"/>
      </w:pPr>
      <w:bookmarkStart w:id="73" w:name="_Toc444247655"/>
      <w:r w:rsidRPr="007A29A4">
        <w:lastRenderedPageBreak/>
        <w:t>Způsobilé výdaje na vedlejší aktivity projektu</w:t>
      </w:r>
      <w:bookmarkEnd w:id="73"/>
    </w:p>
    <w:p w:rsidR="00147BFC" w:rsidRDefault="00C40929" w:rsidP="000077CB">
      <w:pPr>
        <w:jc w:val="both"/>
      </w:pPr>
      <w:r w:rsidRPr="00C751E1">
        <w:t xml:space="preserve">Na vedlejší aktivity může být vynaloženo </w:t>
      </w:r>
      <w:r w:rsidRPr="000077CB">
        <w:rPr>
          <w:b/>
        </w:rPr>
        <w:t>maximálně 15 % způsobilých výdajů projektu</w:t>
      </w:r>
      <w:r w:rsidRPr="00C751E1">
        <w:t>.</w:t>
      </w:r>
    </w:p>
    <w:p w:rsidR="00DD24D9" w:rsidRPr="001856E4" w:rsidRDefault="00DD24D9" w:rsidP="00DD24D9">
      <w:pPr>
        <w:pStyle w:val="Heading4Palatinoks"/>
        <w:rPr>
          <w:spacing w:val="40"/>
          <w:u w:val="single"/>
        </w:rPr>
      </w:pPr>
      <w:r w:rsidRPr="001856E4">
        <w:rPr>
          <w:spacing w:val="40"/>
          <w:u w:val="single"/>
        </w:rPr>
        <w:t>Stavb</w:t>
      </w:r>
      <w:r>
        <w:rPr>
          <w:spacing w:val="40"/>
          <w:u w:val="single"/>
        </w:rPr>
        <w:t>y</w:t>
      </w:r>
    </w:p>
    <w:p w:rsidR="00440A86" w:rsidRDefault="00DD24D9" w:rsidP="00DD24D9">
      <w:pPr>
        <w:pStyle w:val="Odstavecseseznamem"/>
        <w:numPr>
          <w:ilvl w:val="0"/>
          <w:numId w:val="88"/>
        </w:numPr>
        <w:jc w:val="both"/>
        <w:rPr>
          <w:bCs/>
        </w:rPr>
      </w:pPr>
      <w:r>
        <w:rPr>
          <w:bCs/>
        </w:rPr>
        <w:t xml:space="preserve">renovace balkonů a lodžií </w:t>
      </w:r>
      <w:r w:rsidR="00440A86">
        <w:rPr>
          <w:bCs/>
        </w:rPr>
        <w:t xml:space="preserve">– náklady na </w:t>
      </w:r>
      <w:r w:rsidR="00D51C7B">
        <w:rPr>
          <w:bCs/>
        </w:rPr>
        <w:t>výměnu zábradlí, dlažby</w:t>
      </w:r>
      <w:r w:rsidR="00082631">
        <w:rPr>
          <w:bCs/>
        </w:rPr>
        <w:t>;</w:t>
      </w:r>
    </w:p>
    <w:p w:rsidR="00DD24D9" w:rsidRDefault="00DD24D9" w:rsidP="00DD24D9">
      <w:pPr>
        <w:pStyle w:val="Odstavecseseznamem"/>
        <w:numPr>
          <w:ilvl w:val="0"/>
          <w:numId w:val="88"/>
        </w:numPr>
        <w:jc w:val="both"/>
        <w:rPr>
          <w:bCs/>
        </w:rPr>
      </w:pPr>
      <w:r>
        <w:rPr>
          <w:bCs/>
        </w:rPr>
        <w:t>sanace statických poruch v případě, že přímo souvisí s podporovanými opatřeními;</w:t>
      </w:r>
    </w:p>
    <w:p w:rsidR="00082631" w:rsidRDefault="00082631" w:rsidP="00DD24D9">
      <w:pPr>
        <w:pStyle w:val="Odstavecseseznamem"/>
        <w:numPr>
          <w:ilvl w:val="0"/>
          <w:numId w:val="88"/>
        </w:numPr>
        <w:jc w:val="both"/>
        <w:rPr>
          <w:bCs/>
        </w:rPr>
      </w:pPr>
      <w:r>
        <w:rPr>
          <w:bCs/>
        </w:rPr>
        <w:t>sanace zdiva v případě, že přímo souvisí s podporovanými opatřeními;</w:t>
      </w:r>
    </w:p>
    <w:p w:rsidR="00F40C6D" w:rsidRDefault="00141DE6" w:rsidP="00DD24D9">
      <w:pPr>
        <w:pStyle w:val="Odstavecseseznamem"/>
        <w:numPr>
          <w:ilvl w:val="0"/>
          <w:numId w:val="88"/>
        </w:numPr>
        <w:jc w:val="both"/>
        <w:rPr>
          <w:bCs/>
        </w:rPr>
      </w:pPr>
      <w:r>
        <w:rPr>
          <w:bCs/>
        </w:rPr>
        <w:t>odstranění nevyhovující tepelné izolace (v případech, kdy je nahrahována novou tepelnou izolací s lepšími tepelně-technickými vlastnostmi);</w:t>
      </w:r>
    </w:p>
    <w:p w:rsidR="00440A86" w:rsidRDefault="00440A86" w:rsidP="00DD24D9">
      <w:pPr>
        <w:pStyle w:val="Odstavecseseznamem"/>
        <w:numPr>
          <w:ilvl w:val="0"/>
          <w:numId w:val="88"/>
        </w:numPr>
        <w:jc w:val="both"/>
        <w:rPr>
          <w:bCs/>
        </w:rPr>
      </w:pPr>
      <w:r>
        <w:rPr>
          <w:bCs/>
        </w:rPr>
        <w:t xml:space="preserve">opravy hydroizolace v případě, že přímo souvisí </w:t>
      </w:r>
      <w:r w:rsidR="00141DE6">
        <w:rPr>
          <w:bCs/>
        </w:rPr>
        <w:t>se zateplením obvodových konstrukcí</w:t>
      </w:r>
      <w:r>
        <w:rPr>
          <w:bCs/>
        </w:rPr>
        <w:t>;</w:t>
      </w:r>
    </w:p>
    <w:p w:rsidR="00440A86" w:rsidRDefault="00440A86" w:rsidP="00DD24D9">
      <w:pPr>
        <w:pStyle w:val="Odstavecseseznamem"/>
        <w:numPr>
          <w:ilvl w:val="0"/>
          <w:numId w:val="88"/>
        </w:numPr>
        <w:jc w:val="both"/>
        <w:rPr>
          <w:bCs/>
        </w:rPr>
      </w:pPr>
      <w:r>
        <w:rPr>
          <w:bCs/>
        </w:rPr>
        <w:t>zateplení konstrukcí mimo obálku budovy (např. zateplení soklu, stěn lodžií)</w:t>
      </w:r>
      <w:r w:rsidR="007B7B55">
        <w:rPr>
          <w:bCs/>
        </w:rPr>
        <w:t>;</w:t>
      </w:r>
    </w:p>
    <w:p w:rsidR="002635AE" w:rsidRDefault="002635AE" w:rsidP="00DD24D9">
      <w:pPr>
        <w:pStyle w:val="Odstavecseseznamem"/>
        <w:numPr>
          <w:ilvl w:val="0"/>
          <w:numId w:val="88"/>
        </w:numPr>
        <w:jc w:val="both"/>
        <w:rPr>
          <w:bCs/>
        </w:rPr>
      </w:pPr>
      <w:r>
        <w:rPr>
          <w:bCs/>
        </w:rPr>
        <w:t>přesuny sutě a vybouraných hmot související s podporovanými opatřeními;</w:t>
      </w:r>
    </w:p>
    <w:p w:rsidR="00DD24D9" w:rsidRPr="005A5C23" w:rsidRDefault="00DD24D9" w:rsidP="00DD24D9">
      <w:pPr>
        <w:pStyle w:val="Odstavecseseznamem"/>
        <w:numPr>
          <w:ilvl w:val="0"/>
          <w:numId w:val="88"/>
        </w:numPr>
        <w:jc w:val="both"/>
        <w:rPr>
          <w:bCs/>
        </w:rPr>
      </w:pPr>
      <w:r>
        <w:rPr>
          <w:bCs/>
        </w:rPr>
        <w:t>v</w:t>
      </w:r>
      <w:r w:rsidRPr="005A5C23">
        <w:rPr>
          <w:bCs/>
        </w:rPr>
        <w:t>ýstavba centrálního vytápění v domech, ve kterých byly dosud jednotlivé byty vytápěny vlastními zdroji na tuhá nebo kapalná fosilní paliva</w:t>
      </w:r>
      <w:r>
        <w:rPr>
          <w:bCs/>
        </w:rPr>
        <w:t>;</w:t>
      </w:r>
    </w:p>
    <w:p w:rsidR="00DD24D9" w:rsidRPr="000077CB" w:rsidRDefault="00DD24D9" w:rsidP="00DD24D9">
      <w:pPr>
        <w:pStyle w:val="Odstavecseseznamem"/>
        <w:numPr>
          <w:ilvl w:val="0"/>
          <w:numId w:val="88"/>
        </w:numPr>
        <w:jc w:val="both"/>
        <w:rPr>
          <w:bCs/>
        </w:rPr>
      </w:pPr>
      <w:r w:rsidRPr="005A5C23">
        <w:rPr>
          <w:rFonts w:asciiTheme="majorHAnsi" w:hAnsiTheme="majorHAnsi"/>
          <w:bCs/>
        </w:rPr>
        <w:t>opatření na sanaci azbestu</w:t>
      </w:r>
      <w:r w:rsidR="00FE2101">
        <w:rPr>
          <w:rFonts w:asciiTheme="majorHAnsi" w:hAnsiTheme="majorHAnsi"/>
          <w:bCs/>
        </w:rPr>
        <w:t xml:space="preserve"> v případě, že přímo souvisí s podporovanými opatřeními</w:t>
      </w:r>
      <w:r w:rsidR="006802E0">
        <w:rPr>
          <w:rFonts w:asciiTheme="majorHAnsi" w:hAnsiTheme="majorHAnsi"/>
          <w:bCs/>
        </w:rPr>
        <w:t>.</w:t>
      </w:r>
    </w:p>
    <w:p w:rsidR="00DD24D9" w:rsidRDefault="00DD24D9" w:rsidP="000077CB">
      <w:pPr>
        <w:pStyle w:val="Heading4Palatinoks"/>
        <w:rPr>
          <w:spacing w:val="40"/>
          <w:u w:val="single"/>
        </w:rPr>
      </w:pPr>
      <w:r w:rsidRPr="000077CB">
        <w:rPr>
          <w:spacing w:val="40"/>
          <w:u w:val="single"/>
        </w:rPr>
        <w:t>Zabezpečení výstavby</w:t>
      </w:r>
    </w:p>
    <w:p w:rsidR="00DD24D9" w:rsidRPr="005A5C23" w:rsidRDefault="00DD24D9" w:rsidP="00DD24D9">
      <w:pPr>
        <w:pStyle w:val="Odstavecseseznamem"/>
        <w:numPr>
          <w:ilvl w:val="0"/>
          <w:numId w:val="88"/>
        </w:numPr>
        <w:jc w:val="both"/>
        <w:rPr>
          <w:bCs/>
        </w:rPr>
      </w:pPr>
      <w:r w:rsidRPr="005A5C23">
        <w:rPr>
          <w:bCs/>
        </w:rPr>
        <w:t>technický dozor investora</w:t>
      </w:r>
      <w:r>
        <w:rPr>
          <w:bCs/>
        </w:rPr>
        <w:t>.</w:t>
      </w:r>
    </w:p>
    <w:p w:rsidR="00DD24D9" w:rsidRDefault="00DD24D9" w:rsidP="000077CB">
      <w:pPr>
        <w:pStyle w:val="Heading4Palatinoks"/>
        <w:rPr>
          <w:spacing w:val="40"/>
          <w:u w:val="single"/>
        </w:rPr>
      </w:pPr>
      <w:r w:rsidRPr="00DD24D9">
        <w:rPr>
          <w:spacing w:val="40"/>
          <w:u w:val="single"/>
        </w:rPr>
        <w:t>Projektová dokumentace</w:t>
      </w:r>
    </w:p>
    <w:p w:rsidR="00DD24D9" w:rsidRPr="005A5C23" w:rsidRDefault="00DD24D9" w:rsidP="00DD24D9">
      <w:pPr>
        <w:pStyle w:val="Odstavecseseznamem"/>
        <w:numPr>
          <w:ilvl w:val="0"/>
          <w:numId w:val="88"/>
        </w:numPr>
        <w:jc w:val="both"/>
        <w:rPr>
          <w:bCs/>
        </w:rPr>
      </w:pPr>
      <w:r>
        <w:rPr>
          <w:bCs/>
        </w:rPr>
        <w:t>z</w:t>
      </w:r>
      <w:r w:rsidRPr="005A5C23">
        <w:rPr>
          <w:bCs/>
        </w:rPr>
        <w:t>pracování projektové d</w:t>
      </w:r>
      <w:r>
        <w:rPr>
          <w:bCs/>
        </w:rPr>
        <w:t>okumentace.</w:t>
      </w:r>
    </w:p>
    <w:p w:rsidR="00DD24D9" w:rsidRPr="001856E4" w:rsidRDefault="00DD24D9" w:rsidP="000077CB">
      <w:pPr>
        <w:pStyle w:val="Heading4Palatinoks"/>
        <w:rPr>
          <w:spacing w:val="40"/>
          <w:u w:val="single"/>
        </w:rPr>
      </w:pPr>
      <w:r w:rsidRPr="001856E4">
        <w:rPr>
          <w:spacing w:val="40"/>
          <w:u w:val="single"/>
        </w:rPr>
        <w:t xml:space="preserve">Pořízení </w:t>
      </w:r>
      <w:r>
        <w:rPr>
          <w:spacing w:val="40"/>
          <w:u w:val="single"/>
        </w:rPr>
        <w:t>majetku</w:t>
      </w:r>
    </w:p>
    <w:p w:rsidR="00DD24D9" w:rsidRDefault="004C4CF4" w:rsidP="000077CB">
      <w:pPr>
        <w:pStyle w:val="Odstavecseseznamem"/>
        <w:numPr>
          <w:ilvl w:val="0"/>
          <w:numId w:val="88"/>
        </w:numPr>
        <w:jc w:val="both"/>
        <w:rPr>
          <w:bCs/>
        </w:rPr>
      </w:pPr>
      <w:r>
        <w:rPr>
          <w:bCs/>
        </w:rPr>
        <w:t>v</w:t>
      </w:r>
      <w:r w:rsidR="00A81499" w:rsidRPr="005A5C23">
        <w:rPr>
          <w:bCs/>
        </w:rPr>
        <w:t>ýměna předávací stanice</w:t>
      </w:r>
      <w:r w:rsidR="00DD24D9">
        <w:rPr>
          <w:bCs/>
        </w:rPr>
        <w:t>.</w:t>
      </w:r>
    </w:p>
    <w:p w:rsidR="00A81499" w:rsidRPr="000077CB" w:rsidRDefault="0019639B" w:rsidP="000077CB">
      <w:pPr>
        <w:pStyle w:val="Heading4Palatinoks"/>
        <w:rPr>
          <w:spacing w:val="40"/>
          <w:u w:val="single"/>
        </w:rPr>
      </w:pPr>
      <w:r w:rsidRPr="000077CB">
        <w:rPr>
          <w:spacing w:val="40"/>
          <w:u w:val="single"/>
        </w:rPr>
        <w:t>Pořízení služeb bezprostředně souvisejících s realizací projektu</w:t>
      </w:r>
    </w:p>
    <w:p w:rsidR="00C66543" w:rsidRPr="005A5C23" w:rsidRDefault="004C4CF4" w:rsidP="000077CB">
      <w:pPr>
        <w:pStyle w:val="Odstavecseseznamem"/>
        <w:numPr>
          <w:ilvl w:val="0"/>
          <w:numId w:val="88"/>
        </w:numPr>
        <w:jc w:val="both"/>
        <w:rPr>
          <w:bCs/>
        </w:rPr>
      </w:pPr>
      <w:r>
        <w:rPr>
          <w:rFonts w:asciiTheme="majorHAnsi" w:hAnsiTheme="majorHAnsi"/>
          <w:bCs/>
        </w:rPr>
        <w:t>p</w:t>
      </w:r>
      <w:r w:rsidR="00C66543" w:rsidRPr="005A5C23">
        <w:rPr>
          <w:rFonts w:asciiTheme="majorHAnsi" w:hAnsiTheme="majorHAnsi"/>
          <w:bCs/>
        </w:rPr>
        <w:t>rovedení hydraulické zkoušky otopné soustavy včetně vyhotovení protokolu o</w:t>
      </w:r>
      <w:r w:rsidR="00D3738F">
        <w:rPr>
          <w:rFonts w:asciiTheme="majorHAnsi" w:hAnsiTheme="majorHAnsi"/>
          <w:bCs/>
        </w:rPr>
        <w:t> </w:t>
      </w:r>
      <w:r w:rsidR="00C66543" w:rsidRPr="005A5C23">
        <w:rPr>
          <w:rFonts w:asciiTheme="majorHAnsi" w:hAnsiTheme="majorHAnsi"/>
          <w:bCs/>
        </w:rPr>
        <w:t>zkoušce</w:t>
      </w:r>
      <w:r>
        <w:rPr>
          <w:rFonts w:asciiTheme="majorHAnsi" w:hAnsiTheme="majorHAnsi"/>
          <w:bCs/>
        </w:rPr>
        <w:t>;</w:t>
      </w:r>
    </w:p>
    <w:p w:rsidR="007B7B55" w:rsidRPr="007B7B55" w:rsidRDefault="004C4CF4" w:rsidP="000077CB">
      <w:pPr>
        <w:pStyle w:val="Odstavecseseznamem"/>
        <w:numPr>
          <w:ilvl w:val="0"/>
          <w:numId w:val="88"/>
        </w:numPr>
        <w:suppressAutoHyphens/>
        <w:jc w:val="both"/>
        <w:rPr>
          <w:rFonts w:cs="Arial"/>
        </w:rPr>
      </w:pPr>
      <w:r>
        <w:rPr>
          <w:bCs/>
        </w:rPr>
        <w:t>v</w:t>
      </w:r>
      <w:r w:rsidR="00A81499" w:rsidRPr="005A5C23">
        <w:rPr>
          <w:bCs/>
        </w:rPr>
        <w:t>yregulování nebo modernizace soustavy vytápění objektu a rozvodů teplé užitkové vody včetně instalace systémů měření a regulace otopné soustavy</w:t>
      </w:r>
      <w:r w:rsidR="00211833">
        <w:rPr>
          <w:bCs/>
        </w:rPr>
        <w:t xml:space="preserve"> </w:t>
      </w:r>
      <w:r w:rsidR="007A29A4">
        <w:rPr>
          <w:bCs/>
        </w:rPr>
        <w:br/>
      </w:r>
      <w:r w:rsidR="00211833">
        <w:rPr>
          <w:bCs/>
        </w:rPr>
        <w:t>(s výjimkou přístrojů regulujících dodávku tepelné energie podle písm. a), odst. 4, § 7 zákona č. 406/2000 Sb., o hospodaření energií)</w:t>
      </w:r>
      <w:r>
        <w:rPr>
          <w:bCs/>
        </w:rPr>
        <w:t>;</w:t>
      </w:r>
      <w:r w:rsidR="00AD54E1">
        <w:rPr>
          <w:bCs/>
        </w:rPr>
        <w:t xml:space="preserve"> </w:t>
      </w:r>
    </w:p>
    <w:p w:rsidR="007B7B55" w:rsidRPr="0092771D" w:rsidRDefault="004C4CF4" w:rsidP="000077CB">
      <w:pPr>
        <w:pStyle w:val="Odstavecseseznamem"/>
        <w:numPr>
          <w:ilvl w:val="0"/>
          <w:numId w:val="88"/>
        </w:numPr>
        <w:suppressAutoHyphens/>
        <w:jc w:val="both"/>
        <w:rPr>
          <w:rFonts w:cs="Arial"/>
        </w:rPr>
      </w:pPr>
      <w:r>
        <w:rPr>
          <w:bCs/>
        </w:rPr>
        <w:t>z</w:t>
      </w:r>
      <w:r w:rsidR="00A81499" w:rsidRPr="005A5C23">
        <w:rPr>
          <w:bCs/>
        </w:rPr>
        <w:t xml:space="preserve">pracování </w:t>
      </w:r>
      <w:r w:rsidR="00A81499" w:rsidRPr="00C751E1">
        <w:rPr>
          <w:bCs/>
        </w:rPr>
        <w:t>energetického hodnocení</w:t>
      </w:r>
      <w:r w:rsidR="007B7B55">
        <w:rPr>
          <w:bCs/>
        </w:rPr>
        <w:t>;</w:t>
      </w:r>
      <w:r w:rsidR="0076682B">
        <w:rPr>
          <w:bCs/>
        </w:rPr>
        <w:t xml:space="preserve"> </w:t>
      </w:r>
    </w:p>
    <w:p w:rsidR="0092771D" w:rsidRPr="003F3E07" w:rsidRDefault="00A46957" w:rsidP="000077CB">
      <w:pPr>
        <w:pStyle w:val="Odstavecseseznamem"/>
        <w:numPr>
          <w:ilvl w:val="0"/>
          <w:numId w:val="88"/>
        </w:numPr>
        <w:suppressAutoHyphens/>
        <w:jc w:val="both"/>
        <w:rPr>
          <w:rFonts w:cs="Arial"/>
        </w:rPr>
      </w:pPr>
      <w:r>
        <w:rPr>
          <w:bCs/>
        </w:rPr>
        <w:t>p</w:t>
      </w:r>
      <w:r w:rsidR="0092771D">
        <w:rPr>
          <w:bCs/>
        </w:rPr>
        <w:t>odklady pro hodnocení;</w:t>
      </w:r>
    </w:p>
    <w:p w:rsidR="003F3E07" w:rsidRDefault="003F3E07" w:rsidP="003F3E07">
      <w:pPr>
        <w:pStyle w:val="Odstavecseseznamem"/>
        <w:numPr>
          <w:ilvl w:val="0"/>
          <w:numId w:val="88"/>
        </w:numPr>
        <w:suppressAutoHyphens/>
        <w:jc w:val="both"/>
        <w:rPr>
          <w:rFonts w:cs="Arial"/>
        </w:rPr>
      </w:pPr>
      <w:r w:rsidRPr="00D032F3">
        <w:t>příprava a realizace zadávacích a</w:t>
      </w:r>
      <w:r>
        <w:t> </w:t>
      </w:r>
      <w:r w:rsidRPr="00D032F3">
        <w:t xml:space="preserve"> výběrových řízení</w:t>
      </w:r>
      <w:r w:rsidR="00A46957">
        <w:rPr>
          <w:rFonts w:cs="Arial"/>
        </w:rPr>
        <w:t>.</w:t>
      </w:r>
    </w:p>
    <w:p w:rsidR="0036665E" w:rsidRDefault="00A46957" w:rsidP="0036665E">
      <w:pPr>
        <w:pStyle w:val="Odstavecseseznamem"/>
        <w:numPr>
          <w:ilvl w:val="0"/>
          <w:numId w:val="88"/>
        </w:numPr>
        <w:jc w:val="both"/>
      </w:pPr>
      <w:r>
        <w:t>V</w:t>
      </w:r>
      <w:r w:rsidR="0036665E">
        <w:t>ýpočet indikátoru 3 61 11 Množství emisí primárních částic a prekurzorů sekundárních částic v rámci podpořených projektů</w:t>
      </w:r>
      <w:r w:rsidR="00014E24">
        <w:t xml:space="preserve">. Pokud žadatel bude výpočet nárokovat jako způsobilý výdaj, pak je nutné dodat protokol výpočtu podepsaný </w:t>
      </w:r>
      <w:r w:rsidR="000C482D">
        <w:t>zpracovatelem</w:t>
      </w:r>
      <w:r w:rsidR="00014E24">
        <w:t>.</w:t>
      </w:r>
    </w:p>
    <w:p w:rsidR="0036665E" w:rsidRPr="0036665E" w:rsidRDefault="0036665E" w:rsidP="002635AE">
      <w:pPr>
        <w:pStyle w:val="Odstavecseseznamem"/>
        <w:numPr>
          <w:ilvl w:val="0"/>
          <w:numId w:val="88"/>
        </w:numPr>
        <w:jc w:val="both"/>
      </w:pPr>
      <w:r>
        <w:t xml:space="preserve">Výpočet </w:t>
      </w:r>
      <w:r w:rsidR="0008227D">
        <w:t>indikátoru 3 60 10</w:t>
      </w:r>
      <w:r>
        <w:t xml:space="preserve"> Odhadované roční snížení emisí skleníkových plynů</w:t>
      </w:r>
      <w:r w:rsidR="00014E24">
        <w:t>. Pokud žadatel bude výpočet nárokovat jako způsobilý výdaj, dod</w:t>
      </w:r>
      <w:r w:rsidR="000C482D">
        <w:t xml:space="preserve">á </w:t>
      </w:r>
      <w:r w:rsidR="00014E24">
        <w:t xml:space="preserve">protokol výpočtu podepsaný </w:t>
      </w:r>
      <w:r w:rsidR="00F4426E">
        <w:t>z</w:t>
      </w:r>
      <w:r w:rsidR="000C482D">
        <w:t>pracovatelem</w:t>
      </w:r>
      <w:r w:rsidR="00014E24">
        <w:t>.</w:t>
      </w:r>
    </w:p>
    <w:p w:rsidR="00AD54E1" w:rsidRPr="001574CD" w:rsidRDefault="00AD54E1" w:rsidP="00AD54E1">
      <w:pPr>
        <w:pStyle w:val="Heading4Palatinoks"/>
        <w:rPr>
          <w:spacing w:val="40"/>
          <w:u w:val="single"/>
        </w:rPr>
      </w:pPr>
      <w:r w:rsidRPr="001574CD">
        <w:rPr>
          <w:spacing w:val="40"/>
          <w:u w:val="single"/>
        </w:rPr>
        <w:t>DPH</w:t>
      </w:r>
    </w:p>
    <w:p w:rsidR="00AD54E1" w:rsidRDefault="00AD54E1" w:rsidP="00AD54E1">
      <w:pPr>
        <w:pStyle w:val="Odstavecseseznamem"/>
        <w:numPr>
          <w:ilvl w:val="0"/>
          <w:numId w:val="87"/>
        </w:numPr>
        <w:jc w:val="both"/>
        <w:rPr>
          <w:bCs/>
        </w:rPr>
      </w:pPr>
      <w:r>
        <w:rPr>
          <w:bCs/>
        </w:rPr>
        <w:t>Pokud nemá plátce DPH k podporovaným aktivitám nárok na odpočet vstupu;</w:t>
      </w:r>
    </w:p>
    <w:p w:rsidR="00AD54E1" w:rsidRDefault="00AD54E1" w:rsidP="00AD54E1">
      <w:pPr>
        <w:pStyle w:val="Odstavecseseznamem"/>
        <w:numPr>
          <w:ilvl w:val="0"/>
          <w:numId w:val="88"/>
        </w:numPr>
        <w:jc w:val="both"/>
        <w:rPr>
          <w:bCs/>
        </w:rPr>
      </w:pPr>
      <w:r>
        <w:rPr>
          <w:bCs/>
        </w:rPr>
        <w:lastRenderedPageBreak/>
        <w:t>DPH je způsobilým výdajem, je-li způsobilým výdajem plnění, ke kterému se vztahuje.</w:t>
      </w:r>
    </w:p>
    <w:p w:rsidR="00AD54E1" w:rsidRPr="00AD54E1" w:rsidRDefault="00AD54E1" w:rsidP="00AD54E1">
      <w:pPr>
        <w:pStyle w:val="Heading4Palatinoks"/>
        <w:rPr>
          <w:spacing w:val="40"/>
          <w:u w:val="single"/>
        </w:rPr>
      </w:pPr>
      <w:r w:rsidRPr="00AD54E1">
        <w:rPr>
          <w:spacing w:val="40"/>
          <w:u w:val="single"/>
        </w:rPr>
        <w:t>Povinná publicita</w:t>
      </w:r>
    </w:p>
    <w:p w:rsidR="00AD54E1" w:rsidRPr="00AD54E1" w:rsidRDefault="00AD54E1" w:rsidP="00AD54E1">
      <w:pPr>
        <w:pStyle w:val="Odstavecseseznamem"/>
        <w:numPr>
          <w:ilvl w:val="0"/>
          <w:numId w:val="88"/>
        </w:numPr>
        <w:jc w:val="both"/>
        <w:rPr>
          <w:bCs/>
        </w:rPr>
      </w:pPr>
      <w:r>
        <w:rPr>
          <w:bCs/>
        </w:rPr>
        <w:t xml:space="preserve">Viz kapitola 13 Obecných pravidel. </w:t>
      </w:r>
    </w:p>
    <w:p w:rsidR="005F0FD5" w:rsidRPr="007A29A4" w:rsidRDefault="005F0FD5" w:rsidP="00A46957">
      <w:pPr>
        <w:pStyle w:val="Nadpis3"/>
        <w:spacing w:after="120"/>
      </w:pPr>
      <w:bookmarkStart w:id="74" w:name="_Toc444247656"/>
      <w:r w:rsidRPr="007A29A4">
        <w:t>Dokladování způsobilých výdajů projektu</w:t>
      </w:r>
      <w:bookmarkEnd w:id="74"/>
    </w:p>
    <w:tbl>
      <w:tblPr>
        <w:tblStyle w:val="Mkatabulky"/>
        <w:tblW w:w="0" w:type="auto"/>
        <w:tblInd w:w="108" w:type="dxa"/>
        <w:tblLook w:val="04A0" w:firstRow="1" w:lastRow="0" w:firstColumn="1" w:lastColumn="0" w:noHBand="0" w:noVBand="1"/>
      </w:tblPr>
      <w:tblGrid>
        <w:gridCol w:w="4438"/>
        <w:gridCol w:w="4634"/>
      </w:tblGrid>
      <w:tr w:rsidR="005F0FD5" w:rsidRPr="00A46957" w:rsidTr="000077CB">
        <w:tc>
          <w:tcPr>
            <w:tcW w:w="4438" w:type="dxa"/>
          </w:tcPr>
          <w:p w:rsidR="005F0FD5" w:rsidRPr="00A46957" w:rsidRDefault="005F0FD5" w:rsidP="0019639B">
            <w:pPr>
              <w:rPr>
                <w:rFonts w:asciiTheme="majorHAnsi" w:hAnsiTheme="majorHAnsi"/>
                <w:b/>
                <w:sz w:val="22"/>
                <w:szCs w:val="22"/>
                <w:lang w:val="cs-CZ"/>
              </w:rPr>
            </w:pPr>
            <w:r w:rsidRPr="00A46957">
              <w:rPr>
                <w:rFonts w:asciiTheme="majorHAnsi" w:hAnsiTheme="majorHAnsi"/>
                <w:b/>
                <w:sz w:val="22"/>
                <w:szCs w:val="22"/>
                <w:lang w:val="cs-CZ"/>
              </w:rPr>
              <w:t>Stavb</w:t>
            </w:r>
            <w:r w:rsidR="0019639B" w:rsidRPr="00A46957">
              <w:rPr>
                <w:rFonts w:asciiTheme="majorHAnsi" w:hAnsiTheme="majorHAnsi"/>
                <w:b/>
                <w:sz w:val="22"/>
                <w:szCs w:val="22"/>
                <w:lang w:val="cs-CZ"/>
              </w:rPr>
              <w:t>y</w:t>
            </w:r>
          </w:p>
        </w:tc>
        <w:tc>
          <w:tcPr>
            <w:tcW w:w="4634" w:type="dxa"/>
          </w:tcPr>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účetní/daňové doklady se zřejmou identifikací předmětu plnění pro posouzení způsobilosti výdaje;</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předávací protokol;</w:t>
            </w:r>
          </w:p>
          <w:p w:rsidR="00E0108F" w:rsidRPr="00A46957" w:rsidRDefault="00E0108F"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technický list izolantu, zateplovacího system</w:t>
            </w:r>
            <w:r w:rsidR="00AD4E0F" w:rsidRPr="00A46957">
              <w:rPr>
                <w:rFonts w:asciiTheme="majorHAnsi" w:hAnsiTheme="majorHAnsi"/>
                <w:sz w:val="22"/>
                <w:lang w:val="cs-CZ" w:eastAsia="en-US"/>
              </w:rPr>
              <w:t>u</w:t>
            </w:r>
            <w:r w:rsidR="00A46957">
              <w:rPr>
                <w:rFonts w:asciiTheme="majorHAnsi" w:hAnsiTheme="majorHAnsi"/>
                <w:sz w:val="22"/>
                <w:lang w:val="cs-CZ" w:eastAsia="en-US"/>
              </w:rPr>
              <w:t>, oken a dveří,</w:t>
            </w:r>
            <w:r w:rsidR="00E45523" w:rsidRPr="00A46957">
              <w:rPr>
                <w:rFonts w:asciiTheme="majorHAnsi" w:hAnsiTheme="majorHAnsi"/>
                <w:sz w:val="22"/>
                <w:lang w:val="cs-CZ" w:eastAsia="en-US"/>
              </w:rPr>
              <w:t xml:space="preserve"> potvrzený dodavatelem</w:t>
            </w:r>
            <w:r w:rsidR="00A46957">
              <w:rPr>
                <w:rFonts w:asciiTheme="majorHAnsi" w:hAnsiTheme="majorHAnsi"/>
                <w:sz w:val="22"/>
                <w:lang w:val="cs-CZ" w:eastAsia="en-US"/>
              </w:rPr>
              <w:t>;</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pokud nelze posoudit způsobilost výdaje podle identifikace předmětu plnění, doložit objednávku, dodací list;</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doklad o zaplacení;</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smlouva o dílo (včetně položkového rozpočtu stavby);</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soubor čerpání odpovídající výdajům v dané žádosti o platbu ve struktuře položkového rozpočtu stavby v odpovídajícím elektronickém formátu;</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kolaudační rozhodnutí</w:t>
            </w:r>
            <w:r w:rsidR="00AE7796" w:rsidRPr="00A46957">
              <w:rPr>
                <w:rFonts w:asciiTheme="majorHAnsi" w:hAnsiTheme="majorHAnsi"/>
                <w:sz w:val="22"/>
                <w:lang w:val="cs-CZ" w:eastAsia="en-US"/>
              </w:rPr>
              <w:t xml:space="preserve"> v případech, kdy bylo vydáno stavební povolení</w:t>
            </w:r>
            <w:r w:rsidRPr="00A46957">
              <w:rPr>
                <w:rFonts w:asciiTheme="majorHAnsi" w:hAnsiTheme="majorHAnsi"/>
                <w:sz w:val="22"/>
                <w:lang w:val="cs-CZ" w:eastAsia="en-US"/>
              </w:rPr>
              <w:t>;</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rozhodnutí o předčasném užití stavby;</w:t>
            </w:r>
          </w:p>
          <w:p w:rsidR="005B7116" w:rsidRPr="00A46957" w:rsidRDefault="005B7116" w:rsidP="000077CB">
            <w:pPr>
              <w:pStyle w:val="Odstavecseseznamem"/>
              <w:numPr>
                <w:ilvl w:val="0"/>
                <w:numId w:val="90"/>
              </w:numPr>
              <w:ind w:left="274" w:hanging="274"/>
              <w:jc w:val="both"/>
              <w:rPr>
                <w:rFonts w:asciiTheme="majorHAnsi" w:hAnsiTheme="majorHAnsi"/>
                <w:sz w:val="22"/>
                <w:lang w:val="cs-CZ" w:eastAsia="en-US"/>
              </w:rPr>
            </w:pPr>
            <w:r w:rsidRPr="00A46957">
              <w:rPr>
                <w:rFonts w:asciiTheme="majorHAnsi" w:hAnsiTheme="majorHAnsi"/>
                <w:sz w:val="22"/>
                <w:lang w:val="cs-CZ" w:eastAsia="en-US"/>
              </w:rPr>
              <w:t>rozhodnutí o prozatímním užívání ke zkušebnímu provozu;</w:t>
            </w:r>
          </w:p>
          <w:p w:rsidR="005F0FD5" w:rsidRPr="00A46957" w:rsidRDefault="005B7116" w:rsidP="000077CB">
            <w:pPr>
              <w:pStyle w:val="Odstavecseseznamem"/>
              <w:numPr>
                <w:ilvl w:val="0"/>
                <w:numId w:val="90"/>
              </w:numPr>
              <w:ind w:left="274" w:hanging="274"/>
              <w:jc w:val="both"/>
              <w:rPr>
                <w:rFonts w:asciiTheme="majorHAnsi" w:hAnsiTheme="majorHAnsi"/>
                <w:b/>
                <w:bCs/>
                <w:lang w:val="cs-CZ"/>
              </w:rPr>
            </w:pPr>
            <w:r w:rsidRPr="00A46957">
              <w:rPr>
                <w:rFonts w:asciiTheme="majorHAnsi" w:hAnsiTheme="majorHAnsi"/>
                <w:bCs/>
                <w:sz w:val="22"/>
                <w:lang w:val="cs-CZ"/>
              </w:rPr>
              <w:t>doložení ceny obvyklé - způsob stanovení ceny od dodavatelů, neplatí pro ceny stanovené znaleckým posudkem a při výběru dodavatele na základě zadávacího nebo výběrového řízení.</w:t>
            </w:r>
          </w:p>
        </w:tc>
      </w:tr>
      <w:tr w:rsidR="005F0FD5" w:rsidRPr="00A46957" w:rsidTr="000077CB">
        <w:tc>
          <w:tcPr>
            <w:tcW w:w="4438" w:type="dxa"/>
          </w:tcPr>
          <w:p w:rsidR="005F0FD5" w:rsidRPr="00A46957" w:rsidRDefault="005F0FD5" w:rsidP="0019639B">
            <w:pPr>
              <w:rPr>
                <w:rFonts w:asciiTheme="majorHAnsi" w:hAnsiTheme="majorHAnsi"/>
                <w:b/>
                <w:sz w:val="22"/>
                <w:szCs w:val="22"/>
                <w:lang w:val="cs-CZ"/>
              </w:rPr>
            </w:pPr>
            <w:r w:rsidRPr="00A46957">
              <w:rPr>
                <w:rFonts w:asciiTheme="majorHAnsi" w:hAnsiTheme="majorHAnsi"/>
                <w:b/>
                <w:sz w:val="22"/>
                <w:szCs w:val="22"/>
                <w:lang w:val="cs-CZ"/>
              </w:rPr>
              <w:t xml:space="preserve">Pořízení </w:t>
            </w:r>
            <w:r w:rsidR="0019639B" w:rsidRPr="00A46957">
              <w:rPr>
                <w:rFonts w:asciiTheme="majorHAnsi" w:hAnsiTheme="majorHAnsi"/>
                <w:b/>
                <w:sz w:val="22"/>
                <w:szCs w:val="22"/>
                <w:lang w:val="cs-CZ"/>
              </w:rPr>
              <w:t>majetku</w:t>
            </w:r>
          </w:p>
        </w:tc>
        <w:tc>
          <w:tcPr>
            <w:tcW w:w="4634" w:type="dxa"/>
          </w:tcPr>
          <w:p w:rsidR="00C66543" w:rsidRPr="00A46957" w:rsidRDefault="00C66543"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účetní/daňové doklady se zřejmou identifikací předmětu plnění pro posouzení způsobilosti výdaje;</w:t>
            </w:r>
          </w:p>
          <w:p w:rsidR="00E0108F" w:rsidRPr="00A46957" w:rsidRDefault="00E0108F"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předávací proto</w:t>
            </w:r>
            <w:r w:rsidR="00D666CC" w:rsidRPr="00A46957">
              <w:rPr>
                <w:rFonts w:asciiTheme="majorHAnsi" w:hAnsiTheme="majorHAnsi"/>
                <w:sz w:val="22"/>
                <w:lang w:val="cs-CZ" w:eastAsia="en-US"/>
              </w:rPr>
              <w:t>k</w:t>
            </w:r>
            <w:r w:rsidRPr="00A46957">
              <w:rPr>
                <w:rFonts w:asciiTheme="majorHAnsi" w:hAnsiTheme="majorHAnsi"/>
                <w:sz w:val="22"/>
                <w:lang w:val="cs-CZ" w:eastAsia="en-US"/>
              </w:rPr>
              <w:t>ol</w:t>
            </w:r>
            <w:r w:rsidR="00A46957">
              <w:rPr>
                <w:rFonts w:asciiTheme="majorHAnsi" w:hAnsiTheme="majorHAnsi"/>
                <w:sz w:val="22"/>
                <w:lang w:val="cs-CZ" w:eastAsia="en-US"/>
              </w:rPr>
              <w:t>;</w:t>
            </w:r>
          </w:p>
          <w:p w:rsidR="00E0108F" w:rsidRPr="00A46957" w:rsidRDefault="00E0108F"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technický list (v případě pořízení solárních termických kolektorů, plynového kondenzačního kotle, kotle na biomasu, systemu nuceného větrání se zpětným získáváním tepla)</w:t>
            </w:r>
            <w:r w:rsidR="00A46957">
              <w:rPr>
                <w:rFonts w:asciiTheme="majorHAnsi" w:hAnsiTheme="majorHAnsi"/>
                <w:sz w:val="22"/>
                <w:lang w:val="cs-CZ" w:eastAsia="en-US"/>
              </w:rPr>
              <w:t>,</w:t>
            </w:r>
            <w:r w:rsidR="003F3E07" w:rsidRPr="00A46957">
              <w:rPr>
                <w:rFonts w:asciiTheme="majorHAnsi" w:hAnsiTheme="majorHAnsi"/>
                <w:sz w:val="22"/>
                <w:lang w:val="cs-CZ" w:eastAsia="en-US"/>
              </w:rPr>
              <w:t xml:space="preserve"> </w:t>
            </w:r>
            <w:r w:rsidR="00E45523" w:rsidRPr="00A46957">
              <w:rPr>
                <w:rFonts w:asciiTheme="majorHAnsi" w:hAnsiTheme="majorHAnsi"/>
                <w:sz w:val="22"/>
                <w:lang w:val="cs-CZ" w:eastAsia="en-US"/>
              </w:rPr>
              <w:t>potvrzený dodavatelem</w:t>
            </w:r>
            <w:r w:rsidR="00A46957">
              <w:rPr>
                <w:rFonts w:asciiTheme="majorHAnsi" w:hAnsiTheme="majorHAnsi"/>
                <w:sz w:val="22"/>
                <w:lang w:val="cs-CZ" w:eastAsia="en-US"/>
              </w:rPr>
              <w:t>;</w:t>
            </w:r>
          </w:p>
          <w:p w:rsidR="0019639B" w:rsidRPr="00A46957" w:rsidRDefault="00C66543"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pokud nelze posoudit způsobilost výdaje podle identifikace předmětu plnění, doložit objednávku, dodací list, </w:t>
            </w:r>
            <w:r w:rsidR="0019639B" w:rsidRPr="00A46957">
              <w:rPr>
                <w:rFonts w:asciiTheme="majorHAnsi" w:hAnsiTheme="majorHAnsi"/>
                <w:sz w:val="22"/>
                <w:lang w:val="cs-CZ" w:eastAsia="en-US"/>
              </w:rPr>
              <w:t>předávací protokol;</w:t>
            </w:r>
          </w:p>
          <w:p w:rsidR="00C66543" w:rsidRPr="00A46957" w:rsidRDefault="00C66543"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doklad o zaplacení;</w:t>
            </w:r>
          </w:p>
          <w:p w:rsidR="0019639B" w:rsidRPr="00A46957" w:rsidRDefault="00C66543" w:rsidP="000077C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smlouva</w:t>
            </w:r>
            <w:r w:rsidR="0019639B" w:rsidRPr="00A46957">
              <w:rPr>
                <w:rFonts w:asciiTheme="majorHAnsi" w:hAnsiTheme="majorHAnsi"/>
                <w:sz w:val="22"/>
                <w:lang w:val="cs-CZ" w:eastAsia="en-US"/>
              </w:rPr>
              <w:t xml:space="preserve">, </w:t>
            </w:r>
            <w:r w:rsidR="0019639B" w:rsidRPr="00A46957">
              <w:rPr>
                <w:rFonts w:asciiTheme="majorHAnsi" w:hAnsiTheme="majorHAnsi"/>
                <w:sz w:val="22"/>
                <w:szCs w:val="22"/>
                <w:lang w:val="cs-CZ"/>
              </w:rPr>
              <w:t>případně její dodatky;</w:t>
            </w:r>
            <w:r w:rsidRPr="00A46957">
              <w:rPr>
                <w:rFonts w:asciiTheme="majorHAnsi" w:hAnsiTheme="majorHAnsi"/>
                <w:sz w:val="22"/>
                <w:lang w:val="cs-CZ" w:eastAsia="en-US"/>
              </w:rPr>
              <w:t xml:space="preserve"> </w:t>
            </w:r>
          </w:p>
          <w:p w:rsidR="005F0FD5" w:rsidRPr="00A46957" w:rsidRDefault="0019639B" w:rsidP="000077CB">
            <w:pPr>
              <w:pStyle w:val="Odstavecseseznamem"/>
              <w:numPr>
                <w:ilvl w:val="0"/>
                <w:numId w:val="91"/>
              </w:numPr>
              <w:ind w:left="274" w:hanging="274"/>
              <w:jc w:val="both"/>
              <w:rPr>
                <w:rFonts w:asciiTheme="majorHAnsi" w:hAnsiTheme="majorHAnsi"/>
                <w:b/>
                <w:bCs/>
                <w:lang w:val="cs-CZ"/>
              </w:rPr>
            </w:pPr>
            <w:r w:rsidRPr="00A46957">
              <w:rPr>
                <w:rFonts w:asciiTheme="majorHAnsi" w:hAnsiTheme="majorHAnsi"/>
                <w:sz w:val="22"/>
                <w:lang w:val="cs-CZ"/>
              </w:rPr>
              <w:t>d</w:t>
            </w:r>
            <w:r w:rsidR="00C66543" w:rsidRPr="00A46957">
              <w:rPr>
                <w:rFonts w:asciiTheme="majorHAnsi" w:hAnsiTheme="majorHAnsi"/>
                <w:sz w:val="22"/>
                <w:lang w:val="cs-CZ"/>
              </w:rPr>
              <w:t xml:space="preserve">oložení ceny obvyklé - způsob stanovení ceny od dodavatelů, neplatí pro ceny stanovené znaleckým posudkem a při výběru dodavatele na základě zadávacího </w:t>
            </w:r>
            <w:r w:rsidR="00C66543" w:rsidRPr="00A46957">
              <w:rPr>
                <w:rFonts w:asciiTheme="majorHAnsi" w:hAnsiTheme="majorHAnsi"/>
                <w:sz w:val="22"/>
                <w:lang w:val="cs-CZ"/>
              </w:rPr>
              <w:lastRenderedPageBreak/>
              <w:t>nebo výběrového řízení.</w:t>
            </w:r>
          </w:p>
        </w:tc>
      </w:tr>
      <w:tr w:rsidR="0076682B" w:rsidRPr="00A46957" w:rsidTr="007A29A4">
        <w:tc>
          <w:tcPr>
            <w:tcW w:w="4438" w:type="dxa"/>
          </w:tcPr>
          <w:p w:rsidR="0076682B" w:rsidRPr="00A46957" w:rsidRDefault="0076682B" w:rsidP="0019639B">
            <w:pPr>
              <w:spacing w:after="200"/>
              <w:rPr>
                <w:rFonts w:asciiTheme="majorHAnsi" w:hAnsiTheme="majorHAnsi"/>
                <w:b/>
                <w:sz w:val="22"/>
                <w:szCs w:val="22"/>
                <w:lang w:val="cs-CZ"/>
              </w:rPr>
            </w:pPr>
            <w:r w:rsidRPr="00A46957">
              <w:rPr>
                <w:rFonts w:asciiTheme="majorHAnsi" w:hAnsiTheme="majorHAnsi"/>
                <w:b/>
                <w:sz w:val="22"/>
                <w:szCs w:val="22"/>
                <w:lang w:val="cs-CZ"/>
              </w:rPr>
              <w:lastRenderedPageBreak/>
              <w:t>Zabezpečení výstavby</w:t>
            </w:r>
          </w:p>
        </w:tc>
        <w:tc>
          <w:tcPr>
            <w:tcW w:w="4634" w:type="dxa"/>
          </w:tcPr>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účetní/daňové doklady se zřejmou identifikací předmětu plnění pro posouzení způsobilosti výdaje;</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pokud nelze posoudit způsobilost výdaje podle identifikace předmětu plnění, doložit objednávku, dodací list, předávací protokol;</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doklad o zaplacení;</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smlouva, </w:t>
            </w:r>
            <w:r w:rsidRPr="00A46957">
              <w:rPr>
                <w:rFonts w:asciiTheme="majorHAnsi" w:hAnsiTheme="majorHAnsi"/>
                <w:sz w:val="22"/>
                <w:szCs w:val="22"/>
                <w:lang w:val="cs-CZ"/>
              </w:rPr>
              <w:t>případně její dodatky;</w:t>
            </w:r>
            <w:r w:rsidRPr="00A46957">
              <w:rPr>
                <w:rFonts w:asciiTheme="majorHAnsi" w:hAnsiTheme="majorHAnsi"/>
                <w:sz w:val="22"/>
                <w:lang w:val="cs-CZ" w:eastAsia="en-US"/>
              </w:rPr>
              <w:t xml:space="preserve"> </w:t>
            </w:r>
          </w:p>
          <w:p w:rsidR="0076682B" w:rsidRPr="00A46957" w:rsidDel="0019639B" w:rsidRDefault="0076682B" w:rsidP="0076682B">
            <w:pPr>
              <w:pStyle w:val="Odstavecseseznamem"/>
              <w:numPr>
                <w:ilvl w:val="0"/>
                <w:numId w:val="91"/>
              </w:numPr>
              <w:spacing w:after="200"/>
              <w:ind w:left="274" w:hanging="274"/>
              <w:jc w:val="both"/>
              <w:rPr>
                <w:rFonts w:asciiTheme="majorHAnsi" w:hAnsiTheme="majorHAnsi" w:cs="Symbol"/>
                <w:lang w:val="cs-CZ" w:eastAsia="en-US"/>
              </w:rPr>
            </w:pPr>
            <w:r w:rsidRPr="00A46957">
              <w:rPr>
                <w:rFonts w:asciiTheme="majorHAnsi" w:hAnsiTheme="majorHAnsi"/>
                <w:sz w:val="22"/>
                <w:lang w:val="cs-CZ"/>
              </w:rPr>
              <w:t>doložení ceny obvyklé - způsob stanovení ceny od dodavatelů, neplatí pro ceny stanovené znaleckým posudkem a při výběru dodavatele na základě zadávacího nebo výběrového řízení.</w:t>
            </w:r>
          </w:p>
        </w:tc>
      </w:tr>
      <w:tr w:rsidR="0076682B" w:rsidRPr="00A46957" w:rsidTr="007A29A4">
        <w:tc>
          <w:tcPr>
            <w:tcW w:w="4438" w:type="dxa"/>
          </w:tcPr>
          <w:p w:rsidR="0076682B" w:rsidRPr="00A46957" w:rsidRDefault="0076682B" w:rsidP="0019639B">
            <w:pPr>
              <w:spacing w:after="200"/>
              <w:rPr>
                <w:rFonts w:asciiTheme="majorHAnsi" w:hAnsiTheme="majorHAnsi"/>
                <w:b/>
                <w:sz w:val="22"/>
                <w:szCs w:val="22"/>
                <w:lang w:val="cs-CZ"/>
              </w:rPr>
            </w:pPr>
            <w:r w:rsidRPr="00A46957">
              <w:rPr>
                <w:rFonts w:asciiTheme="majorHAnsi" w:hAnsiTheme="majorHAnsi"/>
                <w:b/>
                <w:sz w:val="22"/>
                <w:szCs w:val="22"/>
                <w:lang w:val="cs-CZ"/>
              </w:rPr>
              <w:t>Projektová dokumentace</w:t>
            </w:r>
          </w:p>
        </w:tc>
        <w:tc>
          <w:tcPr>
            <w:tcW w:w="4634" w:type="dxa"/>
          </w:tcPr>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účetní/daňové doklady se zřejmou identifikací předmětu plnění pro posouzení způsobilosti výdaje;</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pokud nelze posoudit způsobilost výdaje podle identifikace předmětu plnění, doložit objednávku, dodací list, předávací protokol;</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doklad o zaplacení;</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smlouva, </w:t>
            </w:r>
            <w:r w:rsidRPr="00A46957">
              <w:rPr>
                <w:rFonts w:asciiTheme="majorHAnsi" w:hAnsiTheme="majorHAnsi"/>
                <w:sz w:val="22"/>
                <w:szCs w:val="22"/>
                <w:lang w:val="cs-CZ"/>
              </w:rPr>
              <w:t>případně její dodatky;</w:t>
            </w:r>
            <w:r w:rsidRPr="00A46957">
              <w:rPr>
                <w:rFonts w:asciiTheme="majorHAnsi" w:hAnsiTheme="majorHAnsi"/>
                <w:sz w:val="22"/>
                <w:lang w:val="cs-CZ" w:eastAsia="en-US"/>
              </w:rPr>
              <w:t xml:space="preserve"> </w:t>
            </w:r>
          </w:p>
          <w:p w:rsidR="0076682B" w:rsidRPr="00A46957" w:rsidRDefault="0076682B" w:rsidP="0076682B">
            <w:pPr>
              <w:pStyle w:val="Odstavecseseznamem"/>
              <w:numPr>
                <w:ilvl w:val="0"/>
                <w:numId w:val="91"/>
              </w:numPr>
              <w:spacing w:after="200"/>
              <w:ind w:left="274" w:hanging="274"/>
              <w:jc w:val="both"/>
              <w:rPr>
                <w:rFonts w:asciiTheme="majorHAnsi" w:hAnsiTheme="majorHAnsi"/>
                <w:sz w:val="22"/>
                <w:lang w:val="cs-CZ" w:eastAsia="en-US"/>
              </w:rPr>
            </w:pPr>
            <w:r w:rsidRPr="00A46957">
              <w:rPr>
                <w:rFonts w:asciiTheme="majorHAnsi" w:hAnsiTheme="majorHAnsi"/>
                <w:sz w:val="22"/>
                <w:lang w:val="cs-CZ"/>
              </w:rPr>
              <w:t>doložení ceny obvyklé - způsob stanovení ceny od dodavatelů, neplatí pro ceny stanovené znaleckým posudkem a při výběru dodavatele na základě zadávacího nebo výběrového řízení.</w:t>
            </w:r>
          </w:p>
        </w:tc>
      </w:tr>
      <w:tr w:rsidR="0076682B" w:rsidRPr="00A46957" w:rsidTr="007A29A4">
        <w:tc>
          <w:tcPr>
            <w:tcW w:w="4438" w:type="dxa"/>
          </w:tcPr>
          <w:p w:rsidR="0076682B" w:rsidRPr="00A46957" w:rsidRDefault="0076682B" w:rsidP="0019639B">
            <w:pPr>
              <w:spacing w:after="200"/>
              <w:rPr>
                <w:rFonts w:asciiTheme="majorHAnsi" w:hAnsiTheme="majorHAnsi"/>
                <w:b/>
                <w:sz w:val="22"/>
                <w:szCs w:val="22"/>
                <w:lang w:val="cs-CZ"/>
              </w:rPr>
            </w:pPr>
            <w:r w:rsidRPr="00A46957">
              <w:rPr>
                <w:rFonts w:asciiTheme="majorHAnsi" w:hAnsiTheme="majorHAnsi"/>
                <w:b/>
                <w:sz w:val="22"/>
                <w:szCs w:val="22"/>
                <w:lang w:val="cs-CZ"/>
              </w:rPr>
              <w:t>Pořízení služeb bezprostředně souvisejících s realizací projektu</w:t>
            </w:r>
          </w:p>
        </w:tc>
        <w:tc>
          <w:tcPr>
            <w:tcW w:w="4634" w:type="dxa"/>
          </w:tcPr>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účetní/daňové doklady s identifikací předmětu plnění pro posouzení způsobilosti;</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pokud nelze přesně posoudit způsobilost výdaje účetního nebo daňového dokladu, doložit jiné relevantní doklady, např. objednávku, dodací list, předávací protokol;</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doklady o zaplacení; výdaje za opakované výběrové řízení jsou způsobilé pouze v případě zrušení</w:t>
            </w:r>
            <w:r w:rsidR="00A46957">
              <w:rPr>
                <w:rFonts w:asciiTheme="majorHAnsi" w:hAnsiTheme="majorHAnsi"/>
                <w:sz w:val="22"/>
                <w:lang w:val="cs-CZ" w:eastAsia="en-US"/>
              </w:rPr>
              <w:t xml:space="preserve"> výběrového řízení podle zákona;</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smlouva o poskytnutí služeb, smlouva o dílo; </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způsob výpočtu alikvotní částky, pokud se uplatňuje poměrná část výdaje pro projekt;</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do</w:t>
            </w:r>
            <w:r w:rsidR="00A46957">
              <w:rPr>
                <w:rFonts w:asciiTheme="majorHAnsi" w:hAnsiTheme="majorHAnsi"/>
                <w:sz w:val="22"/>
                <w:lang w:val="cs-CZ" w:eastAsia="en-US"/>
              </w:rPr>
              <w:t>klad o zaplacení;</w:t>
            </w:r>
          </w:p>
          <w:p w:rsidR="0076682B" w:rsidRPr="00A46957" w:rsidRDefault="0076682B" w:rsidP="00617D1E">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popis způsobu výběru ceny od dodavatelů (neplatí pro ceny stanovené znaleckým posudkem a při výběru dodavatele na základě výběrového řízení)</w:t>
            </w:r>
            <w:r w:rsidR="001778D0" w:rsidRPr="00A46957">
              <w:rPr>
                <w:rFonts w:asciiTheme="majorHAnsi" w:hAnsiTheme="majorHAnsi"/>
                <w:sz w:val="22"/>
                <w:lang w:val="cs-CZ" w:eastAsia="en-US"/>
              </w:rPr>
              <w:t>;</w:t>
            </w:r>
          </w:p>
          <w:p w:rsidR="001778D0" w:rsidRPr="00A46957" w:rsidRDefault="001778D0" w:rsidP="00617D1E">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protokol výpočtu indikátorů podepsaný zpracovatelem.</w:t>
            </w:r>
          </w:p>
        </w:tc>
      </w:tr>
      <w:tr w:rsidR="0076682B" w:rsidRPr="00A46957" w:rsidTr="007A29A4">
        <w:tc>
          <w:tcPr>
            <w:tcW w:w="4438" w:type="dxa"/>
          </w:tcPr>
          <w:p w:rsidR="0076682B" w:rsidRPr="00A46957" w:rsidRDefault="0076682B" w:rsidP="0019639B">
            <w:pPr>
              <w:spacing w:after="200"/>
              <w:rPr>
                <w:rFonts w:asciiTheme="majorHAnsi" w:hAnsiTheme="majorHAnsi"/>
                <w:b/>
                <w:sz w:val="22"/>
                <w:szCs w:val="22"/>
                <w:lang w:val="cs-CZ"/>
              </w:rPr>
            </w:pPr>
            <w:r w:rsidRPr="00A46957">
              <w:rPr>
                <w:rFonts w:asciiTheme="majorHAnsi" w:hAnsiTheme="majorHAnsi"/>
                <w:b/>
                <w:sz w:val="22"/>
                <w:szCs w:val="22"/>
                <w:lang w:val="cs-CZ"/>
              </w:rPr>
              <w:t>Povinná publicita</w:t>
            </w:r>
          </w:p>
        </w:tc>
        <w:tc>
          <w:tcPr>
            <w:tcW w:w="4634" w:type="dxa"/>
          </w:tcPr>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účetní/daňové doklady s identifikací předmětu plnění pro posouzení </w:t>
            </w:r>
            <w:r w:rsidRPr="00A46957">
              <w:rPr>
                <w:rFonts w:asciiTheme="majorHAnsi" w:hAnsiTheme="majorHAnsi"/>
                <w:sz w:val="22"/>
                <w:lang w:val="cs-CZ" w:eastAsia="en-US"/>
              </w:rPr>
              <w:lastRenderedPageBreak/>
              <w:t>způsobilosti;</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pokud nelze posoudit způsobilost výdaje podle identifikace předmětu plnění, doložit objednávku, dodací list, předávací protokol;</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smlouva o poskytnutí služeb, smlouva o dílo;</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doklad o zaplacení; </w:t>
            </w:r>
          </w:p>
          <w:p w:rsidR="0076682B" w:rsidRPr="00A46957" w:rsidRDefault="0076682B" w:rsidP="0076682B">
            <w:pPr>
              <w:pStyle w:val="Odstavecseseznamem"/>
              <w:numPr>
                <w:ilvl w:val="0"/>
                <w:numId w:val="91"/>
              </w:numPr>
              <w:spacing w:after="200"/>
              <w:ind w:left="274" w:hanging="274"/>
              <w:jc w:val="both"/>
              <w:rPr>
                <w:rFonts w:asciiTheme="majorHAnsi" w:hAnsiTheme="majorHAnsi"/>
                <w:sz w:val="22"/>
                <w:lang w:val="cs-CZ" w:eastAsia="en-US"/>
              </w:rPr>
            </w:pPr>
            <w:r w:rsidRPr="00A46957">
              <w:rPr>
                <w:rFonts w:asciiTheme="majorHAnsi" w:hAnsiTheme="majorHAnsi"/>
                <w:sz w:val="22"/>
                <w:lang w:val="cs-CZ" w:eastAsia="en-US"/>
              </w:rPr>
              <w:t>doložení ceny obvyklé - způsob stanovení ceny od dodavatelů, neplatí pro ceny stanovené znaleckým posudkem a při výběru dodavatele na základě výběrového řízení.</w:t>
            </w:r>
          </w:p>
        </w:tc>
      </w:tr>
      <w:tr w:rsidR="0076682B" w:rsidRPr="00A46957" w:rsidTr="007A29A4">
        <w:tc>
          <w:tcPr>
            <w:tcW w:w="4438" w:type="dxa"/>
          </w:tcPr>
          <w:p w:rsidR="0076682B" w:rsidRPr="00A46957" w:rsidRDefault="0076682B" w:rsidP="0019639B">
            <w:pPr>
              <w:rPr>
                <w:rFonts w:asciiTheme="majorHAnsi" w:hAnsiTheme="majorHAnsi"/>
                <w:b/>
                <w:sz w:val="22"/>
                <w:szCs w:val="22"/>
                <w:lang w:val="cs-CZ"/>
              </w:rPr>
            </w:pPr>
            <w:r w:rsidRPr="00A46957">
              <w:rPr>
                <w:rFonts w:asciiTheme="majorHAnsi" w:hAnsiTheme="majorHAnsi"/>
                <w:b/>
                <w:sz w:val="22"/>
                <w:szCs w:val="22"/>
                <w:lang w:val="cs-CZ"/>
              </w:rPr>
              <w:lastRenderedPageBreak/>
              <w:t>DPH</w:t>
            </w:r>
          </w:p>
          <w:p w:rsidR="0076682B" w:rsidRPr="00A46957"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A46957">
              <w:rPr>
                <w:rFonts w:asciiTheme="majorHAnsi" w:hAnsiTheme="majorHAnsi"/>
                <w:b/>
                <w:sz w:val="22"/>
                <w:szCs w:val="22"/>
                <w:lang w:val="cs-CZ"/>
              </w:rPr>
              <w:t>pokud není nárok na odpočet vstupu u plátců DPH</w:t>
            </w:r>
          </w:p>
          <w:p w:rsidR="0076682B" w:rsidRPr="00A46957" w:rsidRDefault="0076682B" w:rsidP="0076682B">
            <w:pPr>
              <w:pStyle w:val="Odstavecseseznamem"/>
              <w:numPr>
                <w:ilvl w:val="0"/>
                <w:numId w:val="94"/>
              </w:numPr>
              <w:spacing w:after="200"/>
              <w:ind w:left="318" w:hanging="284"/>
              <w:rPr>
                <w:rFonts w:asciiTheme="majorHAnsi" w:hAnsiTheme="majorHAnsi"/>
                <w:b/>
                <w:sz w:val="22"/>
                <w:szCs w:val="22"/>
                <w:lang w:val="cs-CZ"/>
              </w:rPr>
            </w:pPr>
            <w:r w:rsidRPr="00A46957">
              <w:rPr>
                <w:rFonts w:asciiTheme="majorHAnsi" w:hAnsiTheme="majorHAnsi"/>
                <w:b/>
                <w:sz w:val="22"/>
                <w:szCs w:val="22"/>
                <w:lang w:val="cs-CZ"/>
              </w:rPr>
              <w:t>DPH je způsobilým výdajem, jen je-li způsobilým výdajem plnění, ke kterému se vztahuje.</w:t>
            </w:r>
          </w:p>
          <w:p w:rsidR="0076682B" w:rsidRPr="00A46957" w:rsidRDefault="0076682B" w:rsidP="0019639B">
            <w:pPr>
              <w:spacing w:after="200"/>
              <w:rPr>
                <w:rFonts w:asciiTheme="majorHAnsi" w:hAnsiTheme="majorHAnsi"/>
                <w:b/>
                <w:sz w:val="22"/>
                <w:szCs w:val="22"/>
                <w:lang w:val="cs-CZ"/>
              </w:rPr>
            </w:pPr>
          </w:p>
        </w:tc>
        <w:tc>
          <w:tcPr>
            <w:tcW w:w="4634" w:type="dxa"/>
          </w:tcPr>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registrace k DPH, pokud není součástí žádosti o podporu, příp. při změně z neplátce na plátce v průběhu realizace projektu;</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při využití plnění pro ekonomickou činnost a osvobozená plnění se dokládá výše skutečného (vypořádacího) koeficientu za vypořádávané období (výdaj se považuje za doložený až na základě vypořádacího koeficientu, kdy je známá skutečná výše výdaje); </w:t>
            </w:r>
          </w:p>
          <w:p w:rsidR="0076682B" w:rsidRPr="00A46957" w:rsidRDefault="0076682B" w:rsidP="0076682B">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daňové/účetní doklady s vyznačeným základem daně a sazbou DPH + doklad o úhradě dodavateli;</w:t>
            </w:r>
          </w:p>
          <w:p w:rsidR="0076682B" w:rsidRPr="00A46957" w:rsidRDefault="0076682B" w:rsidP="00617D1E">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při využití přenesené daňové povinnosti kopie evidence pro daňové účely a kopie výpisu z bankovního účtu jako doklad o úhradě daňové povinnosti </w:t>
            </w:r>
            <w:r w:rsidR="00483B1A" w:rsidRPr="00A46957">
              <w:rPr>
                <w:rFonts w:asciiTheme="majorHAnsi" w:hAnsiTheme="majorHAnsi"/>
                <w:sz w:val="22"/>
                <w:lang w:val="cs-CZ" w:eastAsia="en-US"/>
              </w:rPr>
              <w:t>orgánu finanční správy</w:t>
            </w:r>
            <w:r w:rsidRPr="00A46957">
              <w:rPr>
                <w:rFonts w:asciiTheme="majorHAnsi" w:hAnsiTheme="majorHAnsi"/>
                <w:sz w:val="22"/>
                <w:lang w:val="cs-CZ" w:eastAsia="en-US"/>
              </w:rPr>
              <w:t>.</w:t>
            </w:r>
          </w:p>
        </w:tc>
      </w:tr>
      <w:tr w:rsidR="0076682B" w:rsidRPr="00A46957" w:rsidTr="007A29A4">
        <w:tc>
          <w:tcPr>
            <w:tcW w:w="4438" w:type="dxa"/>
          </w:tcPr>
          <w:p w:rsidR="0076682B" w:rsidRPr="00A46957" w:rsidRDefault="00483B1A" w:rsidP="0019639B">
            <w:pPr>
              <w:spacing w:after="200"/>
              <w:rPr>
                <w:rFonts w:asciiTheme="majorHAnsi" w:hAnsiTheme="majorHAnsi"/>
                <w:b/>
                <w:sz w:val="22"/>
                <w:szCs w:val="22"/>
                <w:lang w:val="cs-CZ"/>
              </w:rPr>
            </w:pPr>
            <w:r w:rsidRPr="00A46957">
              <w:rPr>
                <w:rFonts w:asciiTheme="majorHAnsi" w:hAnsiTheme="majorHAnsi"/>
                <w:b/>
                <w:sz w:val="22"/>
                <w:szCs w:val="22"/>
                <w:lang w:val="cs-CZ"/>
              </w:rPr>
              <w:t>Účetní doklady do 10 000 Kč</w:t>
            </w:r>
          </w:p>
        </w:tc>
        <w:tc>
          <w:tcPr>
            <w:tcW w:w="4634" w:type="dxa"/>
          </w:tcPr>
          <w:p w:rsidR="00483B1A" w:rsidRPr="00A46957" w:rsidRDefault="00483B1A" w:rsidP="00483B1A">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Výdaje do 10 000 Kč lze uvést v Seznamu účetních v MS2014+ dokladů a nedokládat k nim faktury, paragony a další účetní doklady. </w:t>
            </w:r>
          </w:p>
          <w:p w:rsidR="00483B1A" w:rsidRPr="00A46957" w:rsidRDefault="00483B1A" w:rsidP="00483B1A">
            <w:pPr>
              <w:pStyle w:val="Odstavecseseznamem"/>
              <w:numPr>
                <w:ilvl w:val="0"/>
                <w:numId w:val="91"/>
              </w:numPr>
              <w:ind w:left="274" w:hanging="274"/>
              <w:jc w:val="both"/>
              <w:rPr>
                <w:rFonts w:asciiTheme="majorHAnsi" w:hAnsiTheme="majorHAnsi"/>
                <w:sz w:val="22"/>
                <w:lang w:val="cs-CZ" w:eastAsia="en-US"/>
              </w:rPr>
            </w:pPr>
            <w:r w:rsidRPr="00A46957">
              <w:rPr>
                <w:rFonts w:asciiTheme="majorHAnsi" w:hAnsiTheme="majorHAnsi"/>
                <w:sz w:val="22"/>
                <w:lang w:val="cs-CZ" w:eastAsia="en-US"/>
              </w:rPr>
              <w:t xml:space="preserve">Maximální limit pro začlenění do seznamu účetních dokladů je 10 000 Kč včetně DPH za jeden účetní doklad. </w:t>
            </w:r>
          </w:p>
          <w:p w:rsidR="0076682B" w:rsidRPr="00A46957" w:rsidRDefault="00483B1A" w:rsidP="00483B1A">
            <w:pPr>
              <w:pStyle w:val="Odstavecseseznamem"/>
              <w:numPr>
                <w:ilvl w:val="0"/>
                <w:numId w:val="91"/>
              </w:numPr>
              <w:spacing w:after="200"/>
              <w:ind w:left="274" w:hanging="274"/>
              <w:jc w:val="both"/>
              <w:rPr>
                <w:rFonts w:asciiTheme="majorHAnsi" w:hAnsiTheme="majorHAnsi"/>
                <w:sz w:val="22"/>
                <w:lang w:val="cs-CZ" w:eastAsia="en-US"/>
              </w:rPr>
            </w:pPr>
            <w:r w:rsidRPr="00A46957">
              <w:rPr>
                <w:rFonts w:asciiTheme="majorHAnsi" w:hAnsiTheme="majorHAnsi"/>
                <w:sz w:val="22"/>
                <w:lang w:val="cs-CZ" w:eastAsia="en-US"/>
              </w:rPr>
              <w:t>Pro tyto výdaje platí povinnost předložit v případě kontroly originály příslušných účetních dokladů.</w:t>
            </w:r>
          </w:p>
        </w:tc>
      </w:tr>
    </w:tbl>
    <w:p w:rsidR="00B63056" w:rsidRDefault="00B63056" w:rsidP="00C76941">
      <w:pPr>
        <w:rPr>
          <w:b/>
        </w:rPr>
      </w:pPr>
    </w:p>
    <w:p w:rsidR="005F7E79" w:rsidRPr="00617D1E" w:rsidRDefault="0019384A" w:rsidP="00C76941">
      <w:pPr>
        <w:rPr>
          <w:b/>
        </w:rPr>
      </w:pPr>
      <w:r>
        <w:rPr>
          <w:b/>
        </w:rPr>
        <w:t>N</w:t>
      </w:r>
      <w:r w:rsidR="000C482D">
        <w:rPr>
          <w:b/>
        </w:rPr>
        <w:t>ezpůsobil</w:t>
      </w:r>
      <w:r>
        <w:rPr>
          <w:b/>
        </w:rPr>
        <w:t>é</w:t>
      </w:r>
      <w:r w:rsidR="000C482D">
        <w:rPr>
          <w:b/>
        </w:rPr>
        <w:t xml:space="preserve"> výdaj</w:t>
      </w:r>
      <w:r>
        <w:rPr>
          <w:b/>
        </w:rPr>
        <w:t>e</w:t>
      </w:r>
      <w:r w:rsidR="00147BFC" w:rsidRPr="00617D1E">
        <w:rPr>
          <w:b/>
        </w:rPr>
        <w:t>:</w:t>
      </w:r>
    </w:p>
    <w:p w:rsidR="00BD6104" w:rsidRDefault="00BD6104" w:rsidP="0037345D">
      <w:pPr>
        <w:pStyle w:val="Odstavecseseznamem"/>
        <w:numPr>
          <w:ilvl w:val="0"/>
          <w:numId w:val="89"/>
        </w:numPr>
        <w:ind w:left="709" w:hanging="425"/>
        <w:jc w:val="both"/>
        <w:rPr>
          <w:rFonts w:cs="Arial"/>
        </w:rPr>
      </w:pPr>
      <w:r>
        <w:rPr>
          <w:rFonts w:cs="Arial"/>
        </w:rPr>
        <w:t>v</w:t>
      </w:r>
      <w:r w:rsidRPr="000F20D7">
        <w:rPr>
          <w:rFonts w:cs="Arial"/>
        </w:rPr>
        <w:t>ýdaj, který není vynaložen v souladu s pravidly hospodárnosti, účelnosti a</w:t>
      </w:r>
      <w:r>
        <w:rPr>
          <w:rFonts w:cs="Arial"/>
        </w:rPr>
        <w:t> </w:t>
      </w:r>
      <w:r w:rsidRPr="000F20D7">
        <w:rPr>
          <w:rFonts w:cs="Arial"/>
        </w:rPr>
        <w:t xml:space="preserve"> efektivnosti a dalšími podmínkami v těchto pravidlech uvedenými</w:t>
      </w:r>
      <w:r w:rsidR="00041A8A">
        <w:rPr>
          <w:rFonts w:cs="Arial"/>
        </w:rPr>
        <w:t>,</w:t>
      </w:r>
    </w:p>
    <w:p w:rsidR="00BD6104" w:rsidRDefault="00BD6104" w:rsidP="0037345D">
      <w:pPr>
        <w:pStyle w:val="Odstavecseseznamem"/>
        <w:numPr>
          <w:ilvl w:val="0"/>
          <w:numId w:val="89"/>
        </w:numPr>
        <w:ind w:left="709" w:hanging="425"/>
        <w:jc w:val="both"/>
        <w:rPr>
          <w:rFonts w:cs="Arial"/>
        </w:rPr>
      </w:pPr>
      <w:r>
        <w:rPr>
          <w:rFonts w:cs="Arial"/>
        </w:rPr>
        <w:t>výdaje na vedlejší aktivity projektu, které přesahují 15 % ze způsobilých</w:t>
      </w:r>
      <w:r w:rsidR="00A46957">
        <w:rPr>
          <w:rFonts w:cs="Arial"/>
        </w:rPr>
        <w:t xml:space="preserve"> výdajů</w:t>
      </w:r>
      <w:r w:rsidR="00041A8A">
        <w:rPr>
          <w:rFonts w:cs="Arial"/>
        </w:rPr>
        <w:t>,</w:t>
      </w:r>
    </w:p>
    <w:p w:rsidR="00BD6104" w:rsidRDefault="00BD6104" w:rsidP="0037345D">
      <w:pPr>
        <w:pStyle w:val="Odstavecseseznamem"/>
        <w:numPr>
          <w:ilvl w:val="0"/>
          <w:numId w:val="89"/>
        </w:numPr>
        <w:ind w:left="709" w:hanging="425"/>
        <w:jc w:val="both"/>
        <w:rPr>
          <w:rFonts w:cs="Arial"/>
        </w:rPr>
      </w:pPr>
      <w:r>
        <w:rPr>
          <w:rFonts w:cs="Arial"/>
        </w:rPr>
        <w:t>výdaje v rozporu s motivačním účinkem (vi</w:t>
      </w:r>
      <w:r w:rsidR="00041A8A">
        <w:rPr>
          <w:rFonts w:cs="Arial"/>
        </w:rPr>
        <w:t>z příloha č. 4 těchto Pravidel),</w:t>
      </w:r>
    </w:p>
    <w:p w:rsidR="00386976" w:rsidRPr="00386976" w:rsidRDefault="00963C4A" w:rsidP="0037345D">
      <w:pPr>
        <w:pStyle w:val="Odstavecseseznamem"/>
        <w:numPr>
          <w:ilvl w:val="0"/>
          <w:numId w:val="89"/>
        </w:numPr>
        <w:ind w:left="709" w:hanging="425"/>
        <w:jc w:val="both"/>
        <w:rPr>
          <w:b/>
          <w:bCs/>
        </w:rPr>
      </w:pPr>
      <w:r>
        <w:lastRenderedPageBreak/>
        <w:t>n</w:t>
      </w:r>
      <w:r w:rsidR="005F7E79" w:rsidRPr="005F7E79">
        <w:t>áklady, které nejsou přímo spojeny s dosažením vyšší úrovně energetické účinnosti</w:t>
      </w:r>
      <w:r w:rsidR="008A5B42">
        <w:t xml:space="preserve"> (hromosvody, sušáky, antény, </w:t>
      </w:r>
      <w:r w:rsidR="001D2A8D">
        <w:t>okapy, okapové chodníky, elektroinstalace, zemní práce,</w:t>
      </w:r>
      <w:r w:rsidR="00751C7B">
        <w:t xml:space="preserve"> sítě proti hmyzu, malby, zasklívání lodžií,</w:t>
      </w:r>
      <w:r w:rsidR="001D2A8D">
        <w:t xml:space="preserve"> </w:t>
      </w:r>
      <w:r w:rsidR="00041A8A">
        <w:t>apod.),</w:t>
      </w:r>
    </w:p>
    <w:p w:rsidR="00CD0CA7" w:rsidRDefault="00CD0CA7" w:rsidP="0037345D">
      <w:pPr>
        <w:pStyle w:val="Odstavecseseznamem"/>
        <w:numPr>
          <w:ilvl w:val="0"/>
          <w:numId w:val="89"/>
        </w:numPr>
        <w:ind w:left="709" w:hanging="425"/>
        <w:jc w:val="both"/>
      </w:pPr>
      <w:r>
        <w:t>výdaje na přípravu a zpracování žádosti o podpo</w:t>
      </w:r>
      <w:r w:rsidR="006A6DBA">
        <w:t>ru a výdaje spojené s řízením a </w:t>
      </w:r>
      <w:r>
        <w:t>administrací projektu, s výjimkou zpra</w:t>
      </w:r>
      <w:r w:rsidR="006A6DBA">
        <w:t>cování podkladů pro hodnocení a </w:t>
      </w:r>
      <w:r>
        <w:t>zpracování zadávacích podmínek k  zakázkám a na organizaci v</w:t>
      </w:r>
      <w:r w:rsidR="006A6DBA">
        <w:t>ýběrových a </w:t>
      </w:r>
      <w:r w:rsidR="00041A8A">
        <w:t>zadávacích řízení,</w:t>
      </w:r>
    </w:p>
    <w:p w:rsidR="00E709AF" w:rsidRPr="000F20D7" w:rsidRDefault="00963C4A" w:rsidP="0037345D">
      <w:pPr>
        <w:pStyle w:val="Odstavecseseznamem"/>
        <w:numPr>
          <w:ilvl w:val="0"/>
          <w:numId w:val="89"/>
        </w:numPr>
        <w:ind w:left="709" w:hanging="425"/>
        <w:jc w:val="both"/>
        <w:rPr>
          <w:b/>
          <w:bCs/>
        </w:rPr>
      </w:pPr>
      <w:r>
        <w:t>u</w:t>
      </w:r>
      <w:r w:rsidR="00E709AF" w:rsidRPr="004533BA">
        <w:t>zavřené smlouvy s konzultanty nebo zprostředkovateli, u nichž je platba definována jako procentní sazba z celkových nákladů projektu</w:t>
      </w:r>
      <w:r w:rsidR="00041A8A">
        <w:t>,</w:t>
      </w:r>
    </w:p>
    <w:p w:rsidR="00333F5B" w:rsidRDefault="00333F5B" w:rsidP="0037345D">
      <w:pPr>
        <w:pStyle w:val="Odstavecseseznamem"/>
        <w:numPr>
          <w:ilvl w:val="0"/>
          <w:numId w:val="89"/>
        </w:numPr>
        <w:ind w:left="709" w:hanging="425"/>
        <w:jc w:val="both"/>
        <w:rPr>
          <w:rFonts w:cs="Arial"/>
        </w:rPr>
      </w:pPr>
      <w:r>
        <w:rPr>
          <w:rFonts w:cs="Arial"/>
        </w:rPr>
        <w:t>rozpočtová rezerva</w:t>
      </w:r>
      <w:r w:rsidR="00041A8A">
        <w:rPr>
          <w:rFonts w:cs="Arial"/>
        </w:rPr>
        <w:t>,</w:t>
      </w:r>
    </w:p>
    <w:p w:rsidR="00CD0CA7" w:rsidRPr="00C14894" w:rsidRDefault="006A6DBA" w:rsidP="0037345D">
      <w:pPr>
        <w:pStyle w:val="Odstavecseseznamem"/>
        <w:numPr>
          <w:ilvl w:val="0"/>
          <w:numId w:val="89"/>
        </w:numPr>
        <w:ind w:left="709" w:hanging="425"/>
        <w:jc w:val="both"/>
      </w:pPr>
      <w:r>
        <w:rPr>
          <w:rFonts w:cs="Arial"/>
        </w:rPr>
        <w:t>výdaje na nepovinnou publicitu</w:t>
      </w:r>
      <w:r w:rsidR="00041A8A">
        <w:rPr>
          <w:rFonts w:cs="Arial"/>
        </w:rPr>
        <w:t>,</w:t>
      </w:r>
    </w:p>
    <w:p w:rsidR="00CD0CA7" w:rsidRPr="0029463B" w:rsidRDefault="00CD0CA7" w:rsidP="0037345D">
      <w:pPr>
        <w:pStyle w:val="Odstavecseseznamem"/>
        <w:numPr>
          <w:ilvl w:val="0"/>
          <w:numId w:val="89"/>
        </w:numPr>
        <w:ind w:left="709" w:hanging="425"/>
        <w:jc w:val="both"/>
      </w:pPr>
      <w:r w:rsidRPr="0029463B">
        <w:rPr>
          <w:rFonts w:cs="Arial"/>
        </w:rPr>
        <w:t>DPH s nárokem na odpočet nebo její část, pokud žadatel má nárok na odpočet DPH ve smyslu zákona č. 235/200</w:t>
      </w:r>
      <w:r w:rsidR="006A6DBA">
        <w:rPr>
          <w:rFonts w:cs="Arial"/>
        </w:rPr>
        <w:t>4 Sb., o dani z přidané hodnoty</w:t>
      </w:r>
      <w:r w:rsidR="00041A8A">
        <w:rPr>
          <w:rFonts w:cs="Arial"/>
        </w:rPr>
        <w:t>,</w:t>
      </w:r>
      <w:r w:rsidRPr="0029463B">
        <w:rPr>
          <w:rFonts w:cs="Arial"/>
        </w:rPr>
        <w:t xml:space="preserve"> </w:t>
      </w:r>
    </w:p>
    <w:p w:rsidR="00CD0CA7" w:rsidRPr="00904252" w:rsidRDefault="00CD0CA7" w:rsidP="0037345D">
      <w:pPr>
        <w:pStyle w:val="Odstavecseseznamem"/>
        <w:numPr>
          <w:ilvl w:val="0"/>
          <w:numId w:val="89"/>
        </w:numPr>
        <w:ind w:left="709" w:hanging="425"/>
        <w:jc w:val="both"/>
      </w:pPr>
      <w:r w:rsidRPr="0029463B">
        <w:rPr>
          <w:rFonts w:cs="Arial"/>
        </w:rPr>
        <w:t>správní poplatky</w:t>
      </w:r>
      <w:r w:rsidR="00041A8A">
        <w:rPr>
          <w:rFonts w:cs="Arial"/>
        </w:rPr>
        <w:t>,</w:t>
      </w:r>
    </w:p>
    <w:p w:rsidR="00CD0CA7" w:rsidRPr="00F43F99" w:rsidRDefault="00CD0CA7" w:rsidP="0037345D">
      <w:pPr>
        <w:pStyle w:val="Odstavecseseznamem"/>
        <w:numPr>
          <w:ilvl w:val="0"/>
          <w:numId w:val="89"/>
        </w:numPr>
        <w:ind w:left="709" w:hanging="425"/>
        <w:jc w:val="both"/>
      </w:pPr>
      <w:r w:rsidRPr="00F43F99">
        <w:rPr>
          <w:rFonts w:cs="Arial"/>
        </w:rPr>
        <w:t>úroky z úvěrů,</w:t>
      </w:r>
      <w:r w:rsidR="006A6DBA">
        <w:rPr>
          <w:rFonts w:cs="Arial"/>
        </w:rPr>
        <w:t xml:space="preserve"> půjček, splátky úvěrů a půjček</w:t>
      </w:r>
      <w:r w:rsidR="00041A8A">
        <w:rPr>
          <w:rFonts w:cs="Arial"/>
        </w:rPr>
        <w:t>,</w:t>
      </w:r>
    </w:p>
    <w:p w:rsidR="00CD0CA7" w:rsidRPr="003F3E07" w:rsidRDefault="006A6DBA" w:rsidP="0037345D">
      <w:pPr>
        <w:pStyle w:val="Odstavecseseznamem"/>
        <w:numPr>
          <w:ilvl w:val="0"/>
          <w:numId w:val="89"/>
        </w:numPr>
        <w:ind w:left="709" w:hanging="425"/>
        <w:jc w:val="both"/>
      </w:pPr>
      <w:r>
        <w:rPr>
          <w:rFonts w:cs="Arial"/>
        </w:rPr>
        <w:t>pojištění</w:t>
      </w:r>
      <w:r w:rsidR="00041A8A">
        <w:rPr>
          <w:rFonts w:cs="Arial"/>
        </w:rPr>
        <w:t>,</w:t>
      </w:r>
    </w:p>
    <w:p w:rsidR="00CD0CA7" w:rsidRPr="003F3E07" w:rsidRDefault="006A6DBA" w:rsidP="0037345D">
      <w:pPr>
        <w:pStyle w:val="Odstavecseseznamem"/>
        <w:numPr>
          <w:ilvl w:val="0"/>
          <w:numId w:val="89"/>
        </w:numPr>
        <w:ind w:left="709" w:hanging="425"/>
        <w:jc w:val="both"/>
      </w:pPr>
      <w:r>
        <w:rPr>
          <w:rFonts w:cs="Arial"/>
        </w:rPr>
        <w:t>bankovní záruky</w:t>
      </w:r>
      <w:r w:rsidR="00041A8A">
        <w:rPr>
          <w:rFonts w:cs="Arial"/>
        </w:rPr>
        <w:t>,</w:t>
      </w:r>
    </w:p>
    <w:p w:rsidR="00CD0CA7" w:rsidRPr="003F3E07" w:rsidRDefault="006A6DBA" w:rsidP="0037345D">
      <w:pPr>
        <w:pStyle w:val="Odstavecseseznamem"/>
        <w:numPr>
          <w:ilvl w:val="0"/>
          <w:numId w:val="89"/>
        </w:numPr>
        <w:ind w:left="709" w:hanging="425"/>
        <w:jc w:val="both"/>
      </w:pPr>
      <w:r>
        <w:rPr>
          <w:rFonts w:cs="Arial"/>
        </w:rPr>
        <w:t>pokuty</w:t>
      </w:r>
      <w:r w:rsidR="00041A8A">
        <w:rPr>
          <w:rFonts w:cs="Arial"/>
        </w:rPr>
        <w:t>,</w:t>
      </w:r>
    </w:p>
    <w:p w:rsidR="00CD0CA7" w:rsidRPr="00E34D9A" w:rsidRDefault="006A6DBA" w:rsidP="0037345D">
      <w:pPr>
        <w:pStyle w:val="Odstavecseseznamem"/>
        <w:numPr>
          <w:ilvl w:val="0"/>
          <w:numId w:val="89"/>
        </w:numPr>
        <w:ind w:left="709" w:hanging="425"/>
        <w:jc w:val="both"/>
      </w:pPr>
      <w:r>
        <w:rPr>
          <w:rFonts w:cs="Arial"/>
        </w:rPr>
        <w:t>manka a škody</w:t>
      </w:r>
      <w:r w:rsidR="00041A8A">
        <w:rPr>
          <w:rFonts w:cs="Arial"/>
        </w:rPr>
        <w:t>,</w:t>
      </w:r>
    </w:p>
    <w:p w:rsidR="00CD0CA7" w:rsidRPr="004C2687" w:rsidRDefault="00CD0CA7" w:rsidP="0037345D">
      <w:pPr>
        <w:pStyle w:val="Odstavecseseznamem"/>
        <w:numPr>
          <w:ilvl w:val="0"/>
          <w:numId w:val="89"/>
        </w:numPr>
        <w:ind w:left="709" w:hanging="425"/>
        <w:jc w:val="both"/>
      </w:pPr>
      <w:r w:rsidRPr="00FA2DCC">
        <w:rPr>
          <w:rFonts w:cs="Arial"/>
        </w:rPr>
        <w:t>jiné daně (</w:t>
      </w:r>
      <w:r w:rsidRPr="0006461B">
        <w:rPr>
          <w:rFonts w:cs="Arial"/>
        </w:rPr>
        <w:t xml:space="preserve">daň z nemovitých věcí, daň </w:t>
      </w:r>
      <w:r w:rsidR="006A6DBA">
        <w:rPr>
          <w:rFonts w:cs="Arial"/>
        </w:rPr>
        <w:t>darovací, daň dědická apod.)</w:t>
      </w:r>
      <w:r w:rsidR="00041A8A">
        <w:rPr>
          <w:rFonts w:cs="Arial"/>
        </w:rPr>
        <w:t>,</w:t>
      </w:r>
    </w:p>
    <w:p w:rsidR="00CD0CA7" w:rsidRPr="00431946" w:rsidRDefault="006A6DBA" w:rsidP="0037345D">
      <w:pPr>
        <w:pStyle w:val="Odstavecseseznamem"/>
        <w:numPr>
          <w:ilvl w:val="0"/>
          <w:numId w:val="89"/>
        </w:numPr>
        <w:ind w:left="709" w:hanging="425"/>
        <w:jc w:val="both"/>
      </w:pPr>
      <w:r>
        <w:rPr>
          <w:rFonts w:cs="Arial"/>
        </w:rPr>
        <w:t>cla</w:t>
      </w:r>
      <w:r w:rsidR="00041A8A">
        <w:rPr>
          <w:rFonts w:cs="Arial"/>
        </w:rPr>
        <w:t>,</w:t>
      </w:r>
    </w:p>
    <w:p w:rsidR="00CD0CA7" w:rsidRPr="00431946" w:rsidRDefault="00CD0CA7" w:rsidP="0037345D">
      <w:pPr>
        <w:pStyle w:val="Odstavecseseznamem"/>
        <w:numPr>
          <w:ilvl w:val="0"/>
          <w:numId w:val="89"/>
        </w:numPr>
        <w:ind w:left="709" w:hanging="425"/>
        <w:jc w:val="both"/>
      </w:pPr>
      <w:r w:rsidRPr="00431946">
        <w:rPr>
          <w:rFonts w:cs="Arial"/>
        </w:rPr>
        <w:t>výdaje, které jsou součástí likvidace společnos</w:t>
      </w:r>
      <w:r w:rsidR="006A6DBA">
        <w:rPr>
          <w:rFonts w:cs="Arial"/>
        </w:rPr>
        <w:t>ti, nedobytné pohledávky a jiné</w:t>
      </w:r>
      <w:r w:rsidR="00041A8A">
        <w:rPr>
          <w:rFonts w:cs="Arial"/>
        </w:rPr>
        <w:t>,</w:t>
      </w:r>
    </w:p>
    <w:p w:rsidR="00CD0CA7" w:rsidRPr="00431946" w:rsidRDefault="00CD0CA7" w:rsidP="0037345D">
      <w:pPr>
        <w:pStyle w:val="Odstavecseseznamem"/>
        <w:numPr>
          <w:ilvl w:val="0"/>
          <w:numId w:val="89"/>
        </w:numPr>
        <w:ind w:left="709" w:hanging="425"/>
        <w:jc w:val="both"/>
      </w:pPr>
      <w:r w:rsidRPr="00431946">
        <w:rPr>
          <w:rFonts w:cs="Arial"/>
        </w:rPr>
        <w:t>výdaje na právní spory vzniklé v souvislosti s projektem, např. výdaje na uhrazení soudního poplatku, na pořízení důkazů, na právní zastoupení v případě sporu,</w:t>
      </w:r>
    </w:p>
    <w:p w:rsidR="00E00EC5" w:rsidRPr="00431946" w:rsidRDefault="006A6DBA" w:rsidP="0037345D">
      <w:pPr>
        <w:pStyle w:val="Odstavecseseznamem"/>
        <w:numPr>
          <w:ilvl w:val="0"/>
          <w:numId w:val="89"/>
        </w:numPr>
        <w:ind w:left="709" w:hanging="425"/>
        <w:jc w:val="both"/>
      </w:pPr>
      <w:r>
        <w:rPr>
          <w:rFonts w:cs="Arial"/>
        </w:rPr>
        <w:t>běžné provozní a režijní výdaje</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náklady na mzdy, platy, náhrady mezd a platů, ostatní osobní náklady, povinné p</w:t>
      </w:r>
      <w:r w:rsidR="006A6DBA">
        <w:rPr>
          <w:rFonts w:cs="Arial"/>
        </w:rPr>
        <w:t>ojistné hrazené zaměstnavatelem</w:t>
      </w:r>
      <w:r w:rsidR="00041A8A">
        <w:rPr>
          <w:rFonts w:cs="Arial"/>
        </w:rPr>
        <w:t>,</w:t>
      </w:r>
    </w:p>
    <w:p w:rsidR="00E00EC5" w:rsidRPr="00431946" w:rsidRDefault="006A6DBA" w:rsidP="0037345D">
      <w:pPr>
        <w:pStyle w:val="Odstavecseseznamem"/>
        <w:numPr>
          <w:ilvl w:val="0"/>
          <w:numId w:val="89"/>
        </w:numPr>
        <w:ind w:left="709" w:hanging="425"/>
        <w:jc w:val="both"/>
      </w:pPr>
      <w:r>
        <w:rPr>
          <w:rFonts w:cs="Arial"/>
        </w:rPr>
        <w:t>cestovní náhrady</w:t>
      </w:r>
      <w:r w:rsidR="00041A8A">
        <w:rPr>
          <w:rFonts w:cs="Arial"/>
        </w:rPr>
        <w:t>,</w:t>
      </w:r>
    </w:p>
    <w:p w:rsidR="00E00EC5" w:rsidRPr="00431946" w:rsidRDefault="006A6DBA" w:rsidP="0037345D">
      <w:pPr>
        <w:pStyle w:val="Odstavecseseznamem"/>
        <w:numPr>
          <w:ilvl w:val="0"/>
          <w:numId w:val="89"/>
        </w:numPr>
        <w:ind w:left="709" w:hanging="425"/>
        <w:jc w:val="both"/>
      </w:pPr>
      <w:r>
        <w:rPr>
          <w:rFonts w:cs="Arial"/>
        </w:rPr>
        <w:t>provize</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 xml:space="preserve">rezervy </w:t>
      </w:r>
      <w:r w:rsidR="006A6DBA">
        <w:rPr>
          <w:rFonts w:cs="Arial"/>
        </w:rPr>
        <w:t>na možné budoucí ztráty a dluhy</w:t>
      </w:r>
      <w:r w:rsidR="00041A8A">
        <w:rPr>
          <w:rFonts w:cs="Arial"/>
        </w:rPr>
        <w:t>,</w:t>
      </w:r>
    </w:p>
    <w:p w:rsidR="00E00EC5" w:rsidRPr="00431946" w:rsidRDefault="006A6DBA" w:rsidP="0037345D">
      <w:pPr>
        <w:pStyle w:val="Odstavecseseznamem"/>
        <w:numPr>
          <w:ilvl w:val="0"/>
          <w:numId w:val="89"/>
        </w:numPr>
        <w:ind w:left="709" w:hanging="425"/>
        <w:jc w:val="both"/>
      </w:pPr>
      <w:r>
        <w:rPr>
          <w:rFonts w:cs="Arial"/>
        </w:rPr>
        <w:t>kurzové ztráty</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odpisy dlouhodobéh</w:t>
      </w:r>
      <w:r w:rsidR="006A6DBA">
        <w:rPr>
          <w:rFonts w:cs="Arial"/>
        </w:rPr>
        <w:t>o hmotného a nehmotného majetku</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veškeré výdaje související se smlouvou operativního leasingu (daň, marže pronajímatele, výdaje na refinancování, režijní vý</w:t>
      </w:r>
      <w:r w:rsidR="006A6DBA">
        <w:rPr>
          <w:rFonts w:cs="Arial"/>
        </w:rPr>
        <w:t>daje, pojišťovací výlohy apod.)</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výdaje odpovídající svým vymezením účetní kategorii mimoř</w:t>
      </w:r>
      <w:r w:rsidR="006A6DBA">
        <w:rPr>
          <w:rFonts w:cs="Arial"/>
        </w:rPr>
        <w:t>ádných nákladů</w:t>
      </w:r>
      <w:r w:rsidR="00041A8A">
        <w:rPr>
          <w:rFonts w:cs="Arial"/>
        </w:rPr>
        <w:t>,</w:t>
      </w:r>
    </w:p>
    <w:p w:rsidR="00E00EC5" w:rsidRPr="00431946" w:rsidRDefault="006A6DBA" w:rsidP="0037345D">
      <w:pPr>
        <w:pStyle w:val="Odstavecseseznamem"/>
        <w:numPr>
          <w:ilvl w:val="0"/>
          <w:numId w:val="89"/>
        </w:numPr>
        <w:ind w:left="709" w:hanging="425"/>
        <w:jc w:val="both"/>
      </w:pPr>
      <w:r>
        <w:rPr>
          <w:rFonts w:cs="Arial"/>
        </w:rPr>
        <w:t>výdaje na audit projektu</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jakýkoli výdaj, který nesouvisí s činností spolufinancovanou</w:t>
      </w:r>
      <w:r w:rsidRPr="00431946">
        <w:rPr>
          <w:rFonts w:cs="Arial"/>
        </w:rPr>
        <w:br/>
        <w:t xml:space="preserve">ze strukturálních fondů nebo který není </w:t>
      </w:r>
      <w:r w:rsidR="006A6DBA">
        <w:rPr>
          <w:rFonts w:cs="Arial"/>
        </w:rPr>
        <w:t>možno doložit písemnými doklady</w:t>
      </w:r>
      <w:r w:rsidR="00041A8A">
        <w:rPr>
          <w:rFonts w:cs="Arial"/>
        </w:rPr>
        <w:t>,</w:t>
      </w:r>
    </w:p>
    <w:p w:rsidR="00E00EC5" w:rsidRPr="00431946" w:rsidRDefault="00E00EC5" w:rsidP="0037345D">
      <w:pPr>
        <w:pStyle w:val="Odstavecseseznamem"/>
        <w:numPr>
          <w:ilvl w:val="0"/>
          <w:numId w:val="89"/>
        </w:numPr>
        <w:ind w:left="709" w:hanging="425"/>
        <w:jc w:val="both"/>
      </w:pPr>
      <w:r w:rsidRPr="00431946">
        <w:rPr>
          <w:rFonts w:cs="Arial"/>
        </w:rPr>
        <w:t>další výdaje, u kterých nejsou dodrženy podmínky pro způsobilost výdajů, uvedené v tomto dokumentu.</w:t>
      </w:r>
    </w:p>
    <w:p w:rsidR="00CD0CA7" w:rsidRPr="000F20D7" w:rsidRDefault="00CD0CA7" w:rsidP="0008227D">
      <w:pPr>
        <w:pStyle w:val="Odstavecseseznamem"/>
        <w:ind w:left="709"/>
        <w:jc w:val="both"/>
        <w:rPr>
          <w:rFonts w:cs="Arial"/>
        </w:rPr>
      </w:pPr>
    </w:p>
    <w:p w:rsidR="00E709AF" w:rsidRPr="00C751E1" w:rsidRDefault="004533BA" w:rsidP="00C751E1">
      <w:pPr>
        <w:jc w:val="both"/>
        <w:rPr>
          <w:rFonts w:asciiTheme="majorHAnsi" w:hAnsiTheme="majorHAnsi" w:cs="Arial"/>
        </w:rPr>
      </w:pPr>
      <w:r w:rsidRPr="00C751E1">
        <w:rPr>
          <w:rFonts w:asciiTheme="majorHAnsi" w:hAnsiTheme="majorHAnsi" w:cs="Arial"/>
        </w:rPr>
        <w:t>Nezpůsobilé výdaje jsou vždy hrazeny ze zdrojů příjemce.</w:t>
      </w:r>
    </w:p>
    <w:p w:rsidR="00D3758D" w:rsidRDefault="004533BA" w:rsidP="00617D1E">
      <w:pPr>
        <w:pStyle w:val="Pravidla11"/>
        <w:numPr>
          <w:ilvl w:val="1"/>
          <w:numId w:val="63"/>
        </w:numPr>
      </w:pPr>
      <w:bookmarkStart w:id="75" w:name="_Toc436995473"/>
      <w:bookmarkStart w:id="76" w:name="_Toc436995563"/>
      <w:bookmarkStart w:id="77" w:name="_Toc444247657"/>
      <w:bookmarkEnd w:id="75"/>
      <w:bookmarkEnd w:id="76"/>
      <w:r>
        <w:lastRenderedPageBreak/>
        <w:t>I</w:t>
      </w:r>
      <w:r w:rsidR="00D3758D">
        <w:t>ndikátory</w:t>
      </w:r>
      <w:bookmarkEnd w:id="77"/>
    </w:p>
    <w:p w:rsidR="0037057D" w:rsidRPr="002965BE" w:rsidRDefault="0037057D" w:rsidP="0037057D">
      <w:r w:rsidRPr="002965BE">
        <w:t xml:space="preserve">Žadatel je </w:t>
      </w:r>
      <w:r>
        <w:t xml:space="preserve">povinen vybrat a naplnit </w:t>
      </w:r>
      <w:r w:rsidRPr="002965BE">
        <w:t>indikátor</w:t>
      </w:r>
      <w:r>
        <w:t>y</w:t>
      </w:r>
      <w:r w:rsidRPr="002965BE">
        <w:t xml:space="preserve"> pro zvolenou aktivitu.</w:t>
      </w:r>
      <w:r>
        <w:t xml:space="preserve"> Plánovaná hodnota indikátoru je závazná.</w:t>
      </w:r>
      <w:r w:rsidRPr="002965BE">
        <w:t>  Výběr indikátorů je součástí podání žádosti v systému MS2014+. K indikátoru musí být v žádosti vyplněna tato datová pole:</w:t>
      </w:r>
    </w:p>
    <w:p w:rsidR="0037057D" w:rsidRPr="002965BE" w:rsidRDefault="0037057D" w:rsidP="0037057D">
      <w:pPr>
        <w:pStyle w:val="Odstavecseseznamem"/>
        <w:numPr>
          <w:ilvl w:val="0"/>
          <w:numId w:val="54"/>
        </w:numPr>
        <w:jc w:val="both"/>
      </w:pPr>
      <w:r w:rsidRPr="00617D1E">
        <w:rPr>
          <w:b/>
        </w:rPr>
        <w:t>výchozí hodnota</w:t>
      </w:r>
      <w:r w:rsidRPr="002965BE">
        <w:t xml:space="preserve"> (v případě výstupových</w:t>
      </w:r>
      <w:r>
        <w:t xml:space="preserve"> indikátorů</w:t>
      </w:r>
      <w:r w:rsidRPr="002965BE">
        <w:t xml:space="preserve"> je automaticky načtena 0) a</w:t>
      </w:r>
      <w:r w:rsidR="00CD4970">
        <w:t> </w:t>
      </w:r>
      <w:r w:rsidRPr="002965BE">
        <w:t xml:space="preserve"> datum, ke kterému byla hodnota stanovena</w:t>
      </w:r>
      <w:r>
        <w:t>, tj. datum předložení žádosti o</w:t>
      </w:r>
      <w:r w:rsidR="00CD4970">
        <w:t> </w:t>
      </w:r>
      <w:r>
        <w:t xml:space="preserve"> podporu</w:t>
      </w:r>
      <w:r w:rsidRPr="002965BE">
        <w:t>;</w:t>
      </w:r>
    </w:p>
    <w:p w:rsidR="0037057D" w:rsidRPr="002965BE" w:rsidRDefault="0037057D" w:rsidP="0037057D">
      <w:pPr>
        <w:pStyle w:val="Odstavecseseznamem"/>
        <w:numPr>
          <w:ilvl w:val="0"/>
          <w:numId w:val="54"/>
        </w:numPr>
        <w:jc w:val="both"/>
      </w:pPr>
      <w:r w:rsidRPr="00617D1E">
        <w:rPr>
          <w:b/>
        </w:rPr>
        <w:t>cílová hodnota</w:t>
      </w:r>
      <w:r w:rsidRPr="002965BE">
        <w:t>, kterou se žadatel v projektu zavazuje dosáhnout a datum, ke kterému ji musí naplnit. Žadatel má povinnost hodnotu naplnit k datu ukončení realizace projektu</w:t>
      </w:r>
      <w:r>
        <w:t>.</w:t>
      </w:r>
    </w:p>
    <w:p w:rsidR="0037057D" w:rsidRPr="002965BE" w:rsidRDefault="0037057D" w:rsidP="00617D1E">
      <w:pPr>
        <w:jc w:val="both"/>
      </w:pPr>
      <w:r w:rsidRPr="002965BE">
        <w:t xml:space="preserve">Nenaplnění či </w:t>
      </w:r>
      <w:r>
        <w:t>překročení povolené tolerance</w:t>
      </w:r>
      <w:r w:rsidRPr="002965BE">
        <w:t xml:space="preserve"> vykazovan</w:t>
      </w:r>
      <w:r>
        <w:t>ého</w:t>
      </w:r>
      <w:r w:rsidRPr="002965BE">
        <w:t xml:space="preserve"> indikátor</w:t>
      </w:r>
      <w:r>
        <w:t>u</w:t>
      </w:r>
      <w:r w:rsidRPr="002965BE">
        <w:t xml:space="preserve"> k určenému datu jeho naplnění může vést ke krácení nebo nevyplacení dotace. Jeho neudržení po dobu udržitelnosti může mít charakter porušení rozpočtové kázně s následkem finanční sankce. Sankce jsou stanoveny v Podmínkách Rozhodnutí, nebo v Podmínkách Stanovení výdajů.</w:t>
      </w:r>
    </w:p>
    <w:p w:rsidR="0037057D" w:rsidRPr="002965BE" w:rsidRDefault="0037057D" w:rsidP="00617D1E">
      <w:pPr>
        <w:jc w:val="both"/>
      </w:pPr>
      <w:r w:rsidRPr="002965BE">
        <w:t>Vykazovat plnění indikátoru bude příjemce podpory ve zprávách o realizaci projektu a</w:t>
      </w:r>
      <w:r w:rsidR="00CD4970">
        <w:t> </w:t>
      </w:r>
      <w:r w:rsidRPr="002965BE">
        <w:t xml:space="preserve"> zprávách o udržitelnosti projektu, v datovém poli dosažená hodnota.</w:t>
      </w:r>
    </w:p>
    <w:p w:rsidR="0037057D" w:rsidRPr="002965BE" w:rsidRDefault="0037057D" w:rsidP="00617D1E">
      <w:pPr>
        <w:jc w:val="both"/>
      </w:pPr>
      <w:r w:rsidRPr="002965BE">
        <w:t>Pokud by během realizace projektu nastaly změny v projektu, které ovlivní výslednou hodnotu indikátoru, postupuje příjemce v souladu s kapitolou 16 Obecných pravidel.</w:t>
      </w:r>
    </w:p>
    <w:p w:rsidR="0037057D" w:rsidRPr="008D1F05" w:rsidRDefault="0037057D" w:rsidP="00617D1E">
      <w:pPr>
        <w:jc w:val="both"/>
        <w:rPr>
          <w:b/>
        </w:rPr>
      </w:pPr>
      <w:r w:rsidRPr="008D1F05">
        <w:rPr>
          <w:b/>
        </w:rPr>
        <w:t>Podrobné informace k jednotlivým indikátorům a závazná pravidla jejich vykazování a</w:t>
      </w:r>
      <w:r w:rsidR="00CD4970" w:rsidRPr="008D1F05">
        <w:rPr>
          <w:b/>
        </w:rPr>
        <w:t> </w:t>
      </w:r>
      <w:r w:rsidRPr="008D1F05">
        <w:rPr>
          <w:b/>
        </w:rPr>
        <w:t xml:space="preserve"> výpočtu obsahují metodické listy indikátorů v příloze č. 2 těchto Pravidel.</w:t>
      </w:r>
    </w:p>
    <w:p w:rsidR="00674B31" w:rsidRPr="009740FB" w:rsidRDefault="0037057D" w:rsidP="00674B31">
      <w:pPr>
        <w:jc w:val="both"/>
        <w:rPr>
          <w:rFonts w:asciiTheme="majorHAnsi" w:hAnsiTheme="majorHAnsi" w:cs="Arial"/>
          <w:b/>
        </w:rPr>
      </w:pPr>
      <w:r w:rsidRPr="009740FB">
        <w:rPr>
          <w:rFonts w:asciiTheme="majorHAnsi" w:hAnsiTheme="majorHAnsi" w:cs="Arial"/>
          <w:b/>
        </w:rPr>
        <w:t>Indikátory výstupu</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01 Počet domácností s lépe klasifikovanou spotřebou energie</w:t>
      </w:r>
    </w:p>
    <w:p w:rsidR="0037057D"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w:t>
      </w:r>
      <w:r w:rsidR="00AE7796">
        <w:rPr>
          <w:rFonts w:asciiTheme="majorHAnsi" w:hAnsiTheme="majorHAnsi" w:cs="Arial"/>
        </w:rPr>
        <w:t>je</w:t>
      </w:r>
      <w:r>
        <w:rPr>
          <w:rFonts w:asciiTheme="majorHAnsi" w:hAnsiTheme="majorHAnsi" w:cs="Arial"/>
        </w:rPr>
        <w:t xml:space="preserve"> snížení spotřeby energie</w:t>
      </w:r>
      <w:r w:rsidR="008D1F05">
        <w:rPr>
          <w:rFonts w:asciiTheme="majorHAnsi" w:hAnsiTheme="majorHAnsi" w:cs="Arial"/>
        </w:rPr>
        <w:t xml:space="preserve"> a prostřednictvím realizace podporovaných opatření dosáhnou</w:t>
      </w:r>
      <w:r>
        <w:rPr>
          <w:rFonts w:asciiTheme="majorHAnsi" w:hAnsiTheme="majorHAnsi" w:cs="Arial"/>
        </w:rPr>
        <w:t xml:space="preserve"> lepší</w:t>
      </w:r>
      <w:r w:rsidR="008D1F05">
        <w:rPr>
          <w:rFonts w:asciiTheme="majorHAnsi" w:hAnsiTheme="majorHAnsi" w:cs="Arial"/>
        </w:rPr>
        <w:t>ho</w:t>
      </w:r>
      <w:r>
        <w:rPr>
          <w:rFonts w:asciiTheme="majorHAnsi" w:hAnsiTheme="majorHAnsi" w:cs="Arial"/>
        </w:rPr>
        <w:t xml:space="preserve"> klasifikační stup</w:t>
      </w:r>
      <w:r w:rsidR="00BA7C25">
        <w:rPr>
          <w:rFonts w:asciiTheme="majorHAnsi" w:hAnsiTheme="majorHAnsi" w:cs="Arial"/>
        </w:rPr>
        <w:t>eň</w:t>
      </w:r>
      <w:r>
        <w:rPr>
          <w:rFonts w:asciiTheme="majorHAnsi" w:hAnsiTheme="majorHAnsi" w:cs="Arial"/>
        </w:rPr>
        <w:t xml:space="preserve"> podle protokol</w:t>
      </w:r>
      <w:r w:rsidR="00BA7C25">
        <w:rPr>
          <w:rFonts w:asciiTheme="majorHAnsi" w:hAnsiTheme="majorHAnsi" w:cs="Arial"/>
        </w:rPr>
        <w:t>u</w:t>
      </w:r>
      <w:r>
        <w:rPr>
          <w:rFonts w:asciiTheme="majorHAnsi" w:hAnsiTheme="majorHAnsi" w:cs="Arial"/>
        </w:rPr>
        <w:t xml:space="preserve"> průkaz</w:t>
      </w:r>
      <w:r w:rsidR="00BA7C25">
        <w:rPr>
          <w:rFonts w:asciiTheme="majorHAnsi" w:hAnsiTheme="majorHAnsi" w:cs="Arial"/>
        </w:rPr>
        <w:t>u</w:t>
      </w:r>
      <w:r>
        <w:rPr>
          <w:rFonts w:asciiTheme="majorHAnsi" w:hAnsiTheme="majorHAnsi" w:cs="Arial"/>
        </w:rPr>
        <w:t xml:space="preserve"> energetické náročnosti budov (rozdíl mezi klasifikační třídou před realizací a klasifikační třídou po realizaci bude roven minimálně jednomu stupni).</w:t>
      </w:r>
    </w:p>
    <w:p w:rsidR="0037057D" w:rsidRPr="00CF1F75" w:rsidRDefault="0037057D" w:rsidP="00674B31">
      <w:pPr>
        <w:jc w:val="both"/>
        <w:rPr>
          <w:rFonts w:asciiTheme="majorHAnsi" w:hAnsiTheme="majorHAnsi" w:cs="Arial"/>
          <w:b/>
        </w:rPr>
      </w:pPr>
      <w:r w:rsidRPr="00CF1F75">
        <w:rPr>
          <w:rFonts w:asciiTheme="majorHAnsi" w:hAnsiTheme="majorHAnsi" w:cs="Arial"/>
          <w:b/>
        </w:rPr>
        <w:t>3 24 02 Počet domácností se sníženou spotřebou energie bez zlepšení klasifikace spotřeby energie</w:t>
      </w:r>
    </w:p>
    <w:p w:rsidR="009740FB" w:rsidRDefault="0037057D" w:rsidP="00674B31">
      <w:pPr>
        <w:jc w:val="both"/>
        <w:rPr>
          <w:rFonts w:asciiTheme="majorHAnsi" w:hAnsiTheme="majorHAnsi" w:cs="Arial"/>
        </w:rPr>
      </w:pPr>
      <w:r>
        <w:rPr>
          <w:rFonts w:asciiTheme="majorHAnsi" w:hAnsiTheme="majorHAnsi" w:cs="Arial"/>
        </w:rPr>
        <w:t xml:space="preserve">Indikátor je povinný k výběru a naplnění u projektů, jejichž součástí jsou bytové jednotky, u kterých dojde </w:t>
      </w:r>
      <w:r w:rsidR="00BA7C25">
        <w:rPr>
          <w:rFonts w:asciiTheme="majorHAnsi" w:hAnsiTheme="majorHAnsi" w:cs="Arial"/>
        </w:rPr>
        <w:t>je</w:t>
      </w:r>
      <w:r>
        <w:rPr>
          <w:rFonts w:asciiTheme="majorHAnsi" w:hAnsiTheme="majorHAnsi" w:cs="Arial"/>
        </w:rPr>
        <w:t xml:space="preserve"> snížení spotřeby energie</w:t>
      </w:r>
      <w:r w:rsidR="001D6910">
        <w:rPr>
          <w:rFonts w:asciiTheme="majorHAnsi" w:hAnsiTheme="majorHAnsi" w:cs="Arial"/>
        </w:rPr>
        <w:t>, ale prostřednictvím realizace podporovaných opatření nedosáhnou lepšího klasifikačního stupně podle protokol</w:t>
      </w:r>
      <w:r w:rsidR="00BA7C25">
        <w:rPr>
          <w:rFonts w:asciiTheme="majorHAnsi" w:hAnsiTheme="majorHAnsi" w:cs="Arial"/>
        </w:rPr>
        <w:t>u</w:t>
      </w:r>
      <w:r w:rsidR="001D6910">
        <w:rPr>
          <w:rFonts w:asciiTheme="majorHAnsi" w:hAnsiTheme="majorHAnsi" w:cs="Arial"/>
        </w:rPr>
        <w:t xml:space="preserve"> průkaz</w:t>
      </w:r>
      <w:r w:rsidR="00BA7C25">
        <w:rPr>
          <w:rFonts w:asciiTheme="majorHAnsi" w:hAnsiTheme="majorHAnsi" w:cs="Arial"/>
        </w:rPr>
        <w:t>u</w:t>
      </w:r>
      <w:r w:rsidR="001D6910">
        <w:rPr>
          <w:rFonts w:asciiTheme="majorHAnsi" w:hAnsiTheme="majorHAnsi" w:cs="Arial"/>
        </w:rPr>
        <w:t xml:space="preserve"> energetické náročnosti budov (není rozdíl mezi klasifikační třídou před realizací a klasifikační třídou po realizaci).</w:t>
      </w:r>
    </w:p>
    <w:p w:rsidR="00CF1F75" w:rsidRPr="00CF1F75" w:rsidRDefault="00CF1F75" w:rsidP="00CF1F75">
      <w:pPr>
        <w:jc w:val="both"/>
        <w:rPr>
          <w:rFonts w:asciiTheme="majorHAnsi" w:hAnsiTheme="majorHAnsi" w:cs="Arial"/>
          <w:b/>
        </w:rPr>
      </w:pPr>
      <w:r w:rsidRPr="00CF1F75">
        <w:rPr>
          <w:rFonts w:asciiTheme="majorHAnsi" w:hAnsiTheme="majorHAnsi" w:cs="Arial"/>
          <w:b/>
        </w:rPr>
        <w:t>3 24 03 Počet domácností, u kterých došlo ke změně zdroje energie</w:t>
      </w:r>
    </w:p>
    <w:p w:rsidR="00CF1F75" w:rsidRDefault="00CF1F75" w:rsidP="00CF1F75">
      <w:pPr>
        <w:jc w:val="both"/>
        <w:rPr>
          <w:rFonts w:asciiTheme="majorHAnsi" w:hAnsiTheme="majorHAnsi" w:cs="Arial"/>
        </w:rPr>
      </w:pPr>
      <w:r>
        <w:rPr>
          <w:rFonts w:asciiTheme="majorHAnsi" w:hAnsiTheme="majorHAnsi" w:cs="Arial"/>
        </w:rPr>
        <w:t>Indikátor je povinný k výběru a naplnění u projektů, jejichž součástí je změna zdroje energie.</w:t>
      </w:r>
    </w:p>
    <w:p w:rsidR="009740FB" w:rsidRPr="00CF1F75" w:rsidRDefault="009740FB" w:rsidP="00674B31">
      <w:pPr>
        <w:jc w:val="both"/>
        <w:rPr>
          <w:rFonts w:asciiTheme="majorHAnsi" w:hAnsiTheme="majorHAnsi" w:cs="Arial"/>
          <w:b/>
        </w:rPr>
      </w:pPr>
      <w:r w:rsidRPr="00CF1F75">
        <w:rPr>
          <w:rFonts w:asciiTheme="majorHAnsi" w:hAnsiTheme="majorHAnsi" w:cs="Arial"/>
          <w:b/>
        </w:rPr>
        <w:lastRenderedPageBreak/>
        <w:t>3 60 10 Odhadované roční snížení emisí skleníkových plynů</w:t>
      </w:r>
    </w:p>
    <w:p w:rsidR="00BA7C25" w:rsidRDefault="00BA7C25" w:rsidP="00BA7C25">
      <w:pPr>
        <w:jc w:val="both"/>
        <w:rPr>
          <w:rFonts w:asciiTheme="majorHAnsi" w:hAnsiTheme="majorHAnsi" w:cs="Arial"/>
        </w:rPr>
      </w:pPr>
      <w:r>
        <w:rPr>
          <w:rFonts w:asciiTheme="majorHAnsi" w:hAnsiTheme="majorHAnsi" w:cs="Arial"/>
        </w:rPr>
        <w:t>Indikátor je povinný pro všechny projekty výzvy</w:t>
      </w:r>
      <w:r w:rsidR="004D32ED">
        <w:rPr>
          <w:rFonts w:asciiTheme="majorHAnsi" w:hAnsiTheme="majorHAnsi" w:cs="Arial"/>
        </w:rPr>
        <w:t>.</w:t>
      </w:r>
    </w:p>
    <w:p w:rsidR="009740FB" w:rsidRPr="009740FB" w:rsidRDefault="009740FB" w:rsidP="00674B31">
      <w:pPr>
        <w:jc w:val="both"/>
        <w:rPr>
          <w:rFonts w:asciiTheme="majorHAnsi" w:hAnsiTheme="majorHAnsi" w:cs="Arial"/>
          <w:b/>
        </w:rPr>
      </w:pPr>
      <w:r w:rsidRPr="009740FB">
        <w:rPr>
          <w:rFonts w:asciiTheme="majorHAnsi" w:hAnsiTheme="majorHAnsi" w:cs="Arial"/>
          <w:b/>
        </w:rPr>
        <w:t>Indikátory výsledku</w:t>
      </w:r>
    </w:p>
    <w:p w:rsidR="008D1F05" w:rsidRDefault="008D1F05" w:rsidP="00CF1F75">
      <w:pPr>
        <w:jc w:val="both"/>
        <w:rPr>
          <w:rFonts w:asciiTheme="majorHAnsi" w:hAnsiTheme="majorHAnsi" w:cs="Arial"/>
          <w:b/>
        </w:rPr>
      </w:pPr>
      <w:r w:rsidRPr="00CF1F75">
        <w:rPr>
          <w:rFonts w:asciiTheme="majorHAnsi" w:hAnsiTheme="majorHAnsi" w:cs="Arial"/>
          <w:b/>
        </w:rPr>
        <w:t>3 61 11 Množství emisí primárních části a prekurzorů sekundárních částic v rámci podpořených projektů</w:t>
      </w:r>
    </w:p>
    <w:p w:rsidR="004D32ED" w:rsidRDefault="004D32ED" w:rsidP="00CF1F75">
      <w:pPr>
        <w:jc w:val="both"/>
        <w:rPr>
          <w:rFonts w:asciiTheme="majorHAnsi" w:hAnsiTheme="majorHAnsi" w:cs="Arial"/>
        </w:rPr>
      </w:pPr>
      <w:r w:rsidRPr="004D32ED">
        <w:rPr>
          <w:rFonts w:asciiTheme="majorHAnsi" w:hAnsiTheme="majorHAnsi" w:cs="Arial"/>
        </w:rPr>
        <w:t>Indikátor je povinný k výběru a k naplnění pro projekty, ve kterých dochází k realizaci podporovaných opatření v objektech s vlastním zdrojem tepla, který spaluje pevná, kapalná, nebo plynná paliva.</w:t>
      </w:r>
    </w:p>
    <w:p w:rsidR="00CF1F75" w:rsidRPr="00790DEE" w:rsidRDefault="00CF1F75" w:rsidP="00CF1F75">
      <w:pPr>
        <w:jc w:val="both"/>
        <w:rPr>
          <w:rFonts w:asciiTheme="majorHAnsi" w:hAnsiTheme="majorHAnsi" w:cs="Arial"/>
          <w:b/>
        </w:rPr>
      </w:pPr>
      <w:r w:rsidRPr="00790DEE">
        <w:rPr>
          <w:rFonts w:asciiTheme="majorHAnsi" w:hAnsiTheme="majorHAnsi" w:cs="Arial"/>
          <w:b/>
        </w:rPr>
        <w:t>3 23 00 Snížení konečné spotřeby energie u podpořených subjektů</w:t>
      </w:r>
    </w:p>
    <w:p w:rsidR="00CF1F75" w:rsidRDefault="00CF1F75" w:rsidP="00674B31">
      <w:pPr>
        <w:jc w:val="both"/>
        <w:rPr>
          <w:rFonts w:asciiTheme="majorHAnsi" w:hAnsiTheme="majorHAnsi" w:cs="Arial"/>
        </w:rPr>
      </w:pPr>
      <w:r>
        <w:rPr>
          <w:rFonts w:asciiTheme="majorHAnsi" w:hAnsiTheme="majorHAnsi" w:cs="Arial"/>
        </w:rPr>
        <w:t>Indikátor je povinný k výběru a k naplnění pro všechny projekty.</w:t>
      </w:r>
    </w:p>
    <w:p w:rsidR="009740FB" w:rsidRPr="00CF1F75" w:rsidRDefault="009740FB" w:rsidP="00674B31">
      <w:pPr>
        <w:jc w:val="both"/>
        <w:rPr>
          <w:rFonts w:asciiTheme="majorHAnsi" w:hAnsiTheme="majorHAnsi" w:cs="Arial"/>
          <w:b/>
        </w:rPr>
      </w:pPr>
      <w:r w:rsidRPr="00CF1F75">
        <w:rPr>
          <w:rFonts w:asciiTheme="majorHAnsi" w:hAnsiTheme="majorHAnsi" w:cs="Arial"/>
          <w:b/>
        </w:rPr>
        <w:t>3 48 00 Výroba tepla z obnovitelných zdrojů energie</w:t>
      </w:r>
    </w:p>
    <w:p w:rsidR="009740FB" w:rsidRPr="00483B1A" w:rsidRDefault="009740FB" w:rsidP="00483B1A">
      <w:pPr>
        <w:jc w:val="both"/>
      </w:pPr>
      <w:r w:rsidRPr="00483B1A">
        <w:t>Indikátor je povinný k výběru u projektů, jejichž součástí je některé z následujících opatření:</w:t>
      </w:r>
    </w:p>
    <w:p w:rsidR="009740FB" w:rsidRPr="00483B1A" w:rsidRDefault="009740FB" w:rsidP="00617D1E">
      <w:pPr>
        <w:pStyle w:val="Odstavecseseznamem"/>
        <w:numPr>
          <w:ilvl w:val="0"/>
          <w:numId w:val="95"/>
        </w:numPr>
        <w:jc w:val="both"/>
      </w:pPr>
      <w:r w:rsidRPr="00483B1A">
        <w:t>kotel na biomasu</w:t>
      </w:r>
      <w:r w:rsidR="00483B1A">
        <w:t>,</w:t>
      </w:r>
    </w:p>
    <w:p w:rsidR="009740FB" w:rsidRPr="00483B1A" w:rsidRDefault="009740FB" w:rsidP="00617D1E">
      <w:pPr>
        <w:pStyle w:val="Odstavecseseznamem"/>
        <w:numPr>
          <w:ilvl w:val="0"/>
          <w:numId w:val="95"/>
        </w:numPr>
        <w:jc w:val="both"/>
      </w:pPr>
      <w:r w:rsidRPr="00483B1A">
        <w:t>tepelné čerpadlo</w:t>
      </w:r>
      <w:r w:rsidR="00483B1A">
        <w:t>,</w:t>
      </w:r>
    </w:p>
    <w:p w:rsidR="009740FB" w:rsidRDefault="009740FB" w:rsidP="00617D1E">
      <w:pPr>
        <w:pStyle w:val="Odstavecseseznamem"/>
        <w:numPr>
          <w:ilvl w:val="0"/>
          <w:numId w:val="95"/>
        </w:numPr>
        <w:jc w:val="both"/>
      </w:pPr>
      <w:r w:rsidRPr="00483B1A">
        <w:t>solární termické kolektory</w:t>
      </w:r>
      <w:r w:rsidR="00483B1A">
        <w:t>,</w:t>
      </w:r>
    </w:p>
    <w:p w:rsidR="002B2DA8" w:rsidRPr="002B2DA8" w:rsidRDefault="002B2DA8" w:rsidP="002B2DA8">
      <w:pPr>
        <w:pStyle w:val="Odstavecseseznamem"/>
        <w:numPr>
          <w:ilvl w:val="0"/>
          <w:numId w:val="95"/>
        </w:numPr>
      </w:pPr>
      <w:r w:rsidRPr="002B2DA8">
        <w:t>solární fotovoltaický systém</w:t>
      </w:r>
      <w:r w:rsidR="00296843">
        <w:t>,</w:t>
      </w:r>
    </w:p>
    <w:p w:rsidR="009740FB" w:rsidRDefault="009740FB" w:rsidP="00617D1E">
      <w:pPr>
        <w:pStyle w:val="Odstavecseseznamem"/>
        <w:numPr>
          <w:ilvl w:val="0"/>
          <w:numId w:val="95"/>
        </w:numPr>
        <w:jc w:val="both"/>
      </w:pPr>
      <w:r w:rsidRPr="00483B1A">
        <w:t>jednotka pro kombinovanou výrobu elektřiny a tepla</w:t>
      </w:r>
      <w:r w:rsidR="00CE78D9">
        <w:t>,</w:t>
      </w:r>
      <w:r w:rsidRPr="00483B1A">
        <w:t xml:space="preserve"> pokud je palivem biomasa</w:t>
      </w:r>
      <w:r w:rsidR="00483B1A">
        <w:t>.</w:t>
      </w:r>
    </w:p>
    <w:p w:rsidR="004C1A60" w:rsidRPr="00BB6BD0" w:rsidRDefault="0069497C" w:rsidP="004C1A60">
      <w:pPr>
        <w:pBdr>
          <w:top w:val="single" w:sz="4" w:space="1" w:color="auto"/>
          <w:left w:val="single" w:sz="4" w:space="4" w:color="auto"/>
          <w:bottom w:val="single" w:sz="4" w:space="1" w:color="auto"/>
          <w:right w:val="single" w:sz="4" w:space="4" w:color="auto"/>
        </w:pBdr>
        <w:jc w:val="both"/>
        <w:rPr>
          <w:b/>
        </w:rPr>
      </w:pPr>
      <w:r w:rsidRPr="00BB6BD0">
        <w:rPr>
          <w:b/>
        </w:rPr>
        <w:t>DOPORUČENÍ</w:t>
      </w:r>
    </w:p>
    <w:p w:rsidR="0069497C" w:rsidRPr="00483B1A" w:rsidRDefault="001B2C19" w:rsidP="004C1A60">
      <w:pPr>
        <w:pBdr>
          <w:top w:val="single" w:sz="4" w:space="1" w:color="auto"/>
          <w:left w:val="single" w:sz="4" w:space="4" w:color="auto"/>
          <w:bottom w:val="single" w:sz="4" w:space="1" w:color="auto"/>
          <w:right w:val="single" w:sz="4" w:space="4" w:color="auto"/>
        </w:pBdr>
        <w:jc w:val="both"/>
      </w:pPr>
      <w:r>
        <w:t xml:space="preserve">Pro </w:t>
      </w:r>
      <w:r w:rsidR="0069497C">
        <w:t>výpoč</w:t>
      </w:r>
      <w:r w:rsidR="000C482D">
        <w:t>e</w:t>
      </w:r>
      <w:r w:rsidR="0069497C">
        <w:t xml:space="preserve">t hodnot indikátorů je doporučeno </w:t>
      </w:r>
      <w:r>
        <w:t xml:space="preserve">kontaktovat </w:t>
      </w:r>
      <w:r w:rsidR="0069497C">
        <w:t>energetické</w:t>
      </w:r>
      <w:r w:rsidR="00F64127">
        <w:t>ho</w:t>
      </w:r>
      <w:r w:rsidR="0069497C">
        <w:t xml:space="preserve"> specialist</w:t>
      </w:r>
      <w:r w:rsidR="00F64127">
        <w:t>u</w:t>
      </w:r>
      <w:r w:rsidR="0069497C">
        <w:t>.</w:t>
      </w:r>
    </w:p>
    <w:p w:rsidR="00D3758D" w:rsidRDefault="00D3758D" w:rsidP="00617D1E">
      <w:pPr>
        <w:pStyle w:val="Pravidla11"/>
        <w:numPr>
          <w:ilvl w:val="1"/>
          <w:numId w:val="63"/>
        </w:numPr>
        <w:jc w:val="both"/>
      </w:pPr>
      <w:bookmarkStart w:id="78" w:name="_Toc436995475"/>
      <w:bookmarkStart w:id="79" w:name="_Toc436995565"/>
      <w:bookmarkStart w:id="80" w:name="_Toc444247658"/>
      <w:bookmarkEnd w:id="78"/>
      <w:bookmarkEnd w:id="79"/>
      <w:r>
        <w:t>Místo realizace projektů</w:t>
      </w:r>
      <w:bookmarkEnd w:id="80"/>
    </w:p>
    <w:p w:rsidR="00674B31" w:rsidRDefault="008F138D" w:rsidP="00617D1E">
      <w:pPr>
        <w:jc w:val="both"/>
      </w:pPr>
      <w:r>
        <w:t>Území ČR</w:t>
      </w:r>
      <w:r w:rsidR="00674B31" w:rsidRPr="00D62A7A">
        <w:t xml:space="preserve"> mimo </w:t>
      </w:r>
      <w:r>
        <w:t xml:space="preserve">území </w:t>
      </w:r>
      <w:r w:rsidR="00674B31" w:rsidRPr="00D62A7A">
        <w:t>hl. m. Prah</w:t>
      </w:r>
      <w:r>
        <w:t>y</w:t>
      </w:r>
      <w:r w:rsidR="003A1DE0">
        <w:t>.</w:t>
      </w:r>
    </w:p>
    <w:p w:rsidR="00D3758D" w:rsidRDefault="00D3758D" w:rsidP="00617D1E">
      <w:pPr>
        <w:pStyle w:val="Pravidla11"/>
        <w:numPr>
          <w:ilvl w:val="1"/>
          <w:numId w:val="63"/>
        </w:numPr>
        <w:jc w:val="both"/>
      </w:pPr>
      <w:bookmarkStart w:id="81" w:name="_Toc444247659"/>
      <w:r>
        <w:t>Projekty generující příjmy</w:t>
      </w:r>
      <w:bookmarkEnd w:id="81"/>
    </w:p>
    <w:p w:rsidR="00BB6BD0" w:rsidRPr="00BB6BD0" w:rsidRDefault="00BB6BD0" w:rsidP="00BB6BD0">
      <w:pPr>
        <w:jc w:val="both"/>
      </w:pPr>
      <w:r w:rsidRPr="00BB6BD0">
        <w:t>Projekty v této výzvě nelze považovat za projekty generující příjmy ve smyslu čl. 61 a 65 Obecného nařízení. Příjmy z projektu neovlivní výši poskytnuté podpory a příjemce je eviduje ve svém účetnictví</w:t>
      </w:r>
      <w:r>
        <w:t>.</w:t>
      </w:r>
    </w:p>
    <w:p w:rsidR="001824B4" w:rsidRDefault="000C2C80" w:rsidP="00617D1E">
      <w:pPr>
        <w:pStyle w:val="Pravidla11"/>
        <w:numPr>
          <w:ilvl w:val="1"/>
          <w:numId w:val="63"/>
        </w:numPr>
        <w:jc w:val="both"/>
      </w:pPr>
      <w:bookmarkStart w:id="82" w:name="_Toc444247660"/>
      <w:r>
        <w:t>Přenesená daňová povinnost</w:t>
      </w:r>
      <w:bookmarkEnd w:id="82"/>
    </w:p>
    <w:p w:rsidR="00483B1A" w:rsidRDefault="00483B1A" w:rsidP="00483B1A">
      <w:pPr>
        <w:jc w:val="both"/>
      </w:pPr>
      <w:r w:rsidRPr="00C3036F">
        <w:t xml:space="preserve">Pokud se na příjemce bude vztahovat trvalý režim přenesené daňové povinnosti podle </w:t>
      </w:r>
      <w:r>
        <w:br/>
      </w:r>
      <w:r w:rsidRPr="00C3036F">
        <w:t>§ 92 zákona č.</w:t>
      </w:r>
      <w:r>
        <w:t> </w:t>
      </w:r>
      <w:r w:rsidRPr="00C3036F">
        <w:t>235/2004 Sb., o dani z přidané hodnoty a jeho příloh (týká se zejména stavebních a montážních prací)</w:t>
      </w:r>
      <w:r>
        <w:t>,</w:t>
      </w:r>
      <w:r w:rsidRPr="00C3036F">
        <w:t xml:space="preserve"> je nutné postupovat </w:t>
      </w:r>
      <w:r>
        <w:t>po</w:t>
      </w:r>
      <w:r w:rsidRPr="00C3036F">
        <w:t xml:space="preserve">dle </w:t>
      </w:r>
      <w:r>
        <w:t>kap. 11 Obecných pravidel</w:t>
      </w:r>
      <w:r w:rsidRPr="00C3036F">
        <w:t>.</w:t>
      </w:r>
    </w:p>
    <w:p w:rsidR="000C2C80" w:rsidRDefault="00483B1A" w:rsidP="00617D1E">
      <w:pPr>
        <w:pStyle w:val="Pravidla11"/>
        <w:numPr>
          <w:ilvl w:val="1"/>
          <w:numId w:val="63"/>
        </w:numPr>
        <w:jc w:val="both"/>
      </w:pPr>
      <w:bookmarkStart w:id="83" w:name="_Toc436995479"/>
      <w:bookmarkStart w:id="84" w:name="_Toc436995569"/>
      <w:bookmarkStart w:id="85" w:name="_Toc444247661"/>
      <w:bookmarkEnd w:id="83"/>
      <w:bookmarkEnd w:id="84"/>
      <w:r>
        <w:t>Dodatečné stavební práce</w:t>
      </w:r>
      <w:bookmarkEnd w:id="85"/>
    </w:p>
    <w:p w:rsidR="00483B1A" w:rsidRPr="00C3036F" w:rsidRDefault="00483B1A" w:rsidP="00617D1E">
      <w:pPr>
        <w:jc w:val="both"/>
      </w:pPr>
      <w:r>
        <w:t>V případě dodatečných s</w:t>
      </w:r>
      <w:r w:rsidRPr="00C3036F">
        <w:t>tavební</w:t>
      </w:r>
      <w:r>
        <w:t>ch</w:t>
      </w:r>
      <w:r w:rsidRPr="00C3036F">
        <w:t xml:space="preserve"> pr</w:t>
      </w:r>
      <w:r>
        <w:t>ací se příjemce</w:t>
      </w:r>
      <w:r w:rsidRPr="00C3036F">
        <w:t xml:space="preserve"> řídí </w:t>
      </w:r>
      <w:r>
        <w:t>kap. 6 O</w:t>
      </w:r>
      <w:r w:rsidRPr="00C3036F">
        <w:t>becný</w:t>
      </w:r>
      <w:r>
        <w:t>ch</w:t>
      </w:r>
      <w:r w:rsidRPr="00C3036F">
        <w:t xml:space="preserve"> pravid</w:t>
      </w:r>
      <w:r>
        <w:t xml:space="preserve">el. </w:t>
      </w:r>
    </w:p>
    <w:p w:rsidR="00087A5C" w:rsidRDefault="00D3758D" w:rsidP="00617D1E">
      <w:pPr>
        <w:pStyle w:val="Pravidla11"/>
        <w:numPr>
          <w:ilvl w:val="1"/>
          <w:numId w:val="63"/>
        </w:numPr>
        <w:jc w:val="both"/>
      </w:pPr>
      <w:bookmarkStart w:id="86" w:name="_Toc436995481"/>
      <w:bookmarkStart w:id="87" w:name="_Toc436995571"/>
      <w:bookmarkStart w:id="88" w:name="_Toc436995482"/>
      <w:bookmarkStart w:id="89" w:name="_Toc436995572"/>
      <w:bookmarkStart w:id="90" w:name="_Toc436995483"/>
      <w:bookmarkStart w:id="91" w:name="_Toc436995573"/>
      <w:bookmarkStart w:id="92" w:name="_Toc444247662"/>
      <w:bookmarkEnd w:id="86"/>
      <w:bookmarkEnd w:id="87"/>
      <w:bookmarkEnd w:id="88"/>
      <w:bookmarkEnd w:id="89"/>
      <w:bookmarkEnd w:id="90"/>
      <w:bookmarkEnd w:id="91"/>
      <w:r>
        <w:lastRenderedPageBreak/>
        <w:t>Veřejná podpora</w:t>
      </w:r>
      <w:bookmarkEnd w:id="92"/>
    </w:p>
    <w:p w:rsidR="008D0C0F" w:rsidRDefault="000B4EEB" w:rsidP="00483B1A">
      <w:pPr>
        <w:jc w:val="both"/>
      </w:pPr>
      <w:r w:rsidRPr="000B4EEB">
        <w:t xml:space="preserve">Veřejná podpora </w:t>
      </w:r>
      <w:r w:rsidR="00BA7C25">
        <w:t>v</w:t>
      </w:r>
      <w:r w:rsidR="00483B1A">
        <w:t>e specifickém cíli</w:t>
      </w:r>
      <w:r w:rsidR="00BA7C25">
        <w:t xml:space="preserve"> 2.5</w:t>
      </w:r>
      <w:r w:rsidRPr="000B4EEB">
        <w:t xml:space="preserve"> splňuje </w:t>
      </w:r>
      <w:r w:rsidR="001840F6" w:rsidRPr="000B4EEB">
        <w:t>podmínky článku</w:t>
      </w:r>
      <w:r w:rsidRPr="000B4EEB">
        <w:t xml:space="preserve"> 38 Investiční podpora na opatření ke zvýšení energetické účinnosti Nařízení </w:t>
      </w:r>
      <w:r w:rsidR="00992771">
        <w:t>K</w:t>
      </w:r>
      <w:r w:rsidRPr="000B4EEB">
        <w:t>omise č. 651/2014 ze dne 17. června 2014, kterým se v souladu s články 107 a</w:t>
      </w:r>
      <w:r w:rsidR="00170FD1">
        <w:t> </w:t>
      </w:r>
      <w:r w:rsidRPr="000B4EEB">
        <w:t>108 Smlouvy prohlašují určité kategorie podpory za slučitelné s vnitřním trhem a</w:t>
      </w:r>
      <w:r w:rsidR="00170FD1">
        <w:t> </w:t>
      </w:r>
      <w:r w:rsidRPr="000B4EEB">
        <w:t>může být proto slučitelná se společným trhem ve smyslu čl. 107 odst. 3 Smlouvy o</w:t>
      </w:r>
      <w:r w:rsidR="00170FD1">
        <w:t> </w:t>
      </w:r>
      <w:r w:rsidRPr="000B4EEB">
        <w:t>fungování Evropské unie a je vyňata z oznamovací povinnosti podle čl. 108 odst. 3</w:t>
      </w:r>
      <w:r w:rsidR="00170FD1">
        <w:t> </w:t>
      </w:r>
      <w:r w:rsidRPr="000B4EEB">
        <w:t>Smlouvy o fungování Evropské unie.</w:t>
      </w:r>
    </w:p>
    <w:p w:rsidR="008A6BFE" w:rsidRPr="008A6BFE" w:rsidRDefault="00EF3A37" w:rsidP="00483B1A">
      <w:pPr>
        <w:jc w:val="both"/>
      </w:pPr>
      <w:r>
        <w:t>Podporu</w:t>
      </w:r>
      <w:r w:rsidR="008A6BFE" w:rsidRPr="008A6BFE">
        <w:t xml:space="preserve"> nelze poskytnout:</w:t>
      </w:r>
    </w:p>
    <w:p w:rsidR="008A6BFE" w:rsidRPr="00225ADC" w:rsidRDefault="0009633E" w:rsidP="00EF3A37">
      <w:pPr>
        <w:pStyle w:val="Odstavecseseznamem"/>
        <w:numPr>
          <w:ilvl w:val="0"/>
          <w:numId w:val="44"/>
        </w:numPr>
        <w:jc w:val="both"/>
      </w:pPr>
      <w:r>
        <w:t>žadatel</w:t>
      </w:r>
      <w:r w:rsidR="00EF3A37">
        <w:t>i</w:t>
      </w:r>
      <w:r w:rsidR="008A6BFE" w:rsidRPr="008A6BFE">
        <w:t>, vůči němuž byl v návaznosti na rozhodnutí Komise EU</w:t>
      </w:r>
      <w:r w:rsidR="00EF3A37">
        <w:t xml:space="preserve"> </w:t>
      </w:r>
      <w:r w:rsidR="008A6BFE" w:rsidRPr="008A6BFE">
        <w:t xml:space="preserve">vystaven inkasní příkaz. Žadatel </w:t>
      </w:r>
      <w:r w:rsidR="00225ADC">
        <w:t>zatrhne</w:t>
      </w:r>
      <w:r w:rsidR="008A6BFE" w:rsidRPr="008A6BFE">
        <w:t xml:space="preserve"> Čestné prohlášení žadatele o vypořádání finančních závazků z jiných projektů financovaných z komunitárních programů nebo jiných fondů Evropské unie;</w:t>
      </w:r>
    </w:p>
    <w:p w:rsidR="008A6BFE" w:rsidRPr="00225ADC" w:rsidRDefault="0009633E" w:rsidP="00617D1E">
      <w:pPr>
        <w:pStyle w:val="Odstavecseseznamem"/>
        <w:numPr>
          <w:ilvl w:val="0"/>
          <w:numId w:val="44"/>
        </w:numPr>
        <w:jc w:val="both"/>
      </w:pPr>
      <w:r>
        <w:t xml:space="preserve">žadateli, který splňuje definici </w:t>
      </w:r>
      <w:r w:rsidR="008A6BFE" w:rsidRPr="00225ADC">
        <w:t xml:space="preserve">podniku v obtížích ve smyslu ustanovení článku 2 odst. 18 nařízení č. 651/2014. Žadatel </w:t>
      </w:r>
      <w:r w:rsidR="00225ADC">
        <w:t>zatrhne</w:t>
      </w:r>
      <w:r w:rsidR="008A6BFE" w:rsidRPr="00225ADC">
        <w:t xml:space="preserve"> Čestné prohlášení žadatele, že nesplňuje definici podniku v obtížích.</w:t>
      </w:r>
    </w:p>
    <w:p w:rsidR="00483B1A" w:rsidRDefault="00483B1A" w:rsidP="00483B1A">
      <w:pPr>
        <w:jc w:val="both"/>
      </w:pPr>
    </w:p>
    <w:p w:rsidR="005D35E5" w:rsidRPr="005D35E5" w:rsidRDefault="005D35E5" w:rsidP="00617D1E">
      <w:pPr>
        <w:pStyle w:val="Pravidla1"/>
        <w:pageBreakBefore/>
        <w:numPr>
          <w:ilvl w:val="0"/>
          <w:numId w:val="60"/>
        </w:numPr>
        <w:suppressAutoHyphens/>
        <w:ind w:left="360"/>
        <w:jc w:val="both"/>
      </w:pPr>
      <w:bookmarkStart w:id="93" w:name="_Toc436995485"/>
      <w:bookmarkStart w:id="94" w:name="_Toc436995575"/>
      <w:bookmarkStart w:id="95" w:name="_Toc436995486"/>
      <w:bookmarkStart w:id="96" w:name="_Toc436995576"/>
      <w:bookmarkStart w:id="97" w:name="_Toc444247663"/>
      <w:bookmarkEnd w:id="93"/>
      <w:bookmarkEnd w:id="94"/>
      <w:bookmarkEnd w:id="95"/>
      <w:bookmarkEnd w:id="96"/>
      <w:r w:rsidRPr="005D35E5">
        <w:lastRenderedPageBreak/>
        <w:t xml:space="preserve">Kontaktní </w:t>
      </w:r>
      <w:r w:rsidR="00483B1A" w:rsidRPr="005D35E5">
        <w:t>míst</w:t>
      </w:r>
      <w:r w:rsidR="00483B1A">
        <w:t>a</w:t>
      </w:r>
      <w:r w:rsidR="00483B1A" w:rsidRPr="005D35E5">
        <w:t xml:space="preserve"> </w:t>
      </w:r>
      <w:r w:rsidR="004A5734">
        <w:t>pro poskytování informací</w:t>
      </w:r>
      <w:bookmarkEnd w:id="97"/>
    </w:p>
    <w:p w:rsidR="00483B1A" w:rsidRPr="00617D1E" w:rsidRDefault="00483B1A" w:rsidP="00617D1E">
      <w:pPr>
        <w:jc w:val="both"/>
        <w:rPr>
          <w:rFonts w:asciiTheme="majorHAnsi" w:hAnsiTheme="majorHAnsi" w:cs="Arial"/>
        </w:rPr>
      </w:pPr>
    </w:p>
    <w:p w:rsidR="00064DC5" w:rsidRDefault="00064DC5" w:rsidP="00617D1E">
      <w:r>
        <w:t>Krajské pobočky Centra pro regionální rozvoj Č</w:t>
      </w:r>
      <w:r w:rsidR="001719A9">
        <w:t>eské republiky</w:t>
      </w:r>
      <w:r>
        <w:t>:</w:t>
      </w:r>
    </w:p>
    <w:tbl>
      <w:tblPr>
        <w:tblW w:w="9087" w:type="dxa"/>
        <w:tblInd w:w="55" w:type="dxa"/>
        <w:tblLayout w:type="fixed"/>
        <w:tblCellMar>
          <w:left w:w="70" w:type="dxa"/>
          <w:right w:w="70" w:type="dxa"/>
        </w:tblCellMar>
        <w:tblLook w:val="04A0" w:firstRow="1" w:lastRow="0" w:firstColumn="1" w:lastColumn="0" w:noHBand="0" w:noVBand="1"/>
      </w:tblPr>
      <w:tblGrid>
        <w:gridCol w:w="2283"/>
        <w:gridCol w:w="2410"/>
        <w:gridCol w:w="1842"/>
        <w:gridCol w:w="2552"/>
      </w:tblGrid>
      <w:tr w:rsidR="00AA4F7B" w:rsidRPr="003B0388" w:rsidTr="00617D1E">
        <w:trPr>
          <w:trHeight w:val="9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Krajské pracoviště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4F7B" w:rsidRPr="002F11FC" w:rsidRDefault="00AA4F7B" w:rsidP="00094465">
            <w:pPr>
              <w:spacing w:after="0"/>
              <w:jc w:val="center"/>
              <w:rPr>
                <w:rFonts w:asciiTheme="majorHAnsi" w:eastAsia="Times New Roman" w:hAnsiTheme="majorHAnsi"/>
                <w:b/>
                <w:bCs/>
                <w:color w:val="000000"/>
                <w:sz w:val="22"/>
                <w:szCs w:val="22"/>
                <w:lang w:eastAsia="cs-CZ"/>
              </w:rPr>
            </w:pPr>
            <w:r w:rsidRPr="002F11FC">
              <w:rPr>
                <w:rFonts w:asciiTheme="majorHAnsi" w:eastAsia="Times New Roman" w:hAnsiTheme="majorHAnsi"/>
                <w:b/>
                <w:bCs/>
                <w:color w:val="000000"/>
                <w:sz w:val="22"/>
                <w:szCs w:val="22"/>
                <w:lang w:eastAsia="cs-CZ"/>
              </w:rPr>
              <w:t>Kontaktní osoba</w:t>
            </w:r>
          </w:p>
        </w:tc>
        <w:tc>
          <w:tcPr>
            <w:tcW w:w="184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M</w:t>
            </w:r>
            <w:r w:rsidR="00AA4F7B">
              <w:rPr>
                <w:rFonts w:asciiTheme="majorHAnsi" w:eastAsia="Times New Roman" w:hAnsiTheme="majorHAnsi"/>
                <w:b/>
                <w:bCs/>
                <w:color w:val="000000"/>
                <w:sz w:val="22"/>
                <w:szCs w:val="22"/>
                <w:lang w:eastAsia="cs-CZ"/>
              </w:rPr>
              <w:t>obil</w:t>
            </w:r>
          </w:p>
        </w:tc>
        <w:tc>
          <w:tcPr>
            <w:tcW w:w="2552" w:type="dxa"/>
            <w:tcBorders>
              <w:top w:val="single" w:sz="4" w:space="0" w:color="auto"/>
              <w:left w:val="nil"/>
              <w:bottom w:val="single" w:sz="4" w:space="0" w:color="auto"/>
              <w:right w:val="single" w:sz="4" w:space="0" w:color="auto"/>
            </w:tcBorders>
            <w:shd w:val="clear" w:color="auto" w:fill="auto"/>
            <w:vAlign w:val="center"/>
          </w:tcPr>
          <w:p w:rsidR="00AA4F7B" w:rsidRPr="002F11FC" w:rsidRDefault="00094465" w:rsidP="00094465">
            <w:pPr>
              <w:spacing w:after="0"/>
              <w:jc w:val="center"/>
              <w:rPr>
                <w:rFonts w:asciiTheme="majorHAnsi" w:eastAsia="Times New Roman" w:hAnsiTheme="majorHAnsi"/>
                <w:b/>
                <w:bCs/>
                <w:color w:val="000000"/>
                <w:sz w:val="22"/>
                <w:szCs w:val="22"/>
                <w:lang w:eastAsia="cs-CZ"/>
              </w:rPr>
            </w:pPr>
            <w:r>
              <w:rPr>
                <w:rFonts w:asciiTheme="majorHAnsi" w:eastAsia="Times New Roman" w:hAnsiTheme="majorHAnsi"/>
                <w:b/>
                <w:bCs/>
                <w:color w:val="000000"/>
                <w:sz w:val="22"/>
                <w:szCs w:val="22"/>
                <w:lang w:eastAsia="cs-CZ"/>
              </w:rPr>
              <w:t>E</w:t>
            </w:r>
            <w:r w:rsidR="00AA4F7B">
              <w:rPr>
                <w:rFonts w:asciiTheme="majorHAnsi" w:eastAsia="Times New Roman" w:hAnsiTheme="majorHAnsi"/>
                <w:b/>
                <w:bCs/>
                <w:color w:val="000000"/>
                <w:sz w:val="22"/>
                <w:szCs w:val="22"/>
                <w:lang w:eastAsia="cs-CZ"/>
              </w:rPr>
              <w:t>-mail</w:t>
            </w:r>
          </w:p>
        </w:tc>
      </w:tr>
      <w:tr w:rsidR="00D7308A"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tcPr>
          <w:p w:rsidR="00D7308A" w:rsidRPr="002F11FC" w:rsidRDefault="00D7308A" w:rsidP="00094465">
            <w:pPr>
              <w:spacing w:after="0"/>
              <w:rPr>
                <w:rFonts w:asciiTheme="majorHAnsi" w:eastAsia="Times New Roman" w:hAnsiTheme="majorHAnsi"/>
                <w:color w:val="000000"/>
                <w:sz w:val="22"/>
                <w:szCs w:val="22"/>
                <w:lang w:eastAsia="cs-CZ"/>
              </w:rPr>
            </w:pPr>
            <w:r>
              <w:rPr>
                <w:rFonts w:asciiTheme="majorHAnsi" w:eastAsia="Times New Roman" w:hAnsiTheme="majorHAnsi"/>
                <w:color w:val="000000"/>
                <w:sz w:val="22"/>
                <w:szCs w:val="22"/>
                <w:lang w:eastAsia="cs-CZ"/>
              </w:rPr>
              <w:t>Oddělení administrace OSS (Praha)</w:t>
            </w:r>
          </w:p>
        </w:tc>
        <w:tc>
          <w:tcPr>
            <w:tcW w:w="2410"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Bohdan Kadlec</w:t>
            </w:r>
          </w:p>
        </w:tc>
        <w:tc>
          <w:tcPr>
            <w:tcW w:w="1842" w:type="dxa"/>
            <w:tcBorders>
              <w:top w:val="nil"/>
              <w:left w:val="nil"/>
              <w:bottom w:val="single" w:sz="4" w:space="0" w:color="auto"/>
              <w:right w:val="single" w:sz="4" w:space="0" w:color="auto"/>
            </w:tcBorders>
            <w:shd w:val="clear" w:color="auto" w:fill="auto"/>
            <w:vAlign w:val="center"/>
          </w:tcPr>
          <w:p w:rsidR="00D7308A" w:rsidRPr="00617D1E" w:rsidRDefault="00D7308A" w:rsidP="00094465">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735 159 462</w:t>
            </w:r>
          </w:p>
        </w:tc>
        <w:tc>
          <w:tcPr>
            <w:tcW w:w="2552" w:type="dxa"/>
            <w:tcBorders>
              <w:top w:val="nil"/>
              <w:left w:val="nil"/>
              <w:bottom w:val="single" w:sz="4" w:space="0" w:color="auto"/>
              <w:right w:val="single" w:sz="4" w:space="0" w:color="auto"/>
            </w:tcBorders>
            <w:shd w:val="clear" w:color="auto" w:fill="auto"/>
            <w:vAlign w:val="center"/>
          </w:tcPr>
          <w:p w:rsidR="00D7308A" w:rsidRPr="00617D1E" w:rsidRDefault="00D7308A" w:rsidP="00617D1E">
            <w:pPr>
              <w:spacing w:after="0"/>
              <w:ind w:left="283"/>
              <w:jc w:val="center"/>
              <w:rPr>
                <w:rFonts w:asciiTheme="majorHAnsi" w:eastAsia="Times New Roman" w:hAnsiTheme="majorHAnsi"/>
                <w:sz w:val="22"/>
                <w:szCs w:val="22"/>
                <w:lang w:eastAsia="cs-CZ"/>
              </w:rPr>
            </w:pPr>
            <w:r w:rsidRPr="00617D1E">
              <w:rPr>
                <w:rFonts w:asciiTheme="majorHAnsi" w:eastAsia="Times New Roman" w:hAnsiTheme="majorHAnsi"/>
                <w:sz w:val="22"/>
                <w:szCs w:val="22"/>
                <w:lang w:eastAsia="cs-CZ"/>
              </w:rPr>
              <w:t>kadlec(at)crr.cz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Jihočeský kraj (České Budějovice)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Pavla Bártíková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725 793 625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bartikova(at)crr.cz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Jihomoravský kraj (Brno)</w:t>
            </w:r>
          </w:p>
        </w:tc>
        <w:tc>
          <w:tcPr>
            <w:tcW w:w="2410" w:type="dxa"/>
            <w:tcBorders>
              <w:top w:val="nil"/>
              <w:left w:val="nil"/>
              <w:bottom w:val="single" w:sz="4" w:space="0" w:color="auto"/>
              <w:right w:val="single" w:sz="4" w:space="0" w:color="auto"/>
            </w:tcBorders>
            <w:shd w:val="clear" w:color="auto" w:fill="auto"/>
            <w:vAlign w:val="center"/>
            <w:hideMark/>
          </w:tcPr>
          <w:p w:rsidR="00AA4F7B" w:rsidRPr="009815D8"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Jitka Ondrušková</w:t>
            </w:r>
          </w:p>
        </w:tc>
        <w:tc>
          <w:tcPr>
            <w:tcW w:w="184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735 158 118</w:t>
            </w:r>
          </w:p>
        </w:tc>
        <w:tc>
          <w:tcPr>
            <w:tcW w:w="2552" w:type="dxa"/>
            <w:tcBorders>
              <w:top w:val="nil"/>
              <w:left w:val="nil"/>
              <w:bottom w:val="single" w:sz="4" w:space="0" w:color="auto"/>
              <w:right w:val="single" w:sz="4" w:space="0" w:color="auto"/>
            </w:tcBorders>
            <w:shd w:val="clear" w:color="auto" w:fill="auto"/>
            <w:vAlign w:val="center"/>
          </w:tcPr>
          <w:p w:rsidR="00AA4F7B" w:rsidRPr="009815D8" w:rsidRDefault="00AA4F7B" w:rsidP="00094465">
            <w:pPr>
              <w:spacing w:after="0"/>
              <w:ind w:left="283"/>
              <w:jc w:val="center"/>
              <w:rPr>
                <w:rFonts w:asciiTheme="majorHAnsi" w:eastAsia="Times New Roman" w:hAnsiTheme="majorHAnsi"/>
                <w:sz w:val="22"/>
                <w:szCs w:val="22"/>
                <w:lang w:eastAsia="cs-CZ"/>
              </w:rPr>
            </w:pPr>
            <w:r w:rsidRPr="009815D8">
              <w:rPr>
                <w:rFonts w:eastAsiaTheme="minorHAnsi" w:cs="Cambria"/>
                <w:sz w:val="22"/>
                <w:szCs w:val="22"/>
                <w:lang w:eastAsia="en-US"/>
              </w:rPr>
              <w:t>ondruskova(at)crr.cz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Karlovarský kraj (Karlovy Vary)</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8F138D" w:rsidP="00094465">
            <w:pPr>
              <w:spacing w:after="0"/>
              <w:ind w:left="283"/>
              <w:jc w:val="center"/>
              <w:rPr>
                <w:rFonts w:asciiTheme="majorHAnsi" w:eastAsia="Times New Roman" w:hAnsiTheme="majorHAnsi"/>
                <w:sz w:val="22"/>
                <w:szCs w:val="22"/>
                <w:lang w:eastAsia="cs-CZ"/>
              </w:rPr>
            </w:pPr>
            <w:r w:rsidRPr="00286EF3">
              <w:rPr>
                <w:rFonts w:asciiTheme="majorHAnsi" w:eastAsia="Times New Roman" w:hAnsiTheme="majorHAnsi"/>
                <w:sz w:val="22"/>
                <w:szCs w:val="22"/>
                <w:lang w:eastAsia="cs-CZ"/>
              </w:rPr>
              <w:t>Lenka Modrovičová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8F138D" w:rsidP="00094465">
            <w:pPr>
              <w:spacing w:after="0"/>
              <w:ind w:left="283"/>
              <w:jc w:val="center"/>
              <w:rPr>
                <w:rFonts w:asciiTheme="majorHAnsi" w:eastAsia="Times New Roman" w:hAnsiTheme="majorHAnsi"/>
                <w:sz w:val="22"/>
                <w:szCs w:val="22"/>
                <w:lang w:eastAsia="cs-CZ"/>
              </w:rPr>
            </w:pPr>
            <w:r>
              <w:rPr>
                <w:lang w:eastAsia="cs-CZ"/>
              </w:rPr>
              <w:t>731</w:t>
            </w:r>
            <w:r w:rsidR="001E3195">
              <w:rPr>
                <w:lang w:eastAsia="cs-CZ"/>
              </w:rPr>
              <w:t> </w:t>
            </w:r>
            <w:r>
              <w:rPr>
                <w:lang w:eastAsia="cs-CZ"/>
              </w:rPr>
              <w:t>645</w:t>
            </w:r>
            <w:r w:rsidR="001E3195">
              <w:rPr>
                <w:lang w:eastAsia="cs-CZ"/>
              </w:rPr>
              <w:t xml:space="preserve"> </w:t>
            </w:r>
            <w:r>
              <w:rPr>
                <w:lang w:eastAsia="cs-CZ"/>
              </w:rPr>
              <w:t>187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1E3195" w:rsidP="00094465">
            <w:pPr>
              <w:spacing w:after="0"/>
              <w:ind w:left="283"/>
              <w:jc w:val="center"/>
              <w:rPr>
                <w:rFonts w:asciiTheme="majorHAnsi" w:eastAsia="Times New Roman" w:hAnsiTheme="majorHAnsi"/>
                <w:sz w:val="22"/>
                <w:szCs w:val="22"/>
                <w:lang w:eastAsia="cs-CZ"/>
              </w:rPr>
            </w:pPr>
            <w:r>
              <w:rPr>
                <w:rFonts w:eastAsiaTheme="minorHAnsi" w:cs="Cambria"/>
                <w:sz w:val="22"/>
                <w:szCs w:val="22"/>
                <w:lang w:eastAsia="en-US"/>
              </w:rPr>
              <w:t>modrovicova</w:t>
            </w:r>
            <w:r w:rsidR="00AA4F7B" w:rsidRPr="00617D1E">
              <w:rPr>
                <w:rFonts w:eastAsiaTheme="minorHAnsi" w:cs="Cambria"/>
                <w:sz w:val="22"/>
                <w:szCs w:val="22"/>
                <w:lang w:eastAsia="en-US"/>
              </w:rPr>
              <w:t>(at)crr.cz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EF3A37">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Královehradecký kraj (Hr</w:t>
            </w:r>
            <w:r w:rsidR="00EF3A37">
              <w:rPr>
                <w:rFonts w:asciiTheme="majorHAnsi" w:eastAsia="Times New Roman" w:hAnsiTheme="majorHAnsi"/>
                <w:color w:val="000000"/>
                <w:sz w:val="22"/>
                <w:szCs w:val="22"/>
                <w:lang w:eastAsia="cs-CZ"/>
              </w:rPr>
              <w:t>adec</w:t>
            </w:r>
            <w:r w:rsidRPr="002F11FC">
              <w:rPr>
                <w:rFonts w:asciiTheme="majorHAnsi" w:eastAsia="Times New Roman" w:hAnsiTheme="majorHAnsi"/>
                <w:color w:val="000000"/>
                <w:sz w:val="22"/>
                <w:szCs w:val="22"/>
                <w:lang w:eastAsia="cs-CZ"/>
              </w:rPr>
              <w:t xml:space="preserve"> Králové)</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Michaela Brožová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735 157 809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brozova(at)crr.cz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Liberecký kraj (Liberec)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Romana Valentová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731 607 725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valentova(at)crr.cz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Moravskoslezský kraj (Ostrava)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Marie Lichnovská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739 320 907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lichnovska(at)crr.cz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Olomoucký kraj (Olomouc)</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Veronika Škutová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731 604 727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skutova(at)crr.cz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Pardubický kraj (Pardubice)</w:t>
            </w:r>
          </w:p>
        </w:tc>
        <w:tc>
          <w:tcPr>
            <w:tcW w:w="2410" w:type="dxa"/>
            <w:tcBorders>
              <w:top w:val="nil"/>
              <w:left w:val="nil"/>
              <w:bottom w:val="single" w:sz="4" w:space="0" w:color="auto"/>
              <w:right w:val="single" w:sz="4" w:space="0" w:color="auto"/>
            </w:tcBorders>
            <w:shd w:val="clear" w:color="auto" w:fill="auto"/>
            <w:vAlign w:val="center"/>
            <w:hideMark/>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asciiTheme="majorHAnsi" w:eastAsia="Times New Roman" w:hAnsiTheme="majorHAnsi"/>
                <w:sz w:val="22"/>
                <w:szCs w:val="22"/>
                <w:lang w:eastAsia="cs-CZ"/>
              </w:rPr>
              <w:t>Markéta Kupcová</w:t>
            </w:r>
          </w:p>
        </w:tc>
        <w:tc>
          <w:tcPr>
            <w:tcW w:w="184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eastAsiaTheme="minorHAnsi" w:cs="Cambria"/>
                <w:sz w:val="22"/>
                <w:szCs w:val="22"/>
                <w:lang w:eastAsia="en-US"/>
              </w:rPr>
              <w:t>735 157 810</w:t>
            </w:r>
          </w:p>
        </w:tc>
        <w:tc>
          <w:tcPr>
            <w:tcW w:w="2552" w:type="dxa"/>
            <w:tcBorders>
              <w:top w:val="nil"/>
              <w:left w:val="nil"/>
              <w:bottom w:val="single" w:sz="4" w:space="0" w:color="auto"/>
              <w:right w:val="single" w:sz="4" w:space="0" w:color="auto"/>
            </w:tcBorders>
            <w:shd w:val="clear" w:color="auto" w:fill="auto"/>
            <w:vAlign w:val="center"/>
          </w:tcPr>
          <w:p w:rsidR="00AA4F7B" w:rsidRPr="008A5B42" w:rsidRDefault="00AA4F7B" w:rsidP="00094465">
            <w:pPr>
              <w:spacing w:after="0"/>
              <w:ind w:left="283"/>
              <w:jc w:val="center"/>
              <w:rPr>
                <w:rFonts w:asciiTheme="majorHAnsi" w:eastAsia="Times New Roman" w:hAnsiTheme="majorHAnsi"/>
                <w:sz w:val="22"/>
                <w:szCs w:val="22"/>
                <w:lang w:eastAsia="cs-CZ"/>
              </w:rPr>
            </w:pPr>
            <w:r w:rsidRPr="008A5B42">
              <w:rPr>
                <w:rFonts w:eastAsiaTheme="minorHAnsi" w:cs="Cambria"/>
                <w:sz w:val="22"/>
                <w:szCs w:val="22"/>
                <w:lang w:eastAsia="en-US"/>
              </w:rPr>
              <w:t>kupcova(at)crr.cz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Plzeňský kraj (Plzeň)</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17C95" w:rsidP="00094465">
            <w:pPr>
              <w:spacing w:after="0"/>
              <w:ind w:left="283"/>
              <w:jc w:val="center"/>
              <w:rPr>
                <w:rFonts w:asciiTheme="majorHAnsi" w:eastAsia="Times New Roman" w:hAnsiTheme="majorHAnsi"/>
                <w:sz w:val="22"/>
                <w:szCs w:val="22"/>
                <w:lang w:eastAsia="cs-CZ"/>
              </w:rPr>
            </w:pPr>
            <w:r>
              <w:rPr>
                <w:rFonts w:asciiTheme="majorHAnsi" w:eastAsia="Times New Roman" w:hAnsiTheme="majorHAnsi"/>
                <w:sz w:val="22"/>
                <w:szCs w:val="22"/>
                <w:lang w:eastAsia="cs-CZ"/>
              </w:rPr>
              <w:t>Tereza Slatkovská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17C95" w:rsidP="00094465">
            <w:pPr>
              <w:spacing w:after="0"/>
              <w:ind w:left="283"/>
              <w:jc w:val="center"/>
              <w:rPr>
                <w:rFonts w:asciiTheme="majorHAnsi" w:eastAsia="Times New Roman" w:hAnsiTheme="majorHAnsi"/>
                <w:sz w:val="22"/>
                <w:szCs w:val="22"/>
                <w:lang w:eastAsia="cs-CZ"/>
              </w:rPr>
            </w:pPr>
            <w:r>
              <w:rPr>
                <w:rFonts w:eastAsiaTheme="minorHAnsi" w:cs="Cambria"/>
                <w:sz w:val="22"/>
                <w:szCs w:val="22"/>
                <w:lang w:eastAsia="en-US"/>
              </w:rPr>
              <w:t>603 550 185</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17C95" w:rsidP="00094465">
            <w:pPr>
              <w:spacing w:after="0"/>
              <w:ind w:left="283"/>
              <w:jc w:val="center"/>
              <w:rPr>
                <w:rFonts w:asciiTheme="majorHAnsi" w:eastAsia="Times New Roman" w:hAnsiTheme="majorHAnsi"/>
                <w:sz w:val="22"/>
                <w:szCs w:val="22"/>
                <w:lang w:eastAsia="cs-CZ"/>
              </w:rPr>
            </w:pPr>
            <w:r>
              <w:rPr>
                <w:rFonts w:eastAsiaTheme="minorHAnsi" w:cs="Cambria"/>
                <w:sz w:val="22"/>
                <w:szCs w:val="22"/>
                <w:lang w:eastAsia="en-US"/>
              </w:rPr>
              <w:t>slatkovska</w:t>
            </w:r>
            <w:r w:rsidR="00DC7D1B">
              <w:rPr>
                <w:rFonts w:eastAsiaTheme="minorHAnsi" w:cs="Cambria"/>
                <w:sz w:val="22"/>
                <w:szCs w:val="22"/>
                <w:lang w:eastAsia="en-US"/>
              </w:rPr>
              <w:t xml:space="preserve"> </w:t>
            </w:r>
            <w:r w:rsidR="00AA4F7B" w:rsidRPr="00617D1E">
              <w:rPr>
                <w:rFonts w:eastAsiaTheme="minorHAnsi" w:cs="Cambria"/>
                <w:sz w:val="22"/>
                <w:szCs w:val="22"/>
                <w:lang w:eastAsia="en-US"/>
              </w:rPr>
              <w:t>(at)crr.cz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Středočeský kraj (Praha)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Jan Veselský</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725 037 963</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veselsky(at)crr.cz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Ústecký kraj (Ústí nad Labem)</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Ivan Palán</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735 158 119</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palan(at)crr.cz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Vysočina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(Jihlava)</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Kristýna Bidlová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735 158 117</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bidlova(at)crr.cz</w:t>
            </w:r>
          </w:p>
        </w:tc>
      </w:tr>
      <w:tr w:rsidR="00AA4F7B" w:rsidRPr="003B0388" w:rsidTr="00617D1E">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AA4F7B"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 xml:space="preserve">Zlínský kraj </w:t>
            </w:r>
          </w:p>
          <w:p w:rsidR="00AA4F7B" w:rsidRPr="002F11FC" w:rsidRDefault="00AA4F7B" w:rsidP="00094465">
            <w:pPr>
              <w:spacing w:after="0"/>
              <w:rPr>
                <w:rFonts w:asciiTheme="majorHAnsi" w:eastAsia="Times New Roman" w:hAnsiTheme="majorHAnsi"/>
                <w:color w:val="000000"/>
                <w:sz w:val="22"/>
                <w:szCs w:val="22"/>
                <w:lang w:eastAsia="cs-CZ"/>
              </w:rPr>
            </w:pPr>
            <w:r w:rsidRPr="002F11FC">
              <w:rPr>
                <w:rFonts w:asciiTheme="majorHAnsi" w:eastAsia="Times New Roman" w:hAnsiTheme="majorHAnsi"/>
                <w:color w:val="000000"/>
                <w:sz w:val="22"/>
                <w:szCs w:val="22"/>
                <w:lang w:eastAsia="cs-CZ"/>
              </w:rPr>
              <w:t>(Zlín)</w:t>
            </w:r>
          </w:p>
        </w:tc>
        <w:tc>
          <w:tcPr>
            <w:tcW w:w="2410" w:type="dxa"/>
            <w:tcBorders>
              <w:top w:val="nil"/>
              <w:left w:val="nil"/>
              <w:bottom w:val="single" w:sz="4" w:space="0" w:color="auto"/>
              <w:right w:val="single" w:sz="4" w:space="0" w:color="auto"/>
            </w:tcBorders>
            <w:shd w:val="clear" w:color="auto" w:fill="auto"/>
            <w:vAlign w:val="center"/>
            <w:hideMark/>
          </w:tcPr>
          <w:p w:rsidR="00AA4F7B" w:rsidRPr="00617D1E" w:rsidRDefault="00AA4F7B" w:rsidP="00094465">
            <w:pPr>
              <w:spacing w:after="0"/>
              <w:ind w:left="283"/>
              <w:jc w:val="center"/>
              <w:rPr>
                <w:rFonts w:asciiTheme="majorHAnsi" w:eastAsia="Times New Roman" w:hAnsiTheme="majorHAnsi"/>
                <w:sz w:val="22"/>
                <w:szCs w:val="22"/>
                <w:lang w:eastAsia="cs-CZ"/>
              </w:rPr>
            </w:pPr>
            <w:r w:rsidRPr="003C5DC4">
              <w:rPr>
                <w:rFonts w:asciiTheme="majorHAnsi" w:eastAsia="Times New Roman" w:hAnsiTheme="majorHAnsi"/>
                <w:sz w:val="22"/>
                <w:szCs w:val="22"/>
                <w:lang w:eastAsia="cs-CZ"/>
              </w:rPr>
              <w:t>Lenka Kolářová</w:t>
            </w:r>
          </w:p>
        </w:tc>
        <w:tc>
          <w:tcPr>
            <w:tcW w:w="184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603 565 011</w:t>
            </w:r>
          </w:p>
        </w:tc>
        <w:tc>
          <w:tcPr>
            <w:tcW w:w="2552" w:type="dxa"/>
            <w:tcBorders>
              <w:top w:val="nil"/>
              <w:left w:val="nil"/>
              <w:bottom w:val="single" w:sz="4" w:space="0" w:color="auto"/>
              <w:right w:val="single" w:sz="4" w:space="0" w:color="auto"/>
            </w:tcBorders>
            <w:shd w:val="clear" w:color="auto" w:fill="auto"/>
            <w:vAlign w:val="center"/>
          </w:tcPr>
          <w:p w:rsidR="00AA4F7B" w:rsidRPr="00617D1E" w:rsidRDefault="00AA4F7B" w:rsidP="00094465">
            <w:pPr>
              <w:spacing w:after="0"/>
              <w:ind w:left="283"/>
              <w:jc w:val="center"/>
              <w:rPr>
                <w:rFonts w:asciiTheme="majorHAnsi" w:eastAsia="Times New Roman" w:hAnsiTheme="majorHAnsi"/>
                <w:sz w:val="22"/>
                <w:szCs w:val="22"/>
                <w:lang w:eastAsia="cs-CZ"/>
              </w:rPr>
            </w:pPr>
            <w:r w:rsidRPr="00617D1E">
              <w:rPr>
                <w:rFonts w:eastAsiaTheme="minorHAnsi" w:cs="Cambria"/>
                <w:sz w:val="22"/>
                <w:szCs w:val="22"/>
                <w:lang w:eastAsia="en-US"/>
              </w:rPr>
              <w:t>kolarova(at)crr.cz</w:t>
            </w:r>
          </w:p>
        </w:tc>
      </w:tr>
    </w:tbl>
    <w:p w:rsidR="00094465" w:rsidRDefault="00094465" w:rsidP="00AA4F7B">
      <w:pPr>
        <w:autoSpaceDE w:val="0"/>
        <w:autoSpaceDN w:val="0"/>
        <w:adjustRightInd w:val="0"/>
        <w:spacing w:after="0"/>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Aktuální kontakty jsou k dispozici na webových stránkách</w:t>
      </w:r>
    </w:p>
    <w:p w:rsidR="00FC2CA5" w:rsidRDefault="00150503" w:rsidP="00617D1E">
      <w:pPr>
        <w:autoSpaceDE w:val="0"/>
        <w:autoSpaceDN w:val="0"/>
        <w:adjustRightInd w:val="0"/>
        <w:spacing w:after="0"/>
        <w:jc w:val="both"/>
        <w:rPr>
          <w:rFonts w:eastAsiaTheme="minorHAnsi" w:cs="Cambria"/>
          <w:lang w:eastAsia="en-US"/>
        </w:rPr>
      </w:pPr>
      <w:hyperlink r:id="rId17" w:history="1">
        <w:r w:rsidR="003A7B5C" w:rsidRPr="007B17D4">
          <w:rPr>
            <w:rStyle w:val="Hypertextovodkaz"/>
            <w:rFonts w:eastAsiaTheme="minorHAnsi" w:cs="Cambria"/>
            <w:lang w:eastAsia="en-US"/>
          </w:rPr>
          <w:t>http://www.crr.cz/cs/crr/kontakty-irop</w:t>
        </w:r>
      </w:hyperlink>
      <w:r w:rsidR="00FC2CA5">
        <w:rPr>
          <w:rFonts w:eastAsiaTheme="minorHAnsi" w:cs="Cambria"/>
          <w:lang w:eastAsia="en-US"/>
        </w:rPr>
        <w:t xml:space="preserve"> nebo </w:t>
      </w:r>
      <w:hyperlink r:id="rId18" w:history="1">
        <w:r w:rsidR="00FC2CA5" w:rsidRPr="007B17D4">
          <w:rPr>
            <w:rStyle w:val="Hypertextovodkaz"/>
            <w:rFonts w:eastAsiaTheme="minorHAnsi" w:cs="Cambria"/>
            <w:lang w:eastAsia="en-US"/>
          </w:rPr>
          <w:t>http://dotaceeu.cz/irop</w:t>
        </w:r>
      </w:hyperlink>
      <w:r w:rsidR="00FC2CA5">
        <w:rPr>
          <w:rFonts w:eastAsiaTheme="minorHAnsi" w:cs="Cambria"/>
          <w:lang w:eastAsia="en-US"/>
        </w:rPr>
        <w:t xml:space="preserve">. </w:t>
      </w:r>
    </w:p>
    <w:p w:rsidR="00826A9B" w:rsidRPr="00FC2CA5" w:rsidRDefault="00826A9B" w:rsidP="00617D1E">
      <w:pPr>
        <w:autoSpaceDE w:val="0"/>
        <w:autoSpaceDN w:val="0"/>
        <w:adjustRightInd w:val="0"/>
        <w:spacing w:after="0"/>
        <w:jc w:val="both"/>
        <w:rPr>
          <w:rFonts w:eastAsiaTheme="minorHAnsi" w:cs="Cambria"/>
          <w:lang w:eastAsia="en-US"/>
        </w:rPr>
      </w:pPr>
    </w:p>
    <w:p w:rsidR="00826A9B" w:rsidRDefault="00826A9B" w:rsidP="00617D1E">
      <w:pPr>
        <w:autoSpaceDE w:val="0"/>
        <w:autoSpaceDN w:val="0"/>
        <w:adjustRightInd w:val="0"/>
        <w:spacing w:after="0"/>
        <w:jc w:val="both"/>
        <w:rPr>
          <w:rFonts w:eastAsiaTheme="minorHAnsi" w:cs="Cambria"/>
          <w:color w:val="000000"/>
          <w:lang w:eastAsia="en-US"/>
        </w:rPr>
      </w:pPr>
    </w:p>
    <w:p w:rsidR="00483B1A" w:rsidRDefault="00483B1A" w:rsidP="00617D1E">
      <w:pPr>
        <w:autoSpaceDE w:val="0"/>
        <w:autoSpaceDN w:val="0"/>
        <w:adjustRightInd w:val="0"/>
        <w:spacing w:after="0"/>
        <w:jc w:val="both"/>
        <w:rPr>
          <w:rFonts w:cs="Arial"/>
        </w:rPr>
      </w:pPr>
      <w:r>
        <w:rPr>
          <w:rFonts w:cs="Arial"/>
        </w:rPr>
        <w:t>Kontakty jsou využitelné do podání žádosti o podporu v MS2014+.</w:t>
      </w:r>
    </w:p>
    <w:p w:rsidR="00826A9B" w:rsidRDefault="00826A9B" w:rsidP="00617D1E">
      <w:pPr>
        <w:autoSpaceDE w:val="0"/>
        <w:autoSpaceDN w:val="0"/>
        <w:adjustRightInd w:val="0"/>
        <w:spacing w:after="0"/>
        <w:jc w:val="both"/>
        <w:rPr>
          <w:rFonts w:eastAsiaTheme="minorHAnsi" w:cs="Cambria"/>
          <w:color w:val="000000"/>
          <w:lang w:eastAsia="en-US"/>
        </w:rPr>
      </w:pPr>
    </w:p>
    <w:p w:rsidR="00AA4F7B" w:rsidRDefault="00AA4F7B" w:rsidP="00617D1E">
      <w:pPr>
        <w:autoSpaceDE w:val="0"/>
        <w:autoSpaceDN w:val="0"/>
        <w:adjustRightInd w:val="0"/>
        <w:spacing w:after="0"/>
        <w:jc w:val="both"/>
        <w:rPr>
          <w:rFonts w:eastAsiaTheme="minorHAnsi" w:cs="Cambria"/>
          <w:color w:val="000000"/>
          <w:lang w:eastAsia="en-US"/>
        </w:rPr>
      </w:pPr>
      <w:r>
        <w:rPr>
          <w:rFonts w:eastAsiaTheme="minorHAnsi" w:cs="Cambria"/>
          <w:color w:val="000000"/>
          <w:lang w:eastAsia="en-US"/>
        </w:rPr>
        <w:t>Po předložení žádosti o podporu budou žadateli sdělena formou depeše v MS2014+</w:t>
      </w:r>
      <w:r w:rsidR="00094465">
        <w:rPr>
          <w:rFonts w:eastAsiaTheme="minorHAnsi" w:cs="Cambria"/>
          <w:color w:val="000000"/>
          <w:lang w:eastAsia="en-US"/>
        </w:rPr>
        <w:t xml:space="preserve"> </w:t>
      </w:r>
      <w:r w:rsidRPr="00AA4F7B">
        <w:rPr>
          <w:rFonts w:eastAsiaTheme="minorHAnsi" w:cs="Cambria"/>
          <w:color w:val="000000"/>
          <w:lang w:eastAsia="en-US"/>
        </w:rPr>
        <w:t>jména administrátorů projektu pro další komunikaci v rámci administrace projektu.</w:t>
      </w:r>
    </w:p>
    <w:p w:rsidR="007A438D" w:rsidRDefault="007A438D" w:rsidP="00C76941">
      <w:pPr>
        <w:rPr>
          <w:rFonts w:eastAsiaTheme="minorHAnsi" w:cs="Cambria"/>
          <w:color w:val="000000"/>
          <w:lang w:eastAsia="en-US"/>
        </w:rPr>
      </w:pPr>
    </w:p>
    <w:p w:rsidR="005D35E5" w:rsidRDefault="005D35E5" w:rsidP="00617D1E">
      <w:pPr>
        <w:pStyle w:val="Pravidla1"/>
        <w:pageBreakBefore/>
        <w:numPr>
          <w:ilvl w:val="0"/>
          <w:numId w:val="60"/>
        </w:numPr>
        <w:suppressAutoHyphens/>
        <w:ind w:left="360"/>
        <w:jc w:val="both"/>
      </w:pPr>
      <w:bookmarkStart w:id="98" w:name="_Ref419381559"/>
      <w:bookmarkStart w:id="99" w:name="_Toc444247664"/>
      <w:r w:rsidRPr="005D35E5">
        <w:lastRenderedPageBreak/>
        <w:t>Hodnocení a výběr projektů</w:t>
      </w:r>
      <w:bookmarkEnd w:id="98"/>
      <w:bookmarkEnd w:id="99"/>
      <w:r w:rsidRPr="005D35E5">
        <w:t xml:space="preserve"> </w:t>
      </w:r>
    </w:p>
    <w:p w:rsidR="00094465" w:rsidRDefault="00094465" w:rsidP="00064DC5"/>
    <w:p w:rsidR="00094465" w:rsidRPr="00094465" w:rsidRDefault="00094465" w:rsidP="00617D1E">
      <w:pPr>
        <w:jc w:val="both"/>
        <w:rPr>
          <w:rFonts w:cs="Arial"/>
        </w:rPr>
      </w:pPr>
      <w:r w:rsidRPr="00094465">
        <w:rPr>
          <w:rFonts w:cs="Arial"/>
        </w:rPr>
        <w:t xml:space="preserve">Hodnocení žádostí o podporu probíhá </w:t>
      </w:r>
      <w:r>
        <w:rPr>
          <w:rFonts w:cs="Arial"/>
        </w:rPr>
        <w:t>průběžně</w:t>
      </w:r>
      <w:r w:rsidRPr="00094465">
        <w:rPr>
          <w:rFonts w:cs="Arial"/>
        </w:rPr>
        <w:t>.</w:t>
      </w:r>
      <w:r w:rsidRPr="00C36DCF">
        <w:t xml:space="preserve"> </w:t>
      </w:r>
      <w:r w:rsidRPr="00094465">
        <w:rPr>
          <w:rFonts w:cs="Arial"/>
        </w:rPr>
        <w:t>Postup hodnocení a výběru projektů probíhá v souladu s kap. 3 Obecných pravidel.</w:t>
      </w:r>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00" w:name="_Toc436995489"/>
      <w:bookmarkStart w:id="101" w:name="_Toc436995579"/>
      <w:bookmarkStart w:id="102" w:name="_Toc436995490"/>
      <w:bookmarkStart w:id="103" w:name="_Toc436995580"/>
      <w:bookmarkStart w:id="104" w:name="_Toc436995491"/>
      <w:bookmarkStart w:id="105" w:name="_Toc436995581"/>
      <w:bookmarkStart w:id="106" w:name="_Toc437238049"/>
      <w:bookmarkStart w:id="107" w:name="_Toc437442017"/>
      <w:bookmarkStart w:id="108" w:name="_Toc444182171"/>
      <w:bookmarkStart w:id="109" w:name="_Toc444247665"/>
      <w:bookmarkEnd w:id="100"/>
      <w:bookmarkEnd w:id="101"/>
      <w:bookmarkEnd w:id="102"/>
      <w:bookmarkEnd w:id="103"/>
      <w:bookmarkEnd w:id="104"/>
      <w:bookmarkEnd w:id="105"/>
      <w:bookmarkEnd w:id="106"/>
      <w:bookmarkEnd w:id="107"/>
      <w:bookmarkEnd w:id="108"/>
      <w:bookmarkEnd w:id="109"/>
    </w:p>
    <w:p w:rsidR="00094465" w:rsidRPr="00094465" w:rsidRDefault="00094465" w:rsidP="00094465">
      <w:pPr>
        <w:pStyle w:val="Odstavecseseznamem"/>
        <w:keepNext/>
        <w:keepLines/>
        <w:numPr>
          <w:ilvl w:val="0"/>
          <w:numId w:val="63"/>
        </w:numPr>
        <w:spacing w:before="480" w:after="0"/>
        <w:contextualSpacing w:val="0"/>
        <w:jc w:val="both"/>
        <w:outlineLvl w:val="0"/>
        <w:rPr>
          <w:rFonts w:asciiTheme="majorHAnsi" w:eastAsiaTheme="majorEastAsia" w:hAnsiTheme="majorHAnsi" w:cs="Arial"/>
          <w:b/>
          <w:bCs/>
          <w:vanish/>
          <w:color w:val="000000" w:themeColor="text1"/>
          <w:sz w:val="28"/>
          <w:szCs w:val="28"/>
        </w:rPr>
      </w:pPr>
      <w:bookmarkStart w:id="110" w:name="_Toc436995492"/>
      <w:bookmarkStart w:id="111" w:name="_Toc436995582"/>
      <w:bookmarkStart w:id="112" w:name="_Toc437238050"/>
      <w:bookmarkStart w:id="113" w:name="_Toc437442018"/>
      <w:bookmarkStart w:id="114" w:name="_Toc444182172"/>
      <w:bookmarkStart w:id="115" w:name="_Toc444247666"/>
      <w:bookmarkEnd w:id="110"/>
      <w:bookmarkEnd w:id="111"/>
      <w:bookmarkEnd w:id="112"/>
      <w:bookmarkEnd w:id="113"/>
      <w:bookmarkEnd w:id="114"/>
      <w:bookmarkEnd w:id="115"/>
    </w:p>
    <w:p w:rsidR="001937B8" w:rsidRDefault="001937B8" w:rsidP="00617D1E">
      <w:pPr>
        <w:pStyle w:val="Pravidla11"/>
        <w:numPr>
          <w:ilvl w:val="1"/>
          <w:numId w:val="63"/>
        </w:numPr>
        <w:jc w:val="both"/>
      </w:pPr>
      <w:bookmarkStart w:id="116" w:name="_Toc444247667"/>
      <w:r w:rsidRPr="00A83784">
        <w:t>Hodnocení žádostí o podporu</w:t>
      </w:r>
      <w:bookmarkEnd w:id="116"/>
    </w:p>
    <w:p w:rsidR="003A79FB" w:rsidRDefault="003A79FB" w:rsidP="00617D1E">
      <w:pPr>
        <w:pStyle w:val="Nadpis3"/>
      </w:pPr>
      <w:bookmarkStart w:id="117" w:name="_Toc425325722"/>
      <w:bookmarkStart w:id="118" w:name="_Toc444247668"/>
      <w:r>
        <w:t>K</w:t>
      </w:r>
      <w:r w:rsidRPr="007126D1">
        <w:t>ontrola přijatelnosti a formálních náležitostí projektu</w:t>
      </w:r>
      <w:bookmarkEnd w:id="117"/>
      <w:bookmarkEnd w:id="118"/>
      <w:r w:rsidRPr="007126D1">
        <w:t xml:space="preserve"> </w:t>
      </w:r>
    </w:p>
    <w:p w:rsidR="00674B31" w:rsidRPr="002042C0" w:rsidRDefault="003A79FB" w:rsidP="00617D1E">
      <w:pPr>
        <w:tabs>
          <w:tab w:val="left" w:pos="709"/>
        </w:tabs>
        <w:jc w:val="both"/>
        <w:rPr>
          <w:rFonts w:asciiTheme="majorHAnsi" w:hAnsiTheme="majorHAnsi" w:cs="Arial"/>
          <w:b/>
        </w:rPr>
      </w:pPr>
      <w:r>
        <w:t>Probíhá podle obecných kritérií přijatelnosti a formálních náležitostí uvedených v kap. 3.2 Obecných pravidel a specifických kritérií přijatelnosti pro specifický cíl 2.5</w:t>
      </w:r>
      <w:r w:rsidR="00296843">
        <w:t>.</w:t>
      </w:r>
    </w:p>
    <w:tbl>
      <w:tblPr>
        <w:tblStyle w:val="Mkatabulky"/>
        <w:tblW w:w="0" w:type="auto"/>
        <w:tblLook w:val="04A0" w:firstRow="1" w:lastRow="0" w:firstColumn="1" w:lastColumn="0" w:noHBand="0" w:noVBand="1"/>
      </w:tblPr>
      <w:tblGrid>
        <w:gridCol w:w="4606"/>
        <w:gridCol w:w="4606"/>
      </w:tblGrid>
      <w:tr w:rsidR="002E1DF2" w:rsidRPr="00296843" w:rsidTr="002B5F01">
        <w:trPr>
          <w:trHeight w:hRule="exact" w:val="567"/>
        </w:trPr>
        <w:tc>
          <w:tcPr>
            <w:tcW w:w="9212" w:type="dxa"/>
            <w:gridSpan w:val="2"/>
            <w:vAlign w:val="center"/>
          </w:tcPr>
          <w:p w:rsidR="002E1DF2" w:rsidRPr="00296843" w:rsidRDefault="002E1DF2" w:rsidP="00094465">
            <w:pPr>
              <w:spacing w:after="200"/>
              <w:jc w:val="center"/>
              <w:rPr>
                <w:rFonts w:asciiTheme="majorHAnsi" w:hAnsiTheme="majorHAnsi"/>
                <w:b/>
                <w:sz w:val="22"/>
                <w:szCs w:val="22"/>
                <w:lang w:val="cs-CZ"/>
              </w:rPr>
            </w:pPr>
            <w:r w:rsidRPr="00296843">
              <w:rPr>
                <w:rFonts w:asciiTheme="majorHAnsi" w:hAnsiTheme="majorHAnsi"/>
                <w:b/>
                <w:sz w:val="22"/>
                <w:szCs w:val="22"/>
                <w:lang w:val="cs-CZ"/>
              </w:rPr>
              <w:t xml:space="preserve">Specifická kritéria přijatelnosti pro </w:t>
            </w:r>
            <w:r w:rsidR="00094465" w:rsidRPr="00296843">
              <w:rPr>
                <w:rFonts w:asciiTheme="majorHAnsi" w:hAnsiTheme="majorHAnsi"/>
                <w:b/>
                <w:sz w:val="22"/>
                <w:szCs w:val="22"/>
                <w:lang w:val="cs-CZ"/>
              </w:rPr>
              <w:t xml:space="preserve">specifický cíl </w:t>
            </w:r>
            <w:r w:rsidRPr="00296843">
              <w:rPr>
                <w:rFonts w:asciiTheme="majorHAnsi" w:hAnsiTheme="majorHAnsi"/>
                <w:b/>
                <w:sz w:val="22"/>
                <w:szCs w:val="22"/>
                <w:lang w:val="cs-CZ"/>
              </w:rPr>
              <w:t>2.5</w:t>
            </w:r>
          </w:p>
        </w:tc>
      </w:tr>
      <w:tr w:rsidR="00062694" w:rsidRPr="00296843" w:rsidTr="002042C0">
        <w:trPr>
          <w:trHeight w:hRule="exact" w:val="567"/>
        </w:trPr>
        <w:tc>
          <w:tcPr>
            <w:tcW w:w="9212" w:type="dxa"/>
            <w:gridSpan w:val="2"/>
            <w:shd w:val="clear" w:color="auto" w:fill="D9D9D9" w:themeFill="background1" w:themeFillShade="D9"/>
            <w:vAlign w:val="center"/>
          </w:tcPr>
          <w:p w:rsidR="00062694" w:rsidRPr="00296843" w:rsidRDefault="00062694" w:rsidP="00872031">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Kritéria společná pro všechny aktivity</w:t>
            </w:r>
          </w:p>
        </w:tc>
      </w:tr>
      <w:tr w:rsidR="004B3615" w:rsidRPr="00296843" w:rsidTr="00487CB1">
        <w:trPr>
          <w:trHeight w:val="567"/>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7B3FC2" w:rsidRPr="00296843" w:rsidTr="00487CB1">
        <w:trPr>
          <w:trHeight w:val="567"/>
        </w:trPr>
        <w:tc>
          <w:tcPr>
            <w:tcW w:w="4606" w:type="dxa"/>
            <w:vAlign w:val="center"/>
          </w:tcPr>
          <w:p w:rsidR="007B3FC2" w:rsidRPr="00296843" w:rsidRDefault="007B3FC2" w:rsidP="002F2540">
            <w:pPr>
              <w:spacing w:after="200"/>
              <w:rPr>
                <w:rFonts w:asciiTheme="majorHAnsi" w:hAnsiTheme="majorHAnsi"/>
                <w:b/>
                <w:sz w:val="22"/>
                <w:szCs w:val="22"/>
                <w:lang w:val="cs-CZ"/>
              </w:rPr>
            </w:pPr>
            <w:r w:rsidRPr="00296843">
              <w:rPr>
                <w:rFonts w:asciiTheme="majorHAnsi" w:hAnsiTheme="majorHAnsi"/>
                <w:b/>
                <w:bCs/>
                <w:sz w:val="22"/>
                <w:szCs w:val="22"/>
                <w:lang w:val="cs-CZ"/>
              </w:rPr>
              <w:t>Žadatel má zajištěnou administrativní, finanční a provozní kapacitu k realizaci a udržitelnosti projektu.</w:t>
            </w:r>
          </w:p>
        </w:tc>
        <w:tc>
          <w:tcPr>
            <w:tcW w:w="4606" w:type="dxa"/>
            <w:vAlign w:val="center"/>
          </w:tcPr>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ANO - Žadatel má zajištěnou administrativní, finanční a provozní kapacitu k realizaci a udržitelnosti projektu.</w:t>
            </w:r>
          </w:p>
          <w:p w:rsidR="007B3FC2" w:rsidRPr="00296843" w:rsidRDefault="00531C24" w:rsidP="00531C24">
            <w:pPr>
              <w:spacing w:after="200"/>
              <w:rPr>
                <w:rFonts w:asciiTheme="majorHAnsi" w:hAnsiTheme="majorHAnsi"/>
                <w:b/>
                <w:sz w:val="22"/>
                <w:szCs w:val="22"/>
                <w:lang w:val="cs-CZ"/>
              </w:rPr>
            </w:pPr>
            <w:r w:rsidRPr="00296843">
              <w:rPr>
                <w:rFonts w:asciiTheme="majorHAnsi" w:hAnsiTheme="majorHAnsi"/>
                <w:sz w:val="22"/>
                <w:szCs w:val="22"/>
                <w:lang w:val="cs-CZ"/>
              </w:rPr>
              <w:t>NE - Žadatel nemá zajištěnou administrativní, finanční a provozní kapacitu k realizaci a udržitelnosti projektu.</w:t>
            </w:r>
          </w:p>
        </w:tc>
      </w:tr>
      <w:tr w:rsidR="007B3FC2" w:rsidRPr="00296843" w:rsidTr="00487CB1">
        <w:trPr>
          <w:trHeight w:val="567"/>
        </w:trPr>
        <w:tc>
          <w:tcPr>
            <w:tcW w:w="4606" w:type="dxa"/>
            <w:vAlign w:val="center"/>
          </w:tcPr>
          <w:p w:rsidR="007B3FC2" w:rsidRPr="00296843" w:rsidRDefault="007B3FC2"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Minimálně 85% způsobilých výdajů projektu je zaměřeno na hlavní aktivitu projektu.</w:t>
            </w:r>
          </w:p>
        </w:tc>
        <w:tc>
          <w:tcPr>
            <w:tcW w:w="4606" w:type="dxa"/>
            <w:vAlign w:val="center"/>
          </w:tcPr>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ANO - Minimálně 85 % způsobilých výdajů projektu je zaměřeno na hlavní aktivitu projektu.</w:t>
            </w:r>
          </w:p>
          <w:p w:rsidR="007B3FC2" w:rsidRPr="00296843" w:rsidRDefault="00531C24" w:rsidP="00531C24">
            <w:pPr>
              <w:spacing w:after="200"/>
              <w:rPr>
                <w:rFonts w:asciiTheme="majorHAnsi" w:hAnsiTheme="majorHAnsi"/>
                <w:b/>
                <w:bCs/>
                <w:sz w:val="22"/>
                <w:szCs w:val="22"/>
                <w:lang w:val="cs-CZ"/>
              </w:rPr>
            </w:pPr>
            <w:r w:rsidRPr="00296843">
              <w:rPr>
                <w:rFonts w:asciiTheme="majorHAnsi" w:hAnsiTheme="majorHAnsi"/>
                <w:sz w:val="22"/>
                <w:szCs w:val="22"/>
                <w:lang w:val="cs-CZ"/>
              </w:rPr>
              <w:t>NE - Minimálně 85 % způsobilých výdajů projektu není zaměřeno na hlavní aktivitu projektu.</w:t>
            </w:r>
          </w:p>
        </w:tc>
      </w:tr>
      <w:tr w:rsidR="007B3FC2" w:rsidRPr="00296843" w:rsidTr="00487CB1">
        <w:trPr>
          <w:trHeight w:val="567"/>
        </w:trPr>
        <w:tc>
          <w:tcPr>
            <w:tcW w:w="4606" w:type="dxa"/>
            <w:vAlign w:val="center"/>
          </w:tcPr>
          <w:p w:rsidR="007B3FC2" w:rsidRPr="00296843" w:rsidRDefault="007B3FC2" w:rsidP="002F2540">
            <w:pPr>
              <w:spacing w:after="200"/>
              <w:rPr>
                <w:rFonts w:asciiTheme="majorHAnsi" w:hAnsiTheme="majorHAnsi"/>
                <w:b/>
                <w:sz w:val="22"/>
                <w:szCs w:val="22"/>
                <w:lang w:val="cs-CZ"/>
              </w:rPr>
            </w:pPr>
            <w:r w:rsidRPr="00296843">
              <w:rPr>
                <w:rFonts w:asciiTheme="majorHAnsi" w:hAnsiTheme="majorHAnsi"/>
                <w:b/>
                <w:bCs/>
                <w:sz w:val="22"/>
                <w:szCs w:val="22"/>
                <w:lang w:val="cs-CZ"/>
              </w:rPr>
              <w:t>Harmonogram realizace projektu je reálný a proveditelný.</w:t>
            </w:r>
          </w:p>
        </w:tc>
        <w:tc>
          <w:tcPr>
            <w:tcW w:w="4606" w:type="dxa"/>
            <w:vAlign w:val="center"/>
          </w:tcPr>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ANO - Navrhovaný harmonogram projektu je reálný a proveditelný.</w:t>
            </w:r>
          </w:p>
          <w:p w:rsidR="007B3FC2" w:rsidRPr="00296843" w:rsidRDefault="00531C24" w:rsidP="00531C24">
            <w:pPr>
              <w:spacing w:after="200"/>
              <w:rPr>
                <w:rFonts w:asciiTheme="majorHAnsi" w:hAnsiTheme="majorHAnsi"/>
                <w:b/>
                <w:sz w:val="22"/>
                <w:szCs w:val="22"/>
                <w:lang w:val="cs-CZ"/>
              </w:rPr>
            </w:pPr>
            <w:r w:rsidRPr="00296843">
              <w:rPr>
                <w:rFonts w:asciiTheme="majorHAnsi" w:hAnsiTheme="majorHAnsi"/>
                <w:sz w:val="22"/>
                <w:szCs w:val="22"/>
                <w:lang w:val="cs-CZ"/>
              </w:rPr>
              <w:t>NE - Navrhovaný harmonogram projektu není reálný.</w:t>
            </w:r>
          </w:p>
        </w:tc>
      </w:tr>
      <w:tr w:rsidR="007B3FC2" w:rsidRPr="00296843" w:rsidTr="00487CB1">
        <w:trPr>
          <w:trHeight w:val="567"/>
        </w:trPr>
        <w:tc>
          <w:tcPr>
            <w:tcW w:w="4606" w:type="dxa"/>
            <w:vAlign w:val="center"/>
          </w:tcPr>
          <w:p w:rsidR="007B3FC2" w:rsidRPr="00296843" w:rsidRDefault="007B3FC2" w:rsidP="002F2540">
            <w:pPr>
              <w:spacing w:after="200"/>
              <w:rPr>
                <w:rFonts w:asciiTheme="majorHAnsi" w:hAnsiTheme="majorHAnsi"/>
                <w:b/>
                <w:sz w:val="22"/>
                <w:szCs w:val="22"/>
                <w:lang w:val="cs-CZ"/>
              </w:rPr>
            </w:pPr>
            <w:r w:rsidRPr="00296843">
              <w:rPr>
                <w:rFonts w:asciiTheme="majorHAnsi" w:hAnsiTheme="majorHAnsi"/>
                <w:b/>
                <w:bCs/>
                <w:sz w:val="22"/>
                <w:szCs w:val="22"/>
                <w:lang w:val="cs-CZ"/>
              </w:rPr>
              <w:t>Cílové hodnoty indikátorů odpovídají cílům projektu.</w:t>
            </w:r>
          </w:p>
        </w:tc>
        <w:tc>
          <w:tcPr>
            <w:tcW w:w="4606" w:type="dxa"/>
            <w:vAlign w:val="center"/>
          </w:tcPr>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ANO - Cílové hodnoty indikátorů odpovídají cílům projektu.</w:t>
            </w:r>
          </w:p>
          <w:p w:rsidR="007B3FC2" w:rsidRPr="00296843" w:rsidRDefault="00531C24" w:rsidP="00531C24">
            <w:pPr>
              <w:spacing w:after="200"/>
              <w:rPr>
                <w:rFonts w:asciiTheme="majorHAnsi" w:hAnsiTheme="majorHAnsi"/>
                <w:b/>
                <w:sz w:val="22"/>
                <w:szCs w:val="22"/>
                <w:lang w:val="cs-CZ"/>
              </w:rPr>
            </w:pPr>
            <w:r w:rsidRPr="00296843">
              <w:rPr>
                <w:rFonts w:asciiTheme="majorHAnsi" w:hAnsiTheme="majorHAnsi"/>
                <w:sz w:val="22"/>
                <w:szCs w:val="22"/>
                <w:lang w:val="cs-CZ"/>
              </w:rPr>
              <w:t>NE - Cílové hodnoty indikátorů neodpovídají cílům projektu.</w:t>
            </w:r>
          </w:p>
        </w:tc>
      </w:tr>
      <w:tr w:rsidR="007B3FC2" w:rsidRPr="00296843" w:rsidTr="00487CB1">
        <w:trPr>
          <w:trHeight w:val="567"/>
        </w:trPr>
        <w:tc>
          <w:tcPr>
            <w:tcW w:w="4606" w:type="dxa"/>
            <w:vAlign w:val="center"/>
          </w:tcPr>
          <w:p w:rsidR="007B3FC2" w:rsidRPr="00296843" w:rsidRDefault="007B3FC2"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V hodnocení eCBA/finanční analýze projekt dosáhne minimálně hodnoty ukazatelů stanovené ve výzvě.</w:t>
            </w:r>
          </w:p>
        </w:tc>
        <w:tc>
          <w:tcPr>
            <w:tcW w:w="4606" w:type="dxa"/>
            <w:vAlign w:val="center"/>
          </w:tcPr>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ANO - Projekt dosáhl min. hodnot</w:t>
            </w:r>
            <w:r w:rsidR="00E00EC5" w:rsidRPr="00296843">
              <w:rPr>
                <w:rFonts w:asciiTheme="majorHAnsi" w:hAnsiTheme="majorHAnsi"/>
                <w:sz w:val="22"/>
                <w:szCs w:val="22"/>
                <w:lang w:val="cs-CZ"/>
              </w:rPr>
              <w:t>y</w:t>
            </w:r>
            <w:r w:rsidRPr="00296843">
              <w:rPr>
                <w:rFonts w:asciiTheme="majorHAnsi" w:hAnsiTheme="majorHAnsi"/>
                <w:sz w:val="22"/>
                <w:szCs w:val="22"/>
                <w:lang w:val="cs-CZ"/>
              </w:rPr>
              <w:t xml:space="preserve"> ukazatelů.</w:t>
            </w:r>
          </w:p>
          <w:p w:rsidR="00531C24" w:rsidRPr="00296843" w:rsidRDefault="00531C24" w:rsidP="004E59D5">
            <w:pPr>
              <w:spacing w:after="200"/>
              <w:rPr>
                <w:rFonts w:asciiTheme="majorHAnsi" w:hAnsiTheme="majorHAnsi"/>
                <w:sz w:val="22"/>
                <w:szCs w:val="22"/>
                <w:lang w:val="cs-CZ"/>
              </w:rPr>
            </w:pPr>
            <w:r w:rsidRPr="00296843">
              <w:rPr>
                <w:rFonts w:asciiTheme="majorHAnsi" w:hAnsiTheme="majorHAnsi"/>
                <w:sz w:val="22"/>
                <w:szCs w:val="22"/>
                <w:lang w:val="cs-CZ"/>
              </w:rPr>
              <w:t>NE - Projekt nedosáhl min. hodnot</w:t>
            </w:r>
            <w:r w:rsidR="00E00EC5" w:rsidRPr="00296843">
              <w:rPr>
                <w:rFonts w:asciiTheme="majorHAnsi" w:hAnsiTheme="majorHAnsi"/>
                <w:sz w:val="22"/>
                <w:szCs w:val="22"/>
                <w:lang w:val="cs-CZ"/>
              </w:rPr>
              <w:t>y</w:t>
            </w:r>
            <w:r w:rsidRPr="00296843">
              <w:rPr>
                <w:rFonts w:asciiTheme="majorHAnsi" w:hAnsiTheme="majorHAnsi"/>
                <w:sz w:val="22"/>
                <w:szCs w:val="22"/>
                <w:lang w:val="cs-CZ"/>
              </w:rPr>
              <w:t xml:space="preserve"> ukazatelů.</w:t>
            </w:r>
          </w:p>
          <w:p w:rsidR="007B3FC2" w:rsidRPr="00296843" w:rsidRDefault="00775106" w:rsidP="00531C24">
            <w:pPr>
              <w:spacing w:after="200"/>
              <w:rPr>
                <w:rFonts w:asciiTheme="majorHAnsi" w:hAnsiTheme="majorHAnsi"/>
                <w:sz w:val="22"/>
                <w:szCs w:val="22"/>
                <w:lang w:val="cs-CZ"/>
              </w:rPr>
            </w:pPr>
            <w:r w:rsidRPr="00296843">
              <w:rPr>
                <w:rFonts w:asciiTheme="majorHAnsi" w:hAnsiTheme="majorHAnsi"/>
                <w:sz w:val="22"/>
                <w:szCs w:val="22"/>
                <w:lang w:val="cs-CZ"/>
              </w:rPr>
              <w:t xml:space="preserve">NERELEVANTNÍ </w:t>
            </w:r>
            <w:r w:rsidR="00B14C67" w:rsidRPr="00296843">
              <w:rPr>
                <w:rFonts w:asciiTheme="majorHAnsi" w:hAnsiTheme="majorHAnsi"/>
                <w:sz w:val="22"/>
                <w:szCs w:val="22"/>
                <w:lang w:val="cs-CZ"/>
              </w:rPr>
              <w:t>– Nemusí se provádět</w:t>
            </w:r>
            <w:r w:rsidR="00BD6104" w:rsidRPr="00296843">
              <w:rPr>
                <w:rFonts w:asciiTheme="majorHAnsi" w:hAnsiTheme="majorHAnsi"/>
                <w:sz w:val="22"/>
                <w:szCs w:val="22"/>
                <w:lang w:val="cs-CZ"/>
              </w:rPr>
              <w:t>.</w:t>
            </w:r>
          </w:p>
        </w:tc>
      </w:tr>
      <w:tr w:rsidR="002E1DF2" w:rsidRPr="00296843" w:rsidTr="002042C0">
        <w:trPr>
          <w:trHeight w:hRule="exact" w:val="567"/>
        </w:trPr>
        <w:tc>
          <w:tcPr>
            <w:tcW w:w="9212" w:type="dxa"/>
            <w:gridSpan w:val="2"/>
            <w:shd w:val="clear" w:color="auto" w:fill="D9D9D9" w:themeFill="background1" w:themeFillShade="D9"/>
            <w:vAlign w:val="center"/>
          </w:tcPr>
          <w:p w:rsidR="002E1DF2" w:rsidRPr="00296843" w:rsidRDefault="002E1DF2" w:rsidP="00872031">
            <w:pPr>
              <w:spacing w:after="200"/>
              <w:jc w:val="center"/>
              <w:rPr>
                <w:rFonts w:asciiTheme="majorHAnsi" w:hAnsiTheme="majorHAnsi"/>
                <w:b/>
                <w:sz w:val="22"/>
                <w:szCs w:val="22"/>
                <w:lang w:val="cs-CZ"/>
              </w:rPr>
            </w:pPr>
            <w:r w:rsidRPr="00296843">
              <w:rPr>
                <w:rFonts w:asciiTheme="majorHAnsi" w:hAnsiTheme="majorHAnsi"/>
                <w:b/>
                <w:sz w:val="22"/>
                <w:szCs w:val="22"/>
                <w:lang w:val="cs-CZ"/>
              </w:rPr>
              <w:lastRenderedPageBreak/>
              <w:t>Zateplení obvodových konstrukcí a výměna výplní otvorů</w:t>
            </w:r>
          </w:p>
        </w:tc>
      </w:tr>
      <w:tr w:rsidR="004B3615" w:rsidRPr="00296843" w:rsidTr="004B3615">
        <w:trPr>
          <w:trHeight w:val="636"/>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4B3615" w:rsidRPr="00296843" w:rsidTr="00617D1E">
        <w:trPr>
          <w:trHeight w:val="2155"/>
        </w:trPr>
        <w:tc>
          <w:tcPr>
            <w:tcW w:w="4606" w:type="dxa"/>
            <w:vAlign w:val="center"/>
          </w:tcPr>
          <w:p w:rsidR="004B3615" w:rsidRPr="00296843" w:rsidRDefault="004B3615" w:rsidP="00617D1E">
            <w:pPr>
              <w:rPr>
                <w:rFonts w:asciiTheme="majorHAnsi" w:hAnsiTheme="majorHAnsi"/>
                <w:b/>
                <w:bCs/>
                <w:sz w:val="22"/>
                <w:szCs w:val="22"/>
                <w:lang w:val="cs-CZ"/>
              </w:rPr>
            </w:pPr>
            <w:r w:rsidRPr="00296843">
              <w:rPr>
                <w:rFonts w:asciiTheme="majorHAnsi" w:hAnsiTheme="majorHAnsi"/>
                <w:b/>
                <w:bCs/>
                <w:sz w:val="22"/>
                <w:szCs w:val="22"/>
                <w:lang w:val="cs-CZ"/>
              </w:rPr>
              <w:t>Projekt zohledňuje nároky volně žijících živočichů a planě rostoucích rostlin, kteří by mohli být průběhem prací ovlivněni. V případě zjištění hnízdících druhů ptáků budou práce prováděny mimo hnízdní sezonu (zvláštní zřetel bude kladen na zachování hnízdních příležitostí rorýse obecného a úkrytů netopýrů).</w:t>
            </w:r>
          </w:p>
          <w:p w:rsidR="004B3615" w:rsidRPr="00296843" w:rsidRDefault="004B3615" w:rsidP="00617D1E">
            <w:pPr>
              <w:rPr>
                <w:rFonts w:asciiTheme="majorHAnsi" w:hAnsiTheme="majorHAnsi"/>
                <w:b/>
                <w:bCs/>
                <w:sz w:val="22"/>
                <w:szCs w:val="22"/>
                <w:lang w:val="cs-CZ"/>
              </w:rPr>
            </w:pPr>
          </w:p>
        </w:tc>
        <w:tc>
          <w:tcPr>
            <w:tcW w:w="460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Žadatel provedl zjištění výskytu chráněných druhů organismů a zohlednil jejich nároky.</w:t>
            </w:r>
          </w:p>
          <w:p w:rsidR="004B3615" w:rsidRPr="00296843" w:rsidRDefault="004B3615" w:rsidP="004E59D5">
            <w:pPr>
              <w:spacing w:after="200"/>
              <w:rPr>
                <w:rFonts w:asciiTheme="majorHAnsi" w:hAnsiTheme="majorHAnsi"/>
                <w:b/>
                <w:bCs/>
                <w:sz w:val="22"/>
                <w:szCs w:val="22"/>
                <w:lang w:val="cs-CZ"/>
              </w:rPr>
            </w:pPr>
            <w:r w:rsidRPr="00296843">
              <w:rPr>
                <w:rFonts w:asciiTheme="majorHAnsi" w:hAnsiTheme="majorHAnsi"/>
                <w:sz w:val="22"/>
                <w:szCs w:val="22"/>
                <w:lang w:val="cs-CZ"/>
              </w:rPr>
              <w:t>NE - Žadatel neprovedl zjištění výskytu chráněných druhů organismů a nezohlednil jejich nároky.</w:t>
            </w:r>
          </w:p>
        </w:tc>
      </w:tr>
      <w:tr w:rsidR="004B3615" w:rsidRPr="00296843" w:rsidTr="00617D1E">
        <w:trPr>
          <w:trHeight w:val="2155"/>
        </w:trPr>
        <w:tc>
          <w:tcPr>
            <w:tcW w:w="4606" w:type="dxa"/>
            <w:vAlign w:val="center"/>
          </w:tcPr>
          <w:p w:rsidR="004B3615" w:rsidRPr="00296843" w:rsidRDefault="004B3615" w:rsidP="00617D1E">
            <w:pPr>
              <w:rPr>
                <w:rFonts w:asciiTheme="majorHAnsi" w:hAnsiTheme="majorHAnsi"/>
                <w:b/>
                <w:bCs/>
                <w:sz w:val="22"/>
                <w:szCs w:val="22"/>
                <w:lang w:val="cs-CZ"/>
              </w:rPr>
            </w:pPr>
            <w:r w:rsidRPr="00296843">
              <w:rPr>
                <w:rFonts w:asciiTheme="majorHAnsi" w:hAnsiTheme="majorHAnsi"/>
                <w:b/>
                <w:bCs/>
                <w:sz w:val="22"/>
                <w:szCs w:val="22"/>
                <w:lang w:val="cs-CZ"/>
              </w:rPr>
              <w:t xml:space="preserve">Projekt dosáhne minimálně 20 % úspory celkové dodané energie po realizaci zateplení obvodových </w:t>
            </w:r>
            <w:r w:rsidR="003C6E16" w:rsidRPr="00296843">
              <w:rPr>
                <w:rFonts w:asciiTheme="majorHAnsi" w:hAnsiTheme="majorHAnsi"/>
                <w:b/>
                <w:bCs/>
                <w:sz w:val="22"/>
                <w:szCs w:val="22"/>
                <w:lang w:val="cs-CZ"/>
              </w:rPr>
              <w:t xml:space="preserve">konstrukcí </w:t>
            </w:r>
            <w:r w:rsidRPr="00296843">
              <w:rPr>
                <w:rFonts w:asciiTheme="majorHAnsi" w:hAnsiTheme="majorHAnsi"/>
                <w:b/>
                <w:bCs/>
                <w:sz w:val="22"/>
                <w:szCs w:val="22"/>
                <w:lang w:val="cs-CZ"/>
              </w:rPr>
              <w:t>a/nebo výměně výplní otvorů na obálce budovy. Toto ustanovení se netýká památkově chráněných budov.</w:t>
            </w:r>
          </w:p>
          <w:p w:rsidR="004B3615" w:rsidRPr="00296843" w:rsidRDefault="004B3615" w:rsidP="00617D1E">
            <w:pPr>
              <w:rPr>
                <w:rFonts w:asciiTheme="majorHAnsi" w:hAnsiTheme="majorHAnsi"/>
                <w:b/>
                <w:bCs/>
                <w:sz w:val="22"/>
                <w:szCs w:val="22"/>
                <w:lang w:val="cs-CZ"/>
              </w:rPr>
            </w:pPr>
          </w:p>
        </w:tc>
        <w:tc>
          <w:tcPr>
            <w:tcW w:w="460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Energetické hodnocení prokazuje snížení celkové dodané energie o min. 20 %.</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Energetické hodnocení neprokazuje snížení celkové dodané energie o min. 20 %.</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podána na zlepšení tepelně-technických vlastností obvodových konstrukcí nebo se jedná o památkově chráněnou budovu.</w:t>
            </w:r>
          </w:p>
        </w:tc>
      </w:tr>
      <w:tr w:rsidR="004B3615" w:rsidRPr="00296843" w:rsidTr="00617D1E">
        <w:trPr>
          <w:trHeight w:val="2155"/>
        </w:trPr>
        <w:tc>
          <w:tcPr>
            <w:tcW w:w="4606" w:type="dxa"/>
            <w:vAlign w:val="center"/>
          </w:tcPr>
          <w:p w:rsidR="004B3615" w:rsidRPr="00296843" w:rsidRDefault="004B3615" w:rsidP="00617D1E">
            <w:pPr>
              <w:rPr>
                <w:rFonts w:asciiTheme="majorHAnsi" w:hAnsiTheme="majorHAnsi"/>
                <w:b/>
                <w:bCs/>
                <w:sz w:val="22"/>
                <w:szCs w:val="22"/>
                <w:lang w:val="cs-CZ"/>
              </w:rPr>
            </w:pPr>
            <w:r w:rsidRPr="00296843">
              <w:rPr>
                <w:rFonts w:asciiTheme="majorHAnsi" w:hAnsiTheme="majorHAnsi"/>
                <w:b/>
                <w:bCs/>
                <w:sz w:val="22"/>
                <w:szCs w:val="22"/>
                <w:lang w:val="cs-CZ"/>
              </w:rPr>
              <w:t xml:space="preserve">Projekt dosáhne nákladově optimální úrovně energetické náročnosti budovy po realizaci zateplení obvodových konstrukcí a/nebo výměně výplní otvorů podle požadavku platné vyhlášky č. 78/2013 Sb., o energetické náročnosti budov, §6, odst. 2, písm. a) nebo b) nebo dosáhne 0,95 násobku doporučené hodnoty součinitele prostupu tepla pro jednotlivé zateplované konstrukce nebo měněné výplně otvorů na obálce budovy podle ČSN 73 0540-2:2011 </w:t>
            </w:r>
          </w:p>
          <w:p w:rsidR="004B3615" w:rsidRPr="00296843" w:rsidRDefault="004B3615" w:rsidP="00617D1E">
            <w:pPr>
              <w:rPr>
                <w:rFonts w:asciiTheme="majorHAnsi" w:hAnsiTheme="majorHAnsi"/>
                <w:b/>
                <w:bCs/>
                <w:sz w:val="22"/>
                <w:szCs w:val="22"/>
                <w:lang w:val="cs-CZ"/>
              </w:rPr>
            </w:pPr>
          </w:p>
          <w:p w:rsidR="00A62834" w:rsidRPr="00296843" w:rsidRDefault="00A62834" w:rsidP="00617D1E">
            <w:pPr>
              <w:rPr>
                <w:rFonts w:asciiTheme="majorHAnsi" w:hAnsiTheme="majorHAnsi"/>
                <w:b/>
                <w:bCs/>
                <w:sz w:val="22"/>
                <w:szCs w:val="22"/>
                <w:lang w:val="cs-CZ"/>
              </w:rPr>
            </w:pPr>
            <w:r w:rsidRPr="00296843">
              <w:rPr>
                <w:rFonts w:asciiTheme="majorHAnsi" w:hAnsiTheme="majorHAnsi"/>
                <w:b/>
                <w:bCs/>
                <w:sz w:val="22"/>
                <w:szCs w:val="22"/>
                <w:lang w:val="cs-CZ"/>
              </w:rPr>
              <w:t>Toto ustanovení se netýká památkově chráněných budov.</w:t>
            </w:r>
          </w:p>
        </w:tc>
        <w:tc>
          <w:tcPr>
            <w:tcW w:w="460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Projekt dosahuje požadovaných parametrů pro nákladově optimální úroveň podle písm. a) nebo b) odst. 2, §6 vyhlášky č.78/2013 Sb., o energetické náročnosti budov nebo dosahuje 0,95 násobku doporučené hodnoty součinitele prostupu tepla pro jednotlivé zateplované konstrukce nebo měněné výplně otvorů na obálce budovy podle ČSN 73 0540-2:2011.</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Projekt nedosahuje požadovaných parametrů pro nákladově optimální úroveň podle písm. a) nebo b) odst. 2, §6 vyhlášky č. 78/2013 Sb., o energetické náročnosti budov nebo nedosahuje 0,95 násobku doporučené hodnoty součinitele prostupu tepla pro jednotlivé zateplované konstrukce nebo měněné výplně otvorů na obálce podle ČSN 73 0540-2:2011.</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podána na zlepšení tepelně-technických vlastností obvodových konstrukcí, nebo se jedná o památkově chráněnou budovu.</w:t>
            </w:r>
          </w:p>
        </w:tc>
      </w:tr>
      <w:tr w:rsidR="004B3615" w:rsidRPr="00296843" w:rsidTr="00617D1E">
        <w:trPr>
          <w:trHeight w:val="2155"/>
        </w:trPr>
        <w:tc>
          <w:tcPr>
            <w:tcW w:w="4606" w:type="dxa"/>
            <w:vAlign w:val="center"/>
          </w:tcPr>
          <w:p w:rsidR="004B3615" w:rsidRPr="00296843" w:rsidRDefault="004B3615" w:rsidP="00617D1E">
            <w:pPr>
              <w:rPr>
                <w:rFonts w:asciiTheme="majorHAnsi" w:hAnsiTheme="majorHAnsi"/>
                <w:b/>
                <w:bCs/>
                <w:sz w:val="22"/>
                <w:szCs w:val="22"/>
                <w:lang w:val="cs-CZ"/>
              </w:rPr>
            </w:pPr>
            <w:r w:rsidRPr="00296843">
              <w:rPr>
                <w:rFonts w:asciiTheme="majorHAnsi" w:hAnsiTheme="majorHAnsi"/>
                <w:b/>
                <w:bCs/>
                <w:sz w:val="22"/>
                <w:szCs w:val="22"/>
                <w:lang w:val="cs-CZ"/>
              </w:rPr>
              <w:lastRenderedPageBreak/>
              <w:t xml:space="preserve">Dosažení hodnot ukazatelů energetické náročnosti měněných prvků (požadované hodnoty součinitele prostupu </w:t>
            </w:r>
            <w:r w:rsidR="00602CF6" w:rsidRPr="00296843">
              <w:rPr>
                <w:rFonts w:asciiTheme="majorHAnsi" w:hAnsiTheme="majorHAnsi"/>
                <w:b/>
                <w:bCs/>
                <w:sz w:val="22"/>
                <w:szCs w:val="22"/>
                <w:lang w:val="cs-CZ"/>
              </w:rPr>
              <w:t xml:space="preserve">tepla U </w:t>
            </w:r>
            <w:r w:rsidR="00602CF6" w:rsidRPr="00296843">
              <w:rPr>
                <w:rFonts w:asciiTheme="majorHAnsi" w:hAnsiTheme="majorHAnsi"/>
                <w:b/>
                <w:bCs/>
                <w:sz w:val="22"/>
                <w:szCs w:val="22"/>
                <w:vertAlign w:val="subscript"/>
                <w:lang w:val="cs-CZ"/>
              </w:rPr>
              <w:t>N, 20</w:t>
            </w:r>
            <w:r w:rsidRPr="00296843">
              <w:rPr>
                <w:rFonts w:asciiTheme="majorHAnsi" w:hAnsiTheme="majorHAnsi"/>
                <w:b/>
                <w:bCs/>
                <w:sz w:val="22"/>
                <w:szCs w:val="22"/>
                <w:lang w:val="cs-CZ"/>
              </w:rPr>
              <w:t>) u památkově chráněných budov.</w:t>
            </w:r>
          </w:p>
          <w:p w:rsidR="004B3615" w:rsidRPr="00296843" w:rsidRDefault="004B3615" w:rsidP="00617D1E">
            <w:pPr>
              <w:rPr>
                <w:rFonts w:asciiTheme="majorHAnsi" w:hAnsiTheme="majorHAnsi"/>
                <w:b/>
                <w:bCs/>
                <w:sz w:val="22"/>
                <w:szCs w:val="22"/>
                <w:lang w:val="cs-CZ"/>
              </w:rPr>
            </w:pPr>
          </w:p>
        </w:tc>
        <w:tc>
          <w:tcPr>
            <w:tcW w:w="460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Je dosaženo požadovaných hodnot součinitele prostupu tepla U</w:t>
            </w:r>
            <w:r w:rsidRPr="00296843">
              <w:rPr>
                <w:rFonts w:asciiTheme="majorHAnsi" w:hAnsiTheme="majorHAnsi"/>
                <w:sz w:val="22"/>
                <w:szCs w:val="22"/>
                <w:vertAlign w:val="subscript"/>
                <w:lang w:val="cs-CZ"/>
              </w:rPr>
              <w:t>N, 20</w:t>
            </w:r>
            <w:r w:rsidRPr="00296843">
              <w:rPr>
                <w:rFonts w:asciiTheme="majorHAnsi" w:hAnsiTheme="majorHAnsi"/>
                <w:sz w:val="22"/>
                <w:szCs w:val="22"/>
                <w:lang w:val="cs-CZ"/>
              </w:rPr>
              <w:t xml:space="preserve"> podle ČSN 73 0540-2.</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Není dosaženo požadovaných hodnot součinitele prostupu tepla U</w:t>
            </w:r>
            <w:r w:rsidRPr="00296843">
              <w:rPr>
                <w:rFonts w:asciiTheme="majorHAnsi" w:hAnsiTheme="majorHAnsi"/>
                <w:sz w:val="22"/>
                <w:szCs w:val="22"/>
                <w:vertAlign w:val="subscript"/>
                <w:lang w:val="cs-CZ"/>
              </w:rPr>
              <w:t>N, 20</w:t>
            </w:r>
            <w:r w:rsidRPr="00296843">
              <w:rPr>
                <w:rFonts w:asciiTheme="majorHAnsi" w:hAnsiTheme="majorHAnsi"/>
                <w:sz w:val="22"/>
                <w:szCs w:val="22"/>
                <w:lang w:val="cs-CZ"/>
              </w:rPr>
              <w:t xml:space="preserve"> podle ČSN 73 0540-2.</w:t>
            </w:r>
          </w:p>
          <w:p w:rsidR="004B3615" w:rsidRPr="00296843" w:rsidRDefault="004B3615" w:rsidP="004E59D5">
            <w:pPr>
              <w:spacing w:after="200"/>
              <w:jc w:val="both"/>
              <w:rPr>
                <w:rFonts w:asciiTheme="majorHAnsi" w:hAnsiTheme="majorHAnsi"/>
                <w:b/>
                <w:sz w:val="22"/>
                <w:szCs w:val="22"/>
                <w:lang w:val="cs-CZ"/>
              </w:rPr>
            </w:pPr>
            <w:r w:rsidRPr="00296843">
              <w:rPr>
                <w:rFonts w:asciiTheme="majorHAnsi" w:hAnsiTheme="majorHAnsi"/>
                <w:sz w:val="22"/>
                <w:szCs w:val="22"/>
                <w:lang w:val="cs-CZ"/>
              </w:rPr>
              <w:t>NERELEVANTNÍ - Projekt není zaměřen na zlepšení tepelně-technických vlastností obvodových konstrukcí v památkově chráněných budovách nebo budovách nacházejících se v památkově chráněném území.</w:t>
            </w:r>
          </w:p>
        </w:tc>
      </w:tr>
      <w:tr w:rsidR="004B3615" w:rsidRPr="00296843" w:rsidTr="002042C0">
        <w:trPr>
          <w:trHeight w:hRule="exact" w:val="567"/>
        </w:trPr>
        <w:tc>
          <w:tcPr>
            <w:tcW w:w="9212" w:type="dxa"/>
            <w:gridSpan w:val="2"/>
            <w:shd w:val="clear" w:color="auto" w:fill="D9D9D9" w:themeFill="background1" w:themeFillShade="D9"/>
            <w:vAlign w:val="center"/>
          </w:tcPr>
          <w:p w:rsidR="004B3615" w:rsidRPr="00296843" w:rsidRDefault="004B3615" w:rsidP="00872031">
            <w:pPr>
              <w:spacing w:after="200"/>
              <w:jc w:val="center"/>
              <w:rPr>
                <w:rFonts w:asciiTheme="majorHAnsi" w:hAnsiTheme="majorHAnsi"/>
                <w:b/>
                <w:sz w:val="22"/>
                <w:szCs w:val="22"/>
                <w:lang w:val="cs-CZ"/>
              </w:rPr>
            </w:pPr>
            <w:r w:rsidRPr="00296843">
              <w:rPr>
                <w:rFonts w:asciiTheme="majorHAnsi" w:hAnsiTheme="majorHAnsi"/>
                <w:b/>
                <w:bCs/>
                <w:sz w:val="22"/>
                <w:szCs w:val="22"/>
                <w:lang w:val="cs-CZ"/>
              </w:rPr>
              <w:t>Instalace systému nuceného větrání se zpětným získáváním tepla</w:t>
            </w:r>
          </w:p>
        </w:tc>
      </w:tr>
      <w:tr w:rsidR="004B3615" w:rsidRPr="00296843" w:rsidTr="004B3615">
        <w:trPr>
          <w:trHeight w:val="690"/>
        </w:trPr>
        <w:tc>
          <w:tcPr>
            <w:tcW w:w="4606" w:type="dxa"/>
            <w:vAlign w:val="center"/>
          </w:tcPr>
          <w:p w:rsidR="004B3615" w:rsidRPr="00296843" w:rsidRDefault="004B3615" w:rsidP="007B4B0C">
            <w:pPr>
              <w:spacing w:after="200"/>
              <w:jc w:val="center"/>
              <w:rPr>
                <w:rFonts w:asciiTheme="majorHAnsi" w:hAnsiTheme="majorHAnsi"/>
                <w:b/>
                <w:bCs/>
                <w:sz w:val="22"/>
                <w:szCs w:val="22"/>
                <w:lang w:val="cs-CZ"/>
              </w:rPr>
            </w:pPr>
            <w:r w:rsidRPr="00296843">
              <w:rPr>
                <w:rFonts w:asciiTheme="majorHAnsi" w:hAnsiTheme="majorHAnsi"/>
                <w:b/>
                <w:bCs/>
                <w:sz w:val="22"/>
                <w:szCs w:val="22"/>
                <w:lang w:val="cs-CZ"/>
              </w:rPr>
              <w:t>Hodnotící kritérium</w:t>
            </w:r>
          </w:p>
        </w:tc>
        <w:tc>
          <w:tcPr>
            <w:tcW w:w="4606" w:type="dxa"/>
            <w:vAlign w:val="center"/>
          </w:tcPr>
          <w:p w:rsidR="004B3615" w:rsidRPr="00296843" w:rsidRDefault="004B3615" w:rsidP="007B4B0C">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Systém nuceného větrání se zpětným získáváním tepla dosahuje minimální účinnosti zpětného získávání tepla.</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Systém dosahuje minimální účinnosti zpětného získávání tepla ve výši 65 %.</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Systém nedosahuje minimální účinnosti zpětného získávání tepla ve výši 65 %.</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podána na instalaci systému nuceného větrání se zpětným získáváním tepla.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Při instalaci systému nuceného větrání se zpětným získáváním tepla bez současné provedeného zateplení obvodových konstrukcí podle podmínek Integrovaného regionálního operačního programu dosahuje budova před realizací těchto opatření průměrného součinitele prostupu tepla U</w:t>
            </w:r>
            <w:r w:rsidRPr="00296843">
              <w:rPr>
                <w:rFonts w:asciiTheme="majorHAnsi" w:hAnsiTheme="majorHAnsi"/>
                <w:b/>
                <w:bCs/>
                <w:sz w:val="22"/>
                <w:szCs w:val="22"/>
                <w:vertAlign w:val="subscript"/>
                <w:lang w:val="cs-CZ"/>
              </w:rPr>
              <w:t xml:space="preserve">em, R </w:t>
            </w:r>
            <w:r w:rsidRPr="00296843">
              <w:rPr>
                <w:rFonts w:asciiTheme="majorHAnsi" w:hAnsiTheme="majorHAnsi"/>
                <w:b/>
                <w:bCs/>
                <w:sz w:val="22"/>
                <w:szCs w:val="22"/>
                <w:lang w:val="cs-CZ"/>
              </w:rPr>
              <w:t>podle vyhlášky č. 78/2013 Sb., o energetické náročnosti budov.</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Budova 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w:t>
            </w:r>
            <w:r w:rsidR="009815D8" w:rsidRPr="00296843">
              <w:rPr>
                <w:rFonts w:asciiTheme="majorHAnsi" w:hAnsiTheme="majorHAnsi"/>
                <w:sz w:val="22"/>
                <w:szCs w:val="22"/>
                <w:lang w:val="cs-CZ"/>
              </w:rPr>
              <w:t>vyhlášky č</w:t>
            </w:r>
            <w:r w:rsidRPr="00296843">
              <w:rPr>
                <w:rFonts w:asciiTheme="majorHAnsi" w:hAnsiTheme="majorHAnsi"/>
                <w:sz w:val="22"/>
                <w:szCs w:val="22"/>
                <w:lang w:val="cs-CZ"/>
              </w:rPr>
              <w:t>. 78/2013 Sb., o energetické náročnosti budov.</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Budova nesplňuje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w:t>
            </w:r>
            <w:r w:rsidR="009815D8" w:rsidRPr="00296843">
              <w:rPr>
                <w:rFonts w:asciiTheme="majorHAnsi" w:hAnsiTheme="majorHAnsi"/>
                <w:sz w:val="22"/>
                <w:szCs w:val="22"/>
                <w:lang w:val="cs-CZ"/>
              </w:rPr>
              <w:t>vyhlášky č</w:t>
            </w:r>
            <w:r w:rsidRPr="00296843">
              <w:rPr>
                <w:rFonts w:asciiTheme="majorHAnsi" w:hAnsiTheme="majorHAnsi"/>
                <w:sz w:val="22"/>
                <w:szCs w:val="22"/>
                <w:lang w:val="cs-CZ"/>
              </w:rPr>
              <w:t>. 78/2013 Sb., o energetické náročnosti budov.</w:t>
            </w:r>
          </w:p>
          <w:p w:rsidR="004B3615" w:rsidRPr="00296843" w:rsidRDefault="004B3615" w:rsidP="00617D1E">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podána na samostatnou instalaci jednotky nuceného větrání se zpětným získáváním tepla nebo samostatnou instalaci zdroje tepla.</w:t>
            </w:r>
          </w:p>
        </w:tc>
      </w:tr>
      <w:tr w:rsidR="004B3615" w:rsidRPr="00296843" w:rsidTr="002042C0">
        <w:trPr>
          <w:trHeight w:hRule="exact" w:val="567"/>
        </w:trPr>
        <w:tc>
          <w:tcPr>
            <w:tcW w:w="9212" w:type="dxa"/>
            <w:gridSpan w:val="2"/>
            <w:shd w:val="clear" w:color="auto" w:fill="D9D9D9" w:themeFill="background1" w:themeFillShade="D9"/>
            <w:vAlign w:val="center"/>
          </w:tcPr>
          <w:p w:rsidR="004B3615" w:rsidRPr="00296843" w:rsidRDefault="004B3615" w:rsidP="00872031">
            <w:pPr>
              <w:spacing w:after="200"/>
              <w:jc w:val="center"/>
              <w:rPr>
                <w:rFonts w:asciiTheme="majorHAnsi" w:hAnsiTheme="majorHAnsi"/>
                <w:b/>
                <w:sz w:val="22"/>
                <w:szCs w:val="22"/>
                <w:lang w:val="cs-CZ"/>
              </w:rPr>
            </w:pPr>
            <w:r w:rsidRPr="00296843">
              <w:rPr>
                <w:rFonts w:asciiTheme="majorHAnsi" w:hAnsiTheme="majorHAnsi"/>
                <w:b/>
                <w:sz w:val="22"/>
                <w:szCs w:val="22"/>
                <w:lang w:val="cs-CZ"/>
              </w:rPr>
              <w:t xml:space="preserve">Aktivita: </w:t>
            </w:r>
            <w:r w:rsidRPr="00296843">
              <w:rPr>
                <w:rFonts w:asciiTheme="majorHAnsi" w:hAnsiTheme="majorHAnsi"/>
                <w:b/>
                <w:bCs/>
                <w:sz w:val="22"/>
                <w:szCs w:val="22"/>
                <w:lang w:val="cs-CZ"/>
              </w:rPr>
              <w:t>Instalace jednotky pro kombinovanou výrobu elektřiny a tepla</w:t>
            </w:r>
          </w:p>
        </w:tc>
      </w:tr>
      <w:tr w:rsidR="004B3615" w:rsidRPr="00296843" w:rsidTr="004B3615">
        <w:trPr>
          <w:trHeight w:val="661"/>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lastRenderedPageBreak/>
              <w:t>Jednotka pro kombinovanou výrobu elektřiny a tepla využívá jako palivo plyn nebo obnovitelné zdroje energie</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Jednotka využívá jako palivo plyn nebo obnovitelné zdroje energie.</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Jednotka nevyužívá jako palivo plyn nebo obnovitelné zdroje energie.</w:t>
            </w:r>
          </w:p>
          <w:p w:rsidR="004B3615" w:rsidRPr="00296843" w:rsidRDefault="004B3615" w:rsidP="00531C24">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podána na instalaci jednotky pro kombinovanou výrobu elektřiny a tepla.</w:t>
            </w:r>
          </w:p>
        </w:tc>
      </w:tr>
      <w:tr w:rsidR="004B3615" w:rsidRPr="00296843" w:rsidTr="00617D1E">
        <w:trPr>
          <w:trHeight w:val="454"/>
        </w:trPr>
        <w:tc>
          <w:tcPr>
            <w:tcW w:w="4606" w:type="dxa"/>
            <w:vAlign w:val="center"/>
          </w:tcPr>
          <w:p w:rsidR="004B3615" w:rsidRPr="00296843" w:rsidDel="00531C24" w:rsidRDefault="004B3615" w:rsidP="00826A9B">
            <w:pPr>
              <w:spacing w:after="200"/>
              <w:rPr>
                <w:rFonts w:asciiTheme="majorHAnsi" w:hAnsiTheme="majorHAnsi"/>
                <w:sz w:val="22"/>
                <w:szCs w:val="22"/>
                <w:lang w:val="cs-CZ"/>
              </w:rPr>
            </w:pPr>
            <w:r w:rsidRPr="00296843">
              <w:rPr>
                <w:rFonts w:asciiTheme="majorHAnsi" w:hAnsiTheme="majorHAnsi"/>
                <w:b/>
                <w:bCs/>
                <w:sz w:val="22"/>
                <w:szCs w:val="22"/>
                <w:lang w:val="cs-CZ"/>
              </w:rPr>
              <w:t>Jednotka pro kombinovanou výrobu elektřiny a tepla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Jednotka splňuje parametry dané Nařízením Komise (EU) 2015/813.</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Jednotka nesplňuje parametry dané Nařízením Komise (EU) 2015/813.</w:t>
            </w:r>
          </w:p>
          <w:p w:rsidR="004B3615" w:rsidRPr="00296843" w:rsidRDefault="004B3615" w:rsidP="00531C24">
            <w:pPr>
              <w:spacing w:after="200"/>
              <w:rPr>
                <w:rFonts w:asciiTheme="majorHAnsi" w:hAnsiTheme="majorHAnsi"/>
                <w:sz w:val="22"/>
                <w:szCs w:val="22"/>
                <w:lang w:val="cs-CZ"/>
              </w:rPr>
            </w:pPr>
            <w:r w:rsidRPr="00296843">
              <w:rPr>
                <w:rFonts w:asciiTheme="majorHAnsi" w:hAnsiTheme="majorHAnsi"/>
                <w:sz w:val="22"/>
                <w:szCs w:val="22"/>
                <w:lang w:val="cs-CZ"/>
              </w:rPr>
              <w:t>NERELEVANTNÍ – Žádost o podporu není podána na instalaci jednotky pro kombinovanou výrobu elektřiny a tepla.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Projekt dosahuje úspory celkové primární energie oproti samostatné výrobě elektřiny a tepla.</w:t>
            </w:r>
          </w:p>
          <w:p w:rsidR="004B3615" w:rsidRPr="00296843" w:rsidRDefault="004B3615" w:rsidP="002F2540">
            <w:pPr>
              <w:spacing w:after="200"/>
              <w:rPr>
                <w:rFonts w:asciiTheme="majorHAnsi" w:hAnsiTheme="majorHAnsi"/>
                <w:b/>
                <w:bCs/>
                <w:sz w:val="22"/>
                <w:szCs w:val="22"/>
                <w:lang w:val="cs-CZ"/>
              </w:rPr>
            </w:pP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Projekt dosahuje min. 10% úsporu primární energie.</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Projekt nedosahuje min. 10% úsporu primární energie.</w:t>
            </w:r>
          </w:p>
          <w:p w:rsidR="004B3615" w:rsidRPr="00296843" w:rsidRDefault="004B3615" w:rsidP="002F2540">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podána na instalaci jednotky pro kombinovanou výrobu elektřiny a tepla.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Energie vyrobená jednotkou pro kombinovanou výrobu elektřiny a tepla bude využita zejména pro potřeby bytového domu.</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Vyrobená energie bude využita zejména pro potřeby bytového domu a nebude využívána ke komerčním účelům.</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Vyrobená energie nebude využita zejména pro potřeby bytového domu.</w:t>
            </w:r>
          </w:p>
          <w:p w:rsidR="004B3615" w:rsidRPr="00296843" w:rsidRDefault="004B3615" w:rsidP="002F2540">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podávána na instalaci jednotky pro kombinovanou výrobu elektřiny a tepla.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 xml:space="preserve">Při instalaci jednotky pro kombinovanou výrobu elektřiny a tepla bez současně provedeného zateplení obvodových konstrukcí podle podmínek Integrovaného regionálního operačního program, dosahuje budova před realizací těchto opatření průměrného součinitele prostupu tepla U </w:t>
            </w:r>
            <w:r w:rsidRPr="00296843">
              <w:rPr>
                <w:rFonts w:asciiTheme="majorHAnsi" w:hAnsiTheme="majorHAnsi"/>
                <w:b/>
                <w:bCs/>
                <w:sz w:val="22"/>
                <w:szCs w:val="22"/>
                <w:vertAlign w:val="subscript"/>
                <w:lang w:val="cs-CZ"/>
              </w:rPr>
              <w:t>em, R</w:t>
            </w:r>
            <w:r w:rsidRPr="00296843">
              <w:rPr>
                <w:rFonts w:asciiTheme="majorHAnsi" w:hAnsiTheme="majorHAnsi"/>
                <w:b/>
                <w:bCs/>
                <w:sz w:val="22"/>
                <w:szCs w:val="22"/>
                <w:lang w:val="cs-CZ"/>
              </w:rPr>
              <w:t xml:space="preserve"> podle vyhlášky č. 78/2013 Sb., o energetické náročnosti budov.</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Budova 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vyhlášky č. 78/2013 Sb., o energetické náročnosti budov.</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Budova nesplňuje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vyhlášky č. 78/2013 Sb., o energetické náročnosti budov.</w:t>
            </w:r>
          </w:p>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podána na instalaci jednotky pro kombinovanou výrobu elektřiny a tepla nebo je součástí žádosti také zlepšení tepelně-technických vlastností obvodových konstrukcí.</w:t>
            </w:r>
          </w:p>
        </w:tc>
      </w:tr>
      <w:tr w:rsidR="004B3615" w:rsidRPr="00296843" w:rsidTr="002042C0">
        <w:trPr>
          <w:trHeight w:hRule="exact" w:val="567"/>
        </w:trPr>
        <w:tc>
          <w:tcPr>
            <w:tcW w:w="9212" w:type="dxa"/>
            <w:gridSpan w:val="2"/>
            <w:shd w:val="clear" w:color="auto" w:fill="D9D9D9" w:themeFill="background1" w:themeFillShade="D9"/>
            <w:vAlign w:val="center"/>
          </w:tcPr>
          <w:p w:rsidR="004B3615" w:rsidRPr="00296843" w:rsidRDefault="004B3615" w:rsidP="00872031">
            <w:pPr>
              <w:spacing w:after="200"/>
              <w:jc w:val="center"/>
              <w:rPr>
                <w:rFonts w:asciiTheme="majorHAnsi" w:hAnsiTheme="majorHAnsi"/>
                <w:b/>
                <w:sz w:val="22"/>
                <w:szCs w:val="22"/>
                <w:lang w:val="cs-CZ"/>
              </w:rPr>
            </w:pPr>
            <w:r w:rsidRPr="00296843">
              <w:rPr>
                <w:rFonts w:asciiTheme="majorHAnsi" w:hAnsiTheme="majorHAnsi"/>
                <w:b/>
                <w:sz w:val="22"/>
                <w:szCs w:val="22"/>
                <w:lang w:val="cs-CZ"/>
              </w:rPr>
              <w:lastRenderedPageBreak/>
              <w:t>Instalace nového zdroje tepla</w:t>
            </w:r>
          </w:p>
        </w:tc>
      </w:tr>
      <w:tr w:rsidR="004B3615" w:rsidRPr="00296843" w:rsidTr="004B3615">
        <w:trPr>
          <w:trHeight w:val="635"/>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bCs/>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4B3615" w:rsidRPr="00296843" w:rsidTr="00487CB1">
        <w:trPr>
          <w:trHeight w:val="2155"/>
        </w:trPr>
        <w:tc>
          <w:tcPr>
            <w:tcW w:w="4606" w:type="dxa"/>
            <w:vAlign w:val="center"/>
          </w:tcPr>
          <w:p w:rsidR="004B3615" w:rsidRPr="00296843" w:rsidRDefault="004B3615" w:rsidP="005C6320">
            <w:pPr>
              <w:spacing w:after="200"/>
              <w:rPr>
                <w:rFonts w:asciiTheme="majorHAnsi" w:hAnsiTheme="majorHAnsi"/>
                <w:b/>
                <w:bCs/>
                <w:sz w:val="22"/>
                <w:szCs w:val="22"/>
                <w:lang w:val="cs-CZ"/>
              </w:rPr>
            </w:pPr>
            <w:r w:rsidRPr="00296843">
              <w:rPr>
                <w:rFonts w:asciiTheme="majorHAnsi" w:hAnsiTheme="majorHAnsi"/>
                <w:b/>
                <w:bCs/>
                <w:sz w:val="22"/>
                <w:szCs w:val="22"/>
                <w:lang w:val="cs-CZ"/>
              </w:rPr>
              <w:t>V případě realizace zdroje tepla na vytápění musí dojít k min. úspoře 30 % emisí CO2 oproti původnímu stavu, pokud dochází ke změně paliva.</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Úspora emisí CO</w:t>
            </w:r>
            <w:r w:rsidRPr="00296843">
              <w:rPr>
                <w:rFonts w:asciiTheme="majorHAnsi" w:hAnsiTheme="majorHAnsi"/>
                <w:sz w:val="22"/>
                <w:szCs w:val="22"/>
                <w:vertAlign w:val="subscript"/>
                <w:lang w:val="cs-CZ"/>
              </w:rPr>
              <w:t>2</w:t>
            </w:r>
            <w:r w:rsidRPr="00296843">
              <w:rPr>
                <w:rFonts w:asciiTheme="majorHAnsi" w:hAnsiTheme="majorHAnsi"/>
                <w:sz w:val="22"/>
                <w:szCs w:val="22"/>
                <w:lang w:val="cs-CZ"/>
              </w:rPr>
              <w:t xml:space="preserve"> je min. 30 % oproti původnímu stavu.</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Úspora emisí CO</w:t>
            </w:r>
            <w:r w:rsidRPr="00296843">
              <w:rPr>
                <w:rFonts w:asciiTheme="majorHAnsi" w:hAnsiTheme="majorHAnsi"/>
                <w:sz w:val="22"/>
                <w:szCs w:val="22"/>
                <w:vertAlign w:val="subscript"/>
                <w:lang w:val="cs-CZ"/>
              </w:rPr>
              <w:t>2</w:t>
            </w:r>
            <w:r w:rsidRPr="00296843">
              <w:rPr>
                <w:rFonts w:asciiTheme="majorHAnsi" w:hAnsiTheme="majorHAnsi"/>
                <w:sz w:val="22"/>
                <w:szCs w:val="22"/>
                <w:lang w:val="cs-CZ"/>
              </w:rPr>
              <w:t xml:space="preserve"> je nižší než 30 % oproti původnímu stavu.</w:t>
            </w:r>
          </w:p>
          <w:p w:rsidR="004B3615" w:rsidRPr="00296843" w:rsidRDefault="004B3615" w:rsidP="00845731">
            <w:pPr>
              <w:spacing w:after="200"/>
              <w:rPr>
                <w:rFonts w:asciiTheme="majorHAnsi" w:hAnsiTheme="majorHAnsi"/>
                <w:b/>
                <w:bCs/>
                <w:sz w:val="22"/>
                <w:szCs w:val="22"/>
                <w:lang w:val="cs-CZ"/>
              </w:rPr>
            </w:pPr>
            <w:r w:rsidRPr="00296843">
              <w:rPr>
                <w:rFonts w:asciiTheme="majorHAnsi" w:hAnsiTheme="majorHAnsi"/>
                <w:sz w:val="22"/>
                <w:szCs w:val="22"/>
                <w:lang w:val="cs-CZ"/>
              </w:rPr>
              <w:t>NERELEVANTNÍ – Nedochází ke změně paliva.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Spalovací zdroj není určen ke spalování fosilních paliv s výjimkou spalování zemního plynu.</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Nový spalovací zdroj není určen ke spalování fosilních paliv.</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Nový spalovací zdroj je určen ke spalování fosilních paliv.</w:t>
            </w:r>
          </w:p>
          <w:p w:rsidR="004B3615" w:rsidRPr="00296843" w:rsidRDefault="004B3615" w:rsidP="00845731">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není podána na spalovací zdroj.</w:t>
            </w:r>
          </w:p>
        </w:tc>
      </w:tr>
      <w:tr w:rsidR="004B3615" w:rsidRPr="00296843" w:rsidTr="00487CB1">
        <w:trPr>
          <w:trHeight w:val="454"/>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Instalovaný spalovací zdroj na biomasu splňuje požadavky dané Nařízením Komise (EU) 2015/1189, kterým se provádí Směrnice Evropského parlamentu a Rady 2009/125/ES, pokud jde o požadavky na ekodesign kotlů na tuhá paliva.</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Nový spalovací zdroj na pevná paliva splňuje požadavky dané Nařízením Komise (EU) 2015/1189.</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Nový spalovací zdroj na pevná paliva nesplňuje požadavky dané Nařízením Komise (EU) 2015/1189.</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instalaci spalovacího zdroje na pevná paliva o tepelném příkonu nižším než 500 kW.</w:t>
            </w:r>
          </w:p>
        </w:tc>
      </w:tr>
      <w:tr w:rsidR="004B3615" w:rsidRPr="00296843" w:rsidTr="00487CB1">
        <w:trPr>
          <w:trHeight w:val="454"/>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Instalovaný spalovací zdroj na biomasu splňuje mezní hodnoty emisí uvedené v tabulce 1.1, část II, Přílohy č. 2 vyhlášky č. 415/2012 Sb., o přípustné úrovni znečišťování ovzduší a jejím zjišťování (zdroje o tepelném příkonu 0,3-1 MW).</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Nový spalovací zdroj na pevná paliva splňuje mezní hodnoty emisí podle vyhlášky č. 415/2012 Sb., o přípustné úrovni znečišťování.</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Nový spalovací zdroj na pevná paliva nesplňuje mezní hodnoty emisí podle vyhlášky č. 415/2012 Sb., o přípustné úrovni znečišťování.</w:t>
            </w:r>
          </w:p>
          <w:p w:rsidR="004B3615" w:rsidRPr="00296843" w:rsidRDefault="004B3615" w:rsidP="004E59D5">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pořízení spalovacího zdroje na pevná paliva o tepelném výkonu vyšším než 0,3 MW.</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lastRenderedPageBreak/>
              <w:t>Projekt není zaměřen na náhradu zdroje na kapalná paliva za nový zdroj na pevná paliva.</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Náhradou za spalovací zdroj na kapalná paliva nebude pořízen nový zdroj na pevná paliva.</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Náhradou za spalovací zdroj na kapalná paliva bude pořízen nový zdroj na pevná paliva.</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výměnu původního spalovacího zdroje na kapalná paliva.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Nový zdroj je instalován výměnou za starý spalovací zdroj na tuhá nebo kapalná fosilní paliva.</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původní zdroj byl určen ke spalování tuhých nebo kapalných fosilních paliv.</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 – původní zdroj byl určen ke spalování plynných fosilních paliv</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 xml:space="preserve">Při instalaci nového zdroje tepla (kotle na biomasu, plynový kondenzační kotle, tepelné čerpadla) bez současně provedeného zateplení obvodových konstrukcí podle podmínek Integrovaného regionálního operačního program dosahuje budova před realizací těchto opatření průměrného součinitele prostupu tepla U </w:t>
            </w:r>
            <w:r w:rsidRPr="00296843">
              <w:rPr>
                <w:rFonts w:asciiTheme="majorHAnsi" w:hAnsiTheme="majorHAnsi"/>
                <w:b/>
                <w:bCs/>
                <w:sz w:val="22"/>
                <w:szCs w:val="22"/>
                <w:vertAlign w:val="subscript"/>
                <w:lang w:val="cs-CZ"/>
              </w:rPr>
              <w:t>em,R</w:t>
            </w:r>
            <w:r w:rsidRPr="00296843">
              <w:rPr>
                <w:rFonts w:asciiTheme="majorHAnsi" w:hAnsiTheme="majorHAnsi"/>
                <w:b/>
                <w:bCs/>
                <w:sz w:val="22"/>
                <w:szCs w:val="22"/>
                <w:lang w:val="cs-CZ"/>
              </w:rPr>
              <w:t xml:space="preserve"> podle vyhlášky č. 78/2013 Sb., o energetické náročnosti budov</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Budova 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vyhlášky č. 78/2013 Sb., o energetické náročnosti budov.</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Budova nesplňuje hodnotu průměrného součinitele prostupu tepla U</w:t>
            </w:r>
            <w:r w:rsidRPr="00296843">
              <w:rPr>
                <w:rFonts w:asciiTheme="majorHAnsi" w:hAnsiTheme="majorHAnsi"/>
                <w:sz w:val="22"/>
                <w:szCs w:val="22"/>
                <w:vertAlign w:val="subscript"/>
                <w:lang w:val="cs-CZ"/>
              </w:rPr>
              <w:t>em, R</w:t>
            </w:r>
            <w:r w:rsidRPr="00296843">
              <w:rPr>
                <w:rFonts w:asciiTheme="majorHAnsi" w:hAnsiTheme="majorHAnsi"/>
                <w:sz w:val="22"/>
                <w:szCs w:val="22"/>
                <w:lang w:val="cs-CZ"/>
              </w:rPr>
              <w:t xml:space="preserve"> podle vyhlášky č. 78/2013 Sb., o energetické náročnosti budov.</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podána na instalaci nebo výměnu zdroje tepla.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Nový zdroj pro vytápění a/nebo přípravu teplé vody dosahuje minimální hodnoty účinnosti výroby energie.</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Nový zdroj pro vytápění a/nebo přípravu teplé vody dosahuje min. 80% účinnosti výroby energie.</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Nový zdroj pro vytápění a/nebo přípravu teplé vody nedosahuje min. 80% účinnosti výroby energie.</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výměnu zdroje tepla.</w:t>
            </w:r>
          </w:p>
        </w:tc>
      </w:tr>
      <w:tr w:rsidR="004B3615" w:rsidRPr="00296843" w:rsidTr="00487CB1">
        <w:trPr>
          <w:trHeight w:val="454"/>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Tepelné čerpadlo dosahuje minimální hodnoty topného faktoru</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Nové tepelné čerpadlo dosahuje min. hodnoty topného faktoru:</w:t>
            </w:r>
          </w:p>
          <w:tbl>
            <w:tblPr>
              <w:tblStyle w:val="Mkatabulky"/>
              <w:tblW w:w="0" w:type="auto"/>
              <w:tblLook w:val="04A0" w:firstRow="1" w:lastRow="0" w:firstColumn="1" w:lastColumn="0" w:noHBand="0" w:noVBand="1"/>
            </w:tblPr>
            <w:tblGrid>
              <w:gridCol w:w="1318"/>
              <w:gridCol w:w="1643"/>
              <w:gridCol w:w="1196"/>
            </w:tblGrid>
            <w:tr w:rsidR="004B3615" w:rsidRPr="00296843" w:rsidTr="00487CB1">
              <w:tc>
                <w:tcPr>
                  <w:tcW w:w="1318"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Typ tepelného čerpadla</w:t>
                  </w:r>
                </w:p>
              </w:tc>
              <w:tc>
                <w:tcPr>
                  <w:tcW w:w="1442"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teplotní charakteristika</w:t>
                  </w:r>
                </w:p>
              </w:tc>
              <w:tc>
                <w:tcPr>
                  <w:tcW w:w="119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min. hodnota topného faktoru</w:t>
                  </w:r>
                </w:p>
              </w:tc>
            </w:tr>
            <w:tr w:rsidR="004B3615" w:rsidRPr="00296843" w:rsidTr="00487CB1">
              <w:tc>
                <w:tcPr>
                  <w:tcW w:w="1318"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země-vzduch</w:t>
                  </w:r>
                </w:p>
              </w:tc>
              <w:tc>
                <w:tcPr>
                  <w:tcW w:w="1442"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B0/W35</w:t>
                  </w:r>
                </w:p>
              </w:tc>
              <w:tc>
                <w:tcPr>
                  <w:tcW w:w="119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4,3</w:t>
                  </w:r>
                </w:p>
              </w:tc>
            </w:tr>
            <w:tr w:rsidR="004B3615" w:rsidRPr="00296843" w:rsidTr="00487CB1">
              <w:tc>
                <w:tcPr>
                  <w:tcW w:w="1318"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lastRenderedPageBreak/>
                    <w:t>vzduch-voda</w:t>
                  </w:r>
                </w:p>
              </w:tc>
              <w:tc>
                <w:tcPr>
                  <w:tcW w:w="1442"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A2/W35</w:t>
                  </w:r>
                </w:p>
              </w:tc>
              <w:tc>
                <w:tcPr>
                  <w:tcW w:w="119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3,1</w:t>
                  </w:r>
                </w:p>
              </w:tc>
            </w:tr>
            <w:tr w:rsidR="004B3615" w:rsidRPr="00296843" w:rsidTr="00487CB1">
              <w:tc>
                <w:tcPr>
                  <w:tcW w:w="1318"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voda-voda</w:t>
                  </w:r>
                </w:p>
              </w:tc>
              <w:tc>
                <w:tcPr>
                  <w:tcW w:w="1442"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W10/W35</w:t>
                  </w:r>
                </w:p>
              </w:tc>
              <w:tc>
                <w:tcPr>
                  <w:tcW w:w="119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5,1</w:t>
                  </w:r>
                </w:p>
              </w:tc>
            </w:tr>
          </w:tbl>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Nové tepelné čerpadlo nedosahuje min. hodnoty topného faktoru.</w:t>
            </w:r>
          </w:p>
          <w:p w:rsidR="004B3615" w:rsidRPr="00296843" w:rsidRDefault="004B3615" w:rsidP="00AA52DC">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instalaci tepelného čerpadla.</w:t>
            </w:r>
          </w:p>
        </w:tc>
      </w:tr>
      <w:tr w:rsidR="004B3615" w:rsidRPr="00296843" w:rsidTr="00487CB1">
        <w:trPr>
          <w:trHeight w:val="454"/>
        </w:trPr>
        <w:tc>
          <w:tcPr>
            <w:tcW w:w="4606" w:type="dxa"/>
            <w:vAlign w:val="center"/>
          </w:tcPr>
          <w:p w:rsidR="004B3615" w:rsidRPr="00296843" w:rsidDel="004E59D5" w:rsidRDefault="004B3615" w:rsidP="00592AC7">
            <w:pPr>
              <w:spacing w:after="200"/>
              <w:rPr>
                <w:rFonts w:asciiTheme="majorHAnsi" w:hAnsiTheme="majorHAnsi"/>
                <w:sz w:val="22"/>
                <w:szCs w:val="22"/>
                <w:lang w:val="cs-CZ"/>
              </w:rPr>
            </w:pPr>
            <w:r w:rsidRPr="00296843">
              <w:rPr>
                <w:rFonts w:asciiTheme="majorHAnsi" w:hAnsiTheme="majorHAnsi"/>
                <w:b/>
                <w:bCs/>
                <w:sz w:val="22"/>
                <w:szCs w:val="22"/>
                <w:lang w:val="cs-CZ"/>
              </w:rPr>
              <w:lastRenderedPageBreak/>
              <w:t>Tepelné čerpadlo splňuje parametry definované Nařízením Komise (EU) č. 813/2013, kterým se provádí Směrnice Evropského parlamentu a Rady 2009/125/ES, pokud jde o požadavky na ekodesign ohřívačů pro vytápění vnitřních prostorů a kombinovaných ohřívačů.</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 xml:space="preserve">ANO – Tepelné čerpadlo splňuje parametry definované Nařízením Komise (EU) č. </w:t>
            </w:r>
            <w:r w:rsidR="00940759" w:rsidRPr="00296843">
              <w:rPr>
                <w:rFonts w:asciiTheme="majorHAnsi" w:hAnsiTheme="majorHAnsi"/>
                <w:sz w:val="22"/>
                <w:szCs w:val="22"/>
                <w:lang w:val="cs-CZ"/>
              </w:rPr>
              <w:t> </w:t>
            </w:r>
            <w:r w:rsidRPr="00296843">
              <w:rPr>
                <w:rFonts w:asciiTheme="majorHAnsi" w:hAnsiTheme="majorHAnsi"/>
                <w:sz w:val="22"/>
                <w:szCs w:val="22"/>
                <w:lang w:val="cs-CZ"/>
              </w:rPr>
              <w:t>813/2013.</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 xml:space="preserve">NE - Tepelné čerpadlo nesplňuje parametry definované Nařízením Komise (EU) č. </w:t>
            </w:r>
            <w:r w:rsidR="00940759" w:rsidRPr="00296843">
              <w:rPr>
                <w:rFonts w:asciiTheme="majorHAnsi" w:hAnsiTheme="majorHAnsi"/>
                <w:sz w:val="22"/>
                <w:szCs w:val="22"/>
                <w:lang w:val="cs-CZ"/>
              </w:rPr>
              <w:t> </w:t>
            </w:r>
            <w:r w:rsidRPr="00296843">
              <w:rPr>
                <w:rFonts w:asciiTheme="majorHAnsi" w:hAnsiTheme="majorHAnsi"/>
                <w:sz w:val="22"/>
                <w:szCs w:val="22"/>
                <w:lang w:val="cs-CZ"/>
              </w:rPr>
              <w:t>813/2013.</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podávána na instalaci tepelného čerpadla.</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Plynový kondenzační kotel splňuje parametry definované Nařízením Komise (EU) č. 813/2013, kterým se provádí Směrnice Evropského parlamentu a Rady 2009/125/ES, pokud jde o požadavky na ekodesign ohřívačů pro vytápění vnitřních prostorů a kombinovaných ohřívačů.</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Kotel splňuje parametry vyplývající z Nařízení Komise (EU) č. 813/2013.</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Kotel nesplňuje parametry vyplývající z Nařízení Komise (EU) č. 813/2013.</w:t>
            </w:r>
          </w:p>
          <w:p w:rsidR="004B3615" w:rsidRPr="00296843" w:rsidRDefault="004B3615" w:rsidP="00592AC7">
            <w:pPr>
              <w:rPr>
                <w:rFonts w:asciiTheme="majorHAnsi" w:hAnsiTheme="majorHAnsi"/>
                <w:sz w:val="22"/>
                <w:szCs w:val="22"/>
                <w:lang w:val="cs-CZ"/>
              </w:rPr>
            </w:pPr>
            <w:r w:rsidRPr="00296843">
              <w:rPr>
                <w:rFonts w:asciiTheme="majorHAnsi" w:hAnsiTheme="majorHAnsi"/>
                <w:sz w:val="22"/>
                <w:szCs w:val="22"/>
                <w:lang w:val="cs-CZ"/>
              </w:rPr>
              <w:t>NERELEVANTNÍ – Žádost o podporu není podávána na instalaci plynového kondenzačního kotle.</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Projekt instalace nového zdroje tepla v bytovém domě, ve kterém před realizací opatření neexistovalo ústřední vytápění, je zaměřen na vybudování systému ústředního vytápění a ohřevu teplé užitkové vody. V rámci projektu budou k systému připojeny všechny bytové jednotky.</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Všechny bytové jednotky budou napojeny na systém ústředního vytápění.</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Všechny bytové jednotky nebudou napojeny na systém ústředního vytápění.</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o podporu není podávána na instalaci ústředního vytápění s novým zdrojem tepla.</w:t>
            </w:r>
          </w:p>
        </w:tc>
      </w:tr>
      <w:tr w:rsidR="004B3615" w:rsidRPr="00296843" w:rsidTr="00592AC7">
        <w:trPr>
          <w:trHeight w:val="1830"/>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Projekt není zaměřen na instalaci nového kotle o příkonu vyšším než 1 MW.</w:t>
            </w: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Příkon kotle není vyšší než 1 MW.</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Příkon kotle je vyšší než 1 MW.</w:t>
            </w:r>
          </w:p>
          <w:p w:rsidR="004B3615" w:rsidRPr="00296843" w:rsidRDefault="004B3615" w:rsidP="00886101">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není podávána na instalaci nového kotle.</w:t>
            </w:r>
          </w:p>
        </w:tc>
      </w:tr>
      <w:tr w:rsidR="004B3615" w:rsidRPr="00296843" w:rsidTr="00120A29">
        <w:trPr>
          <w:trHeight w:hRule="exact" w:val="567"/>
        </w:trPr>
        <w:tc>
          <w:tcPr>
            <w:tcW w:w="9212" w:type="dxa"/>
            <w:gridSpan w:val="2"/>
            <w:shd w:val="clear" w:color="auto" w:fill="D9D9D9" w:themeFill="background1" w:themeFillShade="D9"/>
            <w:vAlign w:val="center"/>
          </w:tcPr>
          <w:p w:rsidR="004B3615" w:rsidRPr="00296843" w:rsidRDefault="004B3615" w:rsidP="00872031">
            <w:pPr>
              <w:spacing w:after="200"/>
              <w:jc w:val="center"/>
              <w:rPr>
                <w:rFonts w:asciiTheme="majorHAnsi" w:hAnsiTheme="majorHAnsi"/>
                <w:b/>
                <w:sz w:val="22"/>
                <w:szCs w:val="22"/>
                <w:lang w:val="cs-CZ"/>
              </w:rPr>
            </w:pPr>
            <w:r w:rsidRPr="00296843">
              <w:rPr>
                <w:rFonts w:asciiTheme="majorHAnsi" w:hAnsiTheme="majorHAnsi"/>
                <w:b/>
                <w:sz w:val="22"/>
                <w:szCs w:val="22"/>
                <w:lang w:val="cs-CZ"/>
              </w:rPr>
              <w:t>Instalace solárních termických kolektorů</w:t>
            </w:r>
          </w:p>
        </w:tc>
      </w:tr>
      <w:tr w:rsidR="004B3615" w:rsidRPr="00296843" w:rsidTr="004B3615">
        <w:trPr>
          <w:trHeight w:val="528"/>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Způsob hodnocení</w:t>
            </w:r>
          </w:p>
        </w:tc>
      </w:tr>
      <w:tr w:rsidR="004B3615" w:rsidRPr="00296843" w:rsidTr="00592AC7">
        <w:trPr>
          <w:trHeight w:val="2155"/>
        </w:trPr>
        <w:tc>
          <w:tcPr>
            <w:tcW w:w="4606" w:type="dxa"/>
            <w:vAlign w:val="center"/>
          </w:tcPr>
          <w:p w:rsidR="004B3615" w:rsidRPr="00296843" w:rsidRDefault="004B3615" w:rsidP="00592AC7">
            <w:pPr>
              <w:rPr>
                <w:rFonts w:asciiTheme="majorHAnsi" w:hAnsiTheme="majorHAnsi"/>
                <w:b/>
                <w:bCs/>
                <w:sz w:val="22"/>
                <w:szCs w:val="22"/>
                <w:lang w:val="cs-CZ"/>
              </w:rPr>
            </w:pPr>
            <w:r w:rsidRPr="00296843">
              <w:rPr>
                <w:rFonts w:asciiTheme="majorHAnsi" w:hAnsiTheme="majorHAnsi"/>
                <w:b/>
                <w:bCs/>
                <w:sz w:val="22"/>
                <w:szCs w:val="22"/>
                <w:lang w:val="cs-CZ"/>
              </w:rPr>
              <w:lastRenderedPageBreak/>
              <w:t>Instalované solární termické kolektory dosahují minimální hodnoty celkového využitelného solárního zisku.</w:t>
            </w:r>
          </w:p>
          <w:p w:rsidR="004B3615" w:rsidRPr="00296843" w:rsidRDefault="004B3615" w:rsidP="00592AC7">
            <w:pPr>
              <w:rPr>
                <w:rFonts w:asciiTheme="majorHAnsi" w:hAnsiTheme="majorHAnsi"/>
                <w:b/>
                <w:bCs/>
                <w:sz w:val="22"/>
                <w:szCs w:val="22"/>
                <w:lang w:val="cs-CZ"/>
              </w:rPr>
            </w:pPr>
          </w:p>
        </w:tc>
        <w:tc>
          <w:tcPr>
            <w:tcW w:w="4606" w:type="dxa"/>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Solární termické kolektory dosahují min. hodnoty celkového využitelného solárního zisku 600 kWh * rok</w:t>
            </w:r>
            <w:r w:rsidRPr="00296843">
              <w:rPr>
                <w:rFonts w:asciiTheme="majorHAnsi" w:hAnsiTheme="majorHAnsi"/>
                <w:sz w:val="22"/>
                <w:szCs w:val="22"/>
                <w:vertAlign w:val="superscript"/>
                <w:lang w:val="cs-CZ"/>
              </w:rPr>
              <w:t>-1</w:t>
            </w:r>
            <w:r w:rsidRPr="00296843">
              <w:rPr>
                <w:rFonts w:asciiTheme="majorHAnsi" w:hAnsiTheme="majorHAnsi"/>
                <w:sz w:val="22"/>
                <w:szCs w:val="22"/>
                <w:lang w:val="cs-CZ"/>
              </w:rPr>
              <w:t xml:space="preserve"> * bytová jednotka</w:t>
            </w:r>
            <w:r w:rsidRPr="00296843">
              <w:rPr>
                <w:rFonts w:asciiTheme="majorHAnsi" w:hAnsiTheme="majorHAnsi"/>
                <w:sz w:val="22"/>
                <w:szCs w:val="22"/>
                <w:vertAlign w:val="superscript"/>
                <w:lang w:val="cs-CZ"/>
              </w:rPr>
              <w:t>-1</w:t>
            </w:r>
            <w:r w:rsidRPr="00296843">
              <w:rPr>
                <w:rFonts w:asciiTheme="majorHAnsi" w:hAnsiTheme="majorHAnsi"/>
                <w:sz w:val="22"/>
                <w:szCs w:val="22"/>
                <w:lang w:val="cs-CZ"/>
              </w:rPr>
              <w:t>.</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Solární termické kolektory nedosahují min. hodnoty celkového využitelného solárního zisku 600 kWh * rok</w:t>
            </w:r>
            <w:r w:rsidRPr="00296843">
              <w:rPr>
                <w:rFonts w:asciiTheme="majorHAnsi" w:hAnsiTheme="majorHAnsi"/>
                <w:sz w:val="22"/>
                <w:szCs w:val="22"/>
                <w:vertAlign w:val="superscript"/>
                <w:lang w:val="cs-CZ"/>
              </w:rPr>
              <w:t>-1</w:t>
            </w:r>
            <w:r w:rsidRPr="00296843">
              <w:rPr>
                <w:rFonts w:asciiTheme="majorHAnsi" w:hAnsiTheme="majorHAnsi"/>
                <w:sz w:val="22"/>
                <w:szCs w:val="22"/>
                <w:lang w:val="cs-CZ"/>
              </w:rPr>
              <w:t xml:space="preserve"> * bytová jednotka</w:t>
            </w:r>
            <w:r w:rsidRPr="00296843">
              <w:rPr>
                <w:rFonts w:asciiTheme="majorHAnsi" w:hAnsiTheme="majorHAnsi"/>
                <w:sz w:val="22"/>
                <w:szCs w:val="22"/>
                <w:vertAlign w:val="superscript"/>
                <w:lang w:val="cs-CZ"/>
              </w:rPr>
              <w:t>-1</w:t>
            </w:r>
            <w:r w:rsidRPr="00296843">
              <w:rPr>
                <w:rFonts w:asciiTheme="majorHAnsi" w:hAnsiTheme="majorHAnsi"/>
                <w:sz w:val="22"/>
                <w:szCs w:val="22"/>
                <w:lang w:val="cs-CZ"/>
              </w:rPr>
              <w:t>.</w:t>
            </w:r>
          </w:p>
          <w:p w:rsidR="004B3615" w:rsidRPr="00296843" w:rsidRDefault="004B3615" w:rsidP="004E59D5">
            <w:pPr>
              <w:spacing w:after="200"/>
              <w:rPr>
                <w:rFonts w:asciiTheme="majorHAnsi" w:hAnsiTheme="majorHAnsi"/>
                <w:b/>
                <w:sz w:val="22"/>
                <w:szCs w:val="22"/>
                <w:lang w:val="cs-CZ"/>
              </w:rPr>
            </w:pPr>
            <w:r w:rsidRPr="00296843">
              <w:rPr>
                <w:rFonts w:asciiTheme="majorHAnsi" w:hAnsiTheme="majorHAnsi"/>
                <w:sz w:val="22"/>
                <w:szCs w:val="22"/>
                <w:lang w:val="cs-CZ"/>
              </w:rPr>
              <w:t>NERELEVANTNÍ - Žádost není podávána na instalaci solárních termických kolektorů.</w:t>
            </w:r>
          </w:p>
        </w:tc>
      </w:tr>
      <w:tr w:rsidR="004B3615" w:rsidRPr="00296843" w:rsidTr="00386F0C">
        <w:trPr>
          <w:trHeight w:hRule="exact" w:val="567"/>
        </w:trPr>
        <w:tc>
          <w:tcPr>
            <w:tcW w:w="9212" w:type="dxa"/>
            <w:gridSpan w:val="2"/>
            <w:shd w:val="clear" w:color="auto" w:fill="D9D9D9" w:themeFill="background1" w:themeFillShade="D9"/>
            <w:vAlign w:val="center"/>
          </w:tcPr>
          <w:p w:rsidR="004B3615" w:rsidRPr="00296843" w:rsidRDefault="004B3615" w:rsidP="00872031">
            <w:pPr>
              <w:spacing w:after="200"/>
              <w:jc w:val="center"/>
              <w:rPr>
                <w:rFonts w:asciiTheme="majorHAnsi" w:hAnsiTheme="majorHAnsi"/>
                <w:b/>
                <w:bCs/>
                <w:sz w:val="22"/>
                <w:szCs w:val="22"/>
                <w:lang w:val="cs-CZ"/>
              </w:rPr>
            </w:pPr>
            <w:r w:rsidRPr="00296843">
              <w:rPr>
                <w:rFonts w:asciiTheme="majorHAnsi" w:hAnsiTheme="majorHAnsi"/>
                <w:b/>
                <w:sz w:val="22"/>
                <w:szCs w:val="22"/>
                <w:lang w:val="cs-CZ"/>
              </w:rPr>
              <w:t>Instalace fotovoltaického systému</w:t>
            </w:r>
          </w:p>
        </w:tc>
      </w:tr>
      <w:tr w:rsidR="004B3615" w:rsidRPr="00296843" w:rsidTr="004B3615">
        <w:trPr>
          <w:trHeight w:val="552"/>
        </w:trPr>
        <w:tc>
          <w:tcPr>
            <w:tcW w:w="4606" w:type="dxa"/>
            <w:vAlign w:val="center"/>
          </w:tcPr>
          <w:p w:rsidR="004B3615" w:rsidRPr="00296843" w:rsidRDefault="004B3615" w:rsidP="00C74FEE">
            <w:pPr>
              <w:spacing w:after="200"/>
              <w:jc w:val="center"/>
              <w:rPr>
                <w:rFonts w:asciiTheme="majorHAnsi" w:hAnsiTheme="majorHAnsi"/>
                <w:b/>
                <w:bCs/>
                <w:sz w:val="22"/>
                <w:szCs w:val="22"/>
                <w:lang w:val="cs-CZ"/>
              </w:rPr>
            </w:pPr>
            <w:r w:rsidRPr="00296843">
              <w:rPr>
                <w:rFonts w:asciiTheme="majorHAnsi" w:hAnsiTheme="majorHAnsi"/>
                <w:b/>
                <w:bCs/>
                <w:sz w:val="22"/>
                <w:szCs w:val="22"/>
                <w:lang w:val="cs-CZ"/>
              </w:rPr>
              <w:t>Hodnotící kritérium</w:t>
            </w:r>
          </w:p>
        </w:tc>
        <w:tc>
          <w:tcPr>
            <w:tcW w:w="4606" w:type="dxa"/>
            <w:vAlign w:val="center"/>
          </w:tcPr>
          <w:p w:rsidR="004B3615" w:rsidRPr="00296843" w:rsidRDefault="004B3615" w:rsidP="00C74FEE">
            <w:pPr>
              <w:spacing w:after="200"/>
              <w:jc w:val="center"/>
              <w:rPr>
                <w:rFonts w:asciiTheme="majorHAnsi" w:hAnsiTheme="majorHAnsi"/>
                <w:b/>
                <w:sz w:val="22"/>
                <w:szCs w:val="22"/>
                <w:lang w:val="cs-CZ"/>
              </w:rPr>
            </w:pPr>
            <w:r w:rsidRPr="00296843">
              <w:rPr>
                <w:rFonts w:asciiTheme="majorHAnsi" w:hAnsiTheme="majorHAnsi"/>
                <w:b/>
                <w:sz w:val="22"/>
                <w:szCs w:val="22"/>
                <w:lang w:val="cs-CZ"/>
              </w:rPr>
              <w:t>Způsob hodnocení</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bCs/>
                <w:sz w:val="22"/>
                <w:szCs w:val="22"/>
                <w:lang w:val="cs-CZ"/>
              </w:rPr>
            </w:pPr>
            <w:r w:rsidRPr="00296843">
              <w:rPr>
                <w:rFonts w:asciiTheme="majorHAnsi" w:hAnsiTheme="majorHAnsi"/>
                <w:b/>
                <w:bCs/>
                <w:sz w:val="22"/>
                <w:szCs w:val="22"/>
                <w:lang w:val="cs-CZ"/>
              </w:rPr>
              <w:t>Projekt instalace fotovoltaického systému je součástí komplexních opatření: zateplení obvodových konstrukcí a/nebo instalace tepelného čerpadla.</w:t>
            </w:r>
          </w:p>
          <w:p w:rsidR="004B3615" w:rsidRPr="00296843" w:rsidRDefault="004B3615" w:rsidP="002F2540">
            <w:pPr>
              <w:spacing w:after="200"/>
              <w:rPr>
                <w:rFonts w:asciiTheme="majorHAnsi" w:hAnsiTheme="majorHAnsi"/>
                <w:b/>
                <w:bCs/>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Instalace fotovoltaického systému je součástí žádosti o podporu na zateplení obvodových konstrukcí a/nebo instalace tepelného čerpadla.</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Instalace fotovoltaického systému není součástí žádosti o podporu na zateplení obvodových konstrukcí a/nebo instalace tepelného čerpadla.</w:t>
            </w:r>
          </w:p>
          <w:p w:rsidR="004B3615" w:rsidRPr="00296843" w:rsidRDefault="004B3615" w:rsidP="004E59D5">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instalaci fotovoltaického systému.</w:t>
            </w:r>
          </w:p>
        </w:tc>
      </w:tr>
      <w:tr w:rsidR="004B3615" w:rsidRPr="00296843" w:rsidTr="00487CB1">
        <w:trPr>
          <w:trHeight w:val="2155"/>
        </w:trPr>
        <w:tc>
          <w:tcPr>
            <w:tcW w:w="4606" w:type="dxa"/>
            <w:vAlign w:val="center"/>
          </w:tcPr>
          <w:p w:rsidR="004B3615" w:rsidRPr="00296843" w:rsidRDefault="004B3615" w:rsidP="002F2540">
            <w:pPr>
              <w:spacing w:after="200"/>
              <w:rPr>
                <w:rFonts w:asciiTheme="majorHAnsi" w:hAnsiTheme="majorHAnsi"/>
                <w:b/>
                <w:sz w:val="22"/>
                <w:szCs w:val="22"/>
                <w:lang w:val="cs-CZ"/>
              </w:rPr>
            </w:pPr>
            <w:r w:rsidRPr="00296843">
              <w:rPr>
                <w:rFonts w:asciiTheme="majorHAnsi" w:hAnsiTheme="majorHAnsi"/>
                <w:b/>
                <w:sz w:val="22"/>
                <w:szCs w:val="22"/>
                <w:lang w:val="cs-CZ"/>
              </w:rPr>
              <w:t>Energie získaná z fotovoltaického systému bude využita zejména pro potřeby bytového domu.</w:t>
            </w:r>
          </w:p>
          <w:p w:rsidR="004B3615" w:rsidRPr="00296843" w:rsidRDefault="004B3615" w:rsidP="002F2540">
            <w:pPr>
              <w:spacing w:after="200"/>
              <w:rPr>
                <w:rFonts w:asciiTheme="majorHAnsi" w:hAnsiTheme="majorHAnsi"/>
                <w:sz w:val="22"/>
                <w:szCs w:val="22"/>
                <w:lang w:val="cs-CZ"/>
              </w:rPr>
            </w:pPr>
          </w:p>
        </w:tc>
        <w:tc>
          <w:tcPr>
            <w:tcW w:w="4606" w:type="dxa"/>
            <w:vAlign w:val="center"/>
          </w:tcPr>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ANO - Získaná energie bude využita zejména pro potřeby bytového domu a nebude využívána ke komerčním účelům.</w:t>
            </w:r>
          </w:p>
          <w:p w:rsidR="004B3615" w:rsidRPr="00296843" w:rsidRDefault="004B3615" w:rsidP="004E59D5">
            <w:pPr>
              <w:spacing w:after="200"/>
              <w:rPr>
                <w:rFonts w:asciiTheme="majorHAnsi" w:hAnsiTheme="majorHAnsi"/>
                <w:sz w:val="22"/>
                <w:szCs w:val="22"/>
                <w:lang w:val="cs-CZ"/>
              </w:rPr>
            </w:pPr>
            <w:r w:rsidRPr="00296843">
              <w:rPr>
                <w:rFonts w:asciiTheme="majorHAnsi" w:hAnsiTheme="majorHAnsi"/>
                <w:sz w:val="22"/>
                <w:szCs w:val="22"/>
                <w:lang w:val="cs-CZ"/>
              </w:rPr>
              <w:t>NE - Získaná energie nebude využita zejména pro potřeby bytového domu.</w:t>
            </w:r>
          </w:p>
          <w:p w:rsidR="004B3615" w:rsidRPr="00296843" w:rsidRDefault="004B3615" w:rsidP="004E59D5">
            <w:pPr>
              <w:spacing w:after="200"/>
              <w:rPr>
                <w:rFonts w:asciiTheme="majorHAnsi" w:hAnsiTheme="majorHAnsi"/>
                <w:b/>
                <w:bCs/>
                <w:sz w:val="22"/>
                <w:szCs w:val="22"/>
                <w:lang w:val="cs-CZ"/>
              </w:rPr>
            </w:pPr>
            <w:r w:rsidRPr="00296843">
              <w:rPr>
                <w:rFonts w:asciiTheme="majorHAnsi" w:hAnsiTheme="majorHAnsi"/>
                <w:sz w:val="22"/>
                <w:szCs w:val="22"/>
                <w:lang w:val="cs-CZ"/>
              </w:rPr>
              <w:t>NERELEVANTNÍ - Žádost o podporu není podávána na instalaci fotovoltaického systému.</w:t>
            </w:r>
          </w:p>
        </w:tc>
      </w:tr>
    </w:tbl>
    <w:p w:rsidR="002E1DF2" w:rsidRDefault="002E1DF2" w:rsidP="00674B31">
      <w:pPr>
        <w:jc w:val="both"/>
        <w:rPr>
          <w:b/>
        </w:rPr>
      </w:pPr>
    </w:p>
    <w:p w:rsidR="00094465" w:rsidRDefault="00094465" w:rsidP="00094465">
      <w:pPr>
        <w:pBdr>
          <w:top w:val="single" w:sz="4" w:space="1" w:color="auto"/>
          <w:left w:val="single" w:sz="4" w:space="4" w:color="auto"/>
          <w:bottom w:val="single" w:sz="4" w:space="1" w:color="auto"/>
          <w:right w:val="single" w:sz="4" w:space="4" w:color="auto"/>
        </w:pBdr>
        <w:rPr>
          <w:rFonts w:cs="Arial"/>
          <w:b/>
        </w:rPr>
      </w:pPr>
      <w:r w:rsidRPr="00DA1F1F">
        <w:rPr>
          <w:rFonts w:cs="Arial"/>
          <w:b/>
        </w:rPr>
        <w:t>UPOZORNĚNÍ</w:t>
      </w:r>
      <w:r w:rsidR="00296843">
        <w:rPr>
          <w:rFonts w:cs="Arial"/>
          <w:b/>
        </w:rPr>
        <w:t xml:space="preserve"> ke kritériu přijatelnosti „</w:t>
      </w:r>
      <w:r w:rsidR="00237C3B">
        <w:rPr>
          <w:rFonts w:cs="Arial"/>
          <w:b/>
        </w:rPr>
        <w:t>v</w:t>
      </w:r>
      <w:r w:rsidR="00FA2DCC" w:rsidRPr="0008227D">
        <w:rPr>
          <w:rFonts w:cs="Arial"/>
          <w:b/>
        </w:rPr>
        <w:t xml:space="preserve"> hodnocení eCBA/finanční analýze projekt dosáhne minimálně hodnoty ukazatelů stanovené ve výzvě</w:t>
      </w:r>
      <w:r w:rsidR="00296843">
        <w:rPr>
          <w:rFonts w:cs="Arial"/>
          <w:b/>
        </w:rPr>
        <w:t>“</w:t>
      </w:r>
      <w:r w:rsidR="00FA2DCC" w:rsidRPr="0008227D">
        <w:rPr>
          <w:rFonts w:cs="Arial"/>
          <w:b/>
        </w:rPr>
        <w:t>.</w:t>
      </w:r>
    </w:p>
    <w:p w:rsidR="000E5043" w:rsidRDefault="00FA2DCC" w:rsidP="00592AC7">
      <w:pPr>
        <w:pBdr>
          <w:top w:val="single" w:sz="4" w:space="1" w:color="auto"/>
          <w:left w:val="single" w:sz="4" w:space="4" w:color="auto"/>
          <w:bottom w:val="single" w:sz="4" w:space="1" w:color="auto"/>
          <w:right w:val="single" w:sz="4" w:space="4" w:color="auto"/>
        </w:pBdr>
        <w:jc w:val="both"/>
        <w:rPr>
          <w:rFonts w:cs="Arial"/>
        </w:rPr>
      </w:pPr>
      <w:r>
        <w:rPr>
          <w:rFonts w:cs="Arial"/>
        </w:rPr>
        <w:t>U projektů s celkovými způsobilými výdaji vyššími než 5 mil. Kč je s</w:t>
      </w:r>
      <w:r w:rsidR="000E5043" w:rsidRPr="00592AC7">
        <w:rPr>
          <w:rFonts w:cs="Arial"/>
        </w:rPr>
        <w:t>ledovaným ukazatelem hodnocení CBA finanční čistá současná hodnota v rámci Návratnosti investice pro</w:t>
      </w:r>
      <w:r w:rsidR="00F430CB">
        <w:rPr>
          <w:rFonts w:cs="Arial"/>
        </w:rPr>
        <w:t xml:space="preserve"> Finanční analýzu</w:t>
      </w:r>
      <w:r w:rsidR="000E5043" w:rsidRPr="00592AC7">
        <w:rPr>
          <w:rFonts w:cs="Arial"/>
        </w:rPr>
        <w:t xml:space="preserve">. Kritérium přijatelnosti „v hodnocení eCBA projekt dosáhne minimálně hodnoty ukazatelů, stanovené ve výzvě“ je splněno, když </w:t>
      </w:r>
      <w:r w:rsidR="003C0370">
        <w:rPr>
          <w:rFonts w:cs="Arial"/>
        </w:rPr>
        <w:t>je</w:t>
      </w:r>
      <w:r w:rsidR="000E5043" w:rsidRPr="00592AC7">
        <w:rPr>
          <w:rFonts w:cs="Arial"/>
        </w:rPr>
        <w:t xml:space="preserve"> čistá současná hodnota </w:t>
      </w:r>
      <w:r w:rsidR="003C0370">
        <w:rPr>
          <w:rFonts w:cs="Arial"/>
        </w:rPr>
        <w:t xml:space="preserve">v rámci finanční návratnosti investice </w:t>
      </w:r>
      <w:r w:rsidR="000E5043" w:rsidRPr="00592AC7">
        <w:rPr>
          <w:rFonts w:cs="Arial"/>
        </w:rPr>
        <w:t xml:space="preserve">nižší než 0. </w:t>
      </w:r>
    </w:p>
    <w:p w:rsidR="000E5043" w:rsidRPr="00592AC7" w:rsidRDefault="00FA2DCC" w:rsidP="00592AC7">
      <w:pPr>
        <w:pBdr>
          <w:top w:val="single" w:sz="4" w:space="1" w:color="auto"/>
          <w:left w:val="single" w:sz="4" w:space="4" w:color="auto"/>
          <w:bottom w:val="single" w:sz="4" w:space="1" w:color="auto"/>
          <w:right w:val="single" w:sz="4" w:space="4" w:color="auto"/>
        </w:pBdr>
        <w:jc w:val="both"/>
        <w:rPr>
          <w:rFonts w:cs="Arial"/>
        </w:rPr>
      </w:pPr>
      <w:r>
        <w:rPr>
          <w:rFonts w:cs="Arial"/>
        </w:rPr>
        <w:lastRenderedPageBreak/>
        <w:t>P</w:t>
      </w:r>
      <w:r w:rsidR="00E34D9A">
        <w:rPr>
          <w:rFonts w:cs="Arial"/>
        </w:rPr>
        <w:t xml:space="preserve">okud celkové způsobilé výdaje projektu </w:t>
      </w:r>
      <w:r w:rsidR="00E34D9A" w:rsidRPr="00AA7AC0">
        <w:rPr>
          <w:rFonts w:cs="Arial"/>
          <w:b/>
        </w:rPr>
        <w:t>nepřekročí 5 mil. Kč</w:t>
      </w:r>
      <w:r>
        <w:rPr>
          <w:rFonts w:cs="Arial"/>
          <w:b/>
        </w:rPr>
        <w:t xml:space="preserve">, </w:t>
      </w:r>
      <w:r w:rsidRPr="00FA2DCC">
        <w:rPr>
          <w:rFonts w:cs="Arial"/>
        </w:rPr>
        <w:t xml:space="preserve">je hodnocení tohoto kritéria přijatelnosti </w:t>
      </w:r>
      <w:r>
        <w:rPr>
          <w:rFonts w:cs="Arial"/>
        </w:rPr>
        <w:t>„Nerelevantní“ a žadatel zpracovává pouze podklady k hodnocení ve struktuře stanovené v příloze č.</w:t>
      </w:r>
      <w:r w:rsidR="00237C3B">
        <w:rPr>
          <w:rFonts w:cs="Arial"/>
        </w:rPr>
        <w:t xml:space="preserve"> </w:t>
      </w:r>
      <w:r>
        <w:rPr>
          <w:rFonts w:cs="Arial"/>
        </w:rPr>
        <w:t>3 těchto Pravidel</w:t>
      </w:r>
      <w:r w:rsidR="00E34D9A" w:rsidRPr="00AA7AC0">
        <w:rPr>
          <w:rFonts w:cs="Arial"/>
          <w:b/>
        </w:rPr>
        <w:t>.</w:t>
      </w:r>
      <w:r w:rsidR="00E34D9A">
        <w:rPr>
          <w:rFonts w:cs="Arial"/>
        </w:rPr>
        <w:t xml:space="preserve"> </w:t>
      </w:r>
      <w:r w:rsidR="000E5043" w:rsidRPr="00592AC7">
        <w:rPr>
          <w:rFonts w:cs="Arial"/>
        </w:rPr>
        <w:t xml:space="preserve">Vstupním datům a pravidlům hodnocení CBA (zpracování finanční a ekonomické analýzy) se věnuje příloha č. 3 těchto </w:t>
      </w:r>
      <w:r w:rsidR="007A7422">
        <w:rPr>
          <w:rFonts w:cs="Arial"/>
        </w:rPr>
        <w:t>P</w:t>
      </w:r>
      <w:r w:rsidR="000E5043" w:rsidRPr="00592AC7">
        <w:rPr>
          <w:rFonts w:cs="Arial"/>
        </w:rPr>
        <w:t>ravidel Podklady pro hodnocení projektu a příloha č. 17 Obecných pravidel Postup pro zpracování finanční a ekonomické analýzy v MS2014+.</w:t>
      </w:r>
    </w:p>
    <w:p w:rsidR="000E5043" w:rsidRPr="004A59A5" w:rsidRDefault="000E5043" w:rsidP="00592AC7">
      <w:pPr>
        <w:pStyle w:val="Nadpis3"/>
        <w:jc w:val="both"/>
        <w:rPr>
          <w:b w:val="0"/>
          <w:bCs w:val="0"/>
        </w:rPr>
      </w:pPr>
      <w:bookmarkStart w:id="119" w:name="_Toc436841612"/>
      <w:bookmarkStart w:id="120" w:name="_Toc444247669"/>
      <w:r w:rsidRPr="004A59A5">
        <w:t>Věcné hodnocení projektu</w:t>
      </w:r>
      <w:bookmarkEnd w:id="119"/>
      <w:bookmarkEnd w:id="120"/>
    </w:p>
    <w:p w:rsidR="000E5043" w:rsidRDefault="000E5043" w:rsidP="000E5043">
      <w:pPr>
        <w:jc w:val="both"/>
      </w:pPr>
      <w:r>
        <w:t>Věcné hodnocení není prováděno.</w:t>
      </w:r>
    </w:p>
    <w:p w:rsidR="000E5043" w:rsidRPr="000E5043" w:rsidRDefault="009A4668" w:rsidP="00C65645">
      <w:pPr>
        <w:pStyle w:val="Nadpis3"/>
        <w:jc w:val="both"/>
      </w:pPr>
      <w:bookmarkStart w:id="121" w:name="_Toc444247670"/>
      <w:r w:rsidRPr="000E5043">
        <w:t>E</w:t>
      </w:r>
      <w:r w:rsidR="003A79FB" w:rsidRPr="000E5043">
        <w:t>x-ante analýza rizik</w:t>
      </w:r>
      <w:bookmarkEnd w:id="121"/>
    </w:p>
    <w:p w:rsidR="000E5043" w:rsidRPr="00C65645" w:rsidRDefault="000E5043" w:rsidP="00C65645">
      <w:pPr>
        <w:jc w:val="both"/>
        <w:rPr>
          <w:rFonts w:asciiTheme="majorHAnsi" w:hAnsiTheme="majorHAnsi" w:cstheme="majorBidi"/>
        </w:rPr>
      </w:pPr>
      <w:r w:rsidRPr="00C65645">
        <w:rPr>
          <w:rFonts w:asciiTheme="majorHAnsi" w:hAnsiTheme="majorHAnsi" w:cstheme="majorBidi"/>
        </w:rPr>
        <w:t>Pro projekty, které prošly úspěšně hodnocením, provádí CRR analýzu rizik. Na základě jejího výsledku provede u vybraných projektů ex-ante  kontrolu.</w:t>
      </w:r>
    </w:p>
    <w:p w:rsidR="009A4668" w:rsidRDefault="000E5043" w:rsidP="00C65645">
      <w:r w:rsidRPr="00C65645">
        <w:rPr>
          <w:rFonts w:asciiTheme="majorHAnsi" w:hAnsiTheme="majorHAnsi" w:cstheme="majorBidi"/>
        </w:rPr>
        <w:t>Probíhá podle následujících kritérií pro specifický cíl 2.</w:t>
      </w:r>
      <w:r>
        <w:rPr>
          <w:rFonts w:asciiTheme="majorHAnsi" w:hAnsiTheme="majorHAnsi" w:cstheme="majorBidi"/>
        </w:rPr>
        <w:t>5</w:t>
      </w:r>
      <w:r w:rsidRPr="00C65645">
        <w:rPr>
          <w:rFonts w:asciiTheme="majorHAnsi" w:hAnsiTheme="majorHAnsi" w:cstheme="majorBidi"/>
        </w:rPr>
        <w:t>.</w:t>
      </w:r>
    </w:p>
    <w:tbl>
      <w:tblPr>
        <w:tblStyle w:val="Mkatabulky"/>
        <w:tblW w:w="0" w:type="auto"/>
        <w:tblLook w:val="04A0" w:firstRow="1" w:lastRow="0" w:firstColumn="1" w:lastColumn="0" w:noHBand="0" w:noVBand="1"/>
      </w:tblPr>
      <w:tblGrid>
        <w:gridCol w:w="9212"/>
      </w:tblGrid>
      <w:tr w:rsidR="00C63432" w:rsidTr="00C65645">
        <w:trPr>
          <w:trHeight w:val="340"/>
        </w:trPr>
        <w:tc>
          <w:tcPr>
            <w:tcW w:w="9212" w:type="dxa"/>
            <w:shd w:val="clear" w:color="auto" w:fill="auto"/>
          </w:tcPr>
          <w:p w:rsidR="00C63432" w:rsidRPr="00B63056" w:rsidRDefault="00C63432" w:rsidP="000E5043">
            <w:pPr>
              <w:spacing w:after="200"/>
              <w:jc w:val="both"/>
              <w:rPr>
                <w:b/>
                <w:lang w:val="cs-CZ"/>
              </w:rPr>
            </w:pPr>
            <w:r w:rsidRPr="00B63056">
              <w:rPr>
                <w:b/>
              </w:rPr>
              <w:t xml:space="preserve">Kritéria ex-ante analýzy rizik pro </w:t>
            </w:r>
            <w:r w:rsidR="000E5043" w:rsidRPr="00B63056">
              <w:rPr>
                <w:b/>
              </w:rPr>
              <w:t xml:space="preserve">specifický cíl </w:t>
            </w:r>
            <w:r w:rsidRPr="00B63056">
              <w:rPr>
                <w:b/>
              </w:rPr>
              <w:t>2.5</w:t>
            </w:r>
          </w:p>
        </w:tc>
      </w:tr>
      <w:tr w:rsidR="00C63432" w:rsidTr="008353E0">
        <w:trPr>
          <w:trHeight w:val="340"/>
        </w:trPr>
        <w:tc>
          <w:tcPr>
            <w:tcW w:w="9212" w:type="dxa"/>
          </w:tcPr>
          <w:p w:rsidR="00C63432" w:rsidRPr="00B63056" w:rsidRDefault="008A5B42" w:rsidP="009A4668">
            <w:pPr>
              <w:jc w:val="both"/>
              <w:rPr>
                <w:lang w:val="cs-CZ"/>
              </w:rPr>
            </w:pPr>
            <w:r w:rsidRPr="00B63056">
              <w:t>Riziko realizovatelnosti projektu po věcné a finanční stránce.</w:t>
            </w:r>
          </w:p>
        </w:tc>
      </w:tr>
      <w:tr w:rsidR="00C63432" w:rsidTr="008353E0">
        <w:trPr>
          <w:trHeight w:val="340"/>
        </w:trPr>
        <w:tc>
          <w:tcPr>
            <w:tcW w:w="9212" w:type="dxa"/>
          </w:tcPr>
          <w:p w:rsidR="00C63432" w:rsidRPr="00B63056" w:rsidRDefault="008A5B42" w:rsidP="009F5090">
            <w:pPr>
              <w:jc w:val="both"/>
              <w:rPr>
                <w:lang w:val="cs-CZ"/>
              </w:rPr>
            </w:pPr>
            <w:r w:rsidRPr="00B63056">
              <w:t>Riziko nezpůsobilosti výdajů.</w:t>
            </w:r>
          </w:p>
        </w:tc>
      </w:tr>
      <w:tr w:rsidR="007D7219" w:rsidTr="008353E0">
        <w:trPr>
          <w:trHeight w:val="340"/>
        </w:trPr>
        <w:tc>
          <w:tcPr>
            <w:tcW w:w="9212" w:type="dxa"/>
          </w:tcPr>
          <w:p w:rsidR="007D7219" w:rsidRPr="00B63056" w:rsidRDefault="00501E67" w:rsidP="009F5090">
            <w:pPr>
              <w:jc w:val="both"/>
              <w:rPr>
                <w:lang w:val="cs-CZ"/>
              </w:rPr>
            </w:pPr>
            <w:r w:rsidRPr="0019384A">
              <w:rPr>
                <w:color w:val="000000"/>
                <w:lang w:eastAsia="cs-CZ"/>
              </w:rPr>
              <w:t>Riziko podvodů a korupčního jednání.</w:t>
            </w:r>
          </w:p>
        </w:tc>
      </w:tr>
      <w:tr w:rsidR="007D7219" w:rsidTr="008353E0">
        <w:trPr>
          <w:trHeight w:val="340"/>
        </w:trPr>
        <w:tc>
          <w:tcPr>
            <w:tcW w:w="9212" w:type="dxa"/>
          </w:tcPr>
          <w:p w:rsidR="007D7219" w:rsidRPr="00B63056" w:rsidRDefault="008A5B42" w:rsidP="009F5090">
            <w:pPr>
              <w:jc w:val="both"/>
              <w:rPr>
                <w:lang w:val="cs-CZ"/>
              </w:rPr>
            </w:pPr>
            <w:r w:rsidRPr="00B63056">
              <w:t>Riziko ve veřejných zakázkách.</w:t>
            </w:r>
          </w:p>
        </w:tc>
      </w:tr>
      <w:tr w:rsidR="007D7219" w:rsidTr="008353E0">
        <w:trPr>
          <w:trHeight w:val="340"/>
        </w:trPr>
        <w:tc>
          <w:tcPr>
            <w:tcW w:w="9212" w:type="dxa"/>
          </w:tcPr>
          <w:p w:rsidR="007D7219" w:rsidRPr="00B63056" w:rsidRDefault="008A5B42" w:rsidP="009F5090">
            <w:pPr>
              <w:jc w:val="both"/>
              <w:rPr>
                <w:lang w:val="cs-CZ"/>
              </w:rPr>
            </w:pPr>
            <w:r w:rsidRPr="00B63056">
              <w:rPr>
                <w:rFonts w:asciiTheme="majorHAnsi" w:hAnsiTheme="majorHAnsi"/>
              </w:rPr>
              <w:t>Riziko v udržitelnosti projektu.</w:t>
            </w:r>
          </w:p>
        </w:tc>
      </w:tr>
      <w:tr w:rsidR="007D7219" w:rsidTr="008353E0">
        <w:trPr>
          <w:trHeight w:val="340"/>
        </w:trPr>
        <w:tc>
          <w:tcPr>
            <w:tcW w:w="9212" w:type="dxa"/>
          </w:tcPr>
          <w:p w:rsidR="007D7219" w:rsidRPr="00B63056" w:rsidRDefault="008A5B42" w:rsidP="009F5090">
            <w:pPr>
              <w:jc w:val="both"/>
              <w:rPr>
                <w:lang w:val="cs-CZ"/>
              </w:rPr>
            </w:pPr>
            <w:r w:rsidRPr="00B63056">
              <w:rPr>
                <w:rFonts w:asciiTheme="majorHAnsi" w:hAnsiTheme="majorHAnsi"/>
              </w:rPr>
              <w:t>Riziko v nedovolené veřejné podpoře.</w:t>
            </w:r>
          </w:p>
        </w:tc>
      </w:tr>
      <w:tr w:rsidR="00A1086D" w:rsidTr="008353E0">
        <w:trPr>
          <w:trHeight w:val="340"/>
        </w:trPr>
        <w:tc>
          <w:tcPr>
            <w:tcW w:w="9212" w:type="dxa"/>
          </w:tcPr>
          <w:p w:rsidR="00A1086D" w:rsidRPr="00B63056" w:rsidRDefault="008A5B42" w:rsidP="00A1086D">
            <w:pPr>
              <w:jc w:val="both"/>
              <w:rPr>
                <w:lang w:val="cs-CZ"/>
              </w:rPr>
            </w:pPr>
            <w:r w:rsidRPr="00B63056">
              <w:rPr>
                <w:rFonts w:asciiTheme="majorHAnsi" w:hAnsiTheme="majorHAnsi"/>
              </w:rPr>
              <w:t>Riziko nehospodárných a neefektivních aktivit a výdajů.</w:t>
            </w:r>
          </w:p>
        </w:tc>
      </w:tr>
    </w:tbl>
    <w:p w:rsidR="000E5043" w:rsidRDefault="000E5043" w:rsidP="00C65645">
      <w:pPr>
        <w:pStyle w:val="Nadpis3"/>
        <w:jc w:val="both"/>
      </w:pPr>
      <w:bookmarkStart w:id="122" w:name="_Toc444247671"/>
      <w:r>
        <w:t>E</w:t>
      </w:r>
      <w:r w:rsidRPr="007126D1">
        <w:t>x-ante kontrola</w:t>
      </w:r>
      <w:bookmarkEnd w:id="122"/>
      <w:r w:rsidRPr="007126D1">
        <w:t xml:space="preserve"> </w:t>
      </w:r>
    </w:p>
    <w:p w:rsidR="000E5043" w:rsidRDefault="000E5043" w:rsidP="000E5043">
      <w:pPr>
        <w:jc w:val="both"/>
      </w:pPr>
      <w:r>
        <w:t>Probíhá u projektů vybraných na základě výsledků ex-ante an</w:t>
      </w:r>
      <w:r w:rsidR="00F35C20">
        <w:t>alýzy rizik v souladu s kap. 3.7</w:t>
      </w:r>
      <w:r>
        <w:t xml:space="preserve"> Obecných pravidel.</w:t>
      </w:r>
    </w:p>
    <w:p w:rsidR="00115FA3" w:rsidRDefault="001937B8" w:rsidP="00C65645">
      <w:pPr>
        <w:pStyle w:val="Pravidla11"/>
        <w:numPr>
          <w:ilvl w:val="1"/>
          <w:numId w:val="63"/>
        </w:numPr>
        <w:jc w:val="both"/>
      </w:pPr>
      <w:bookmarkStart w:id="123" w:name="_Toc436995498"/>
      <w:bookmarkStart w:id="124" w:name="_Toc436995588"/>
      <w:bookmarkStart w:id="125" w:name="_Toc436995499"/>
      <w:bookmarkStart w:id="126" w:name="_Toc436995589"/>
      <w:bookmarkStart w:id="127" w:name="_Toc444247672"/>
      <w:bookmarkEnd w:id="123"/>
      <w:bookmarkEnd w:id="124"/>
      <w:bookmarkEnd w:id="125"/>
      <w:bookmarkEnd w:id="126"/>
      <w:r>
        <w:t>Výběr projektů</w:t>
      </w:r>
      <w:bookmarkEnd w:id="127"/>
    </w:p>
    <w:p w:rsidR="005612CB" w:rsidRPr="00806AEE" w:rsidRDefault="005612CB" w:rsidP="00C65645">
      <w:pPr>
        <w:pStyle w:val="Nadpis3"/>
        <w:jc w:val="both"/>
      </w:pPr>
      <w:bookmarkStart w:id="128" w:name="_Toc425325727"/>
      <w:bookmarkStart w:id="129" w:name="_Toc444247673"/>
      <w:r>
        <w:t>V</w:t>
      </w:r>
      <w:r w:rsidRPr="007126D1">
        <w:t>ýběr projektů</w:t>
      </w:r>
      <w:r>
        <w:t xml:space="preserve"> a </w:t>
      </w:r>
      <w:r w:rsidRPr="007126D1">
        <w:t xml:space="preserve">příprava a vydání </w:t>
      </w:r>
      <w:bookmarkEnd w:id="128"/>
      <w:r w:rsidR="000E5043">
        <w:t>Rozhodnutí/Stanovení výdajů</w:t>
      </w:r>
      <w:bookmarkEnd w:id="129"/>
      <w:r w:rsidRPr="007126D1">
        <w:t xml:space="preserve"> </w:t>
      </w:r>
      <w:r w:rsidRPr="00806AEE">
        <w:t xml:space="preserve"> </w:t>
      </w:r>
    </w:p>
    <w:p w:rsidR="005612CB" w:rsidRPr="00A5429C" w:rsidRDefault="005612CB" w:rsidP="005612CB">
      <w:pPr>
        <w:jc w:val="both"/>
        <w:rPr>
          <w:rFonts w:cs="Arial"/>
        </w:rPr>
      </w:pPr>
      <w:r>
        <w:rPr>
          <w:rFonts w:cs="Arial"/>
        </w:rPr>
        <w:t>Probíhá v souladu s kap. až 3.</w:t>
      </w:r>
      <w:r w:rsidR="00F35C20">
        <w:rPr>
          <w:rFonts w:cs="Arial"/>
        </w:rPr>
        <w:t>8</w:t>
      </w:r>
      <w:r>
        <w:rPr>
          <w:rFonts w:cs="Arial"/>
        </w:rPr>
        <w:t xml:space="preserve"> Obecných pravidel u žádostí, které úspěšně prošly </w:t>
      </w:r>
      <w:r w:rsidR="009F5090">
        <w:rPr>
          <w:rFonts w:cs="Arial"/>
        </w:rPr>
        <w:t xml:space="preserve">všemi </w:t>
      </w:r>
      <w:r>
        <w:rPr>
          <w:rFonts w:cs="Arial"/>
        </w:rPr>
        <w:t>fázemi hodnocení.</w:t>
      </w:r>
    </w:p>
    <w:p w:rsidR="00115FA3" w:rsidRDefault="00115FA3" w:rsidP="00781849">
      <w:pPr>
        <w:tabs>
          <w:tab w:val="left" w:pos="284"/>
        </w:tabs>
        <w:jc w:val="both"/>
        <w:rPr>
          <w:rFonts w:asciiTheme="majorHAnsi" w:hAnsiTheme="majorHAnsi" w:cs="Arial"/>
        </w:rPr>
      </w:pPr>
    </w:p>
    <w:p w:rsidR="005612CB" w:rsidRDefault="001937B8" w:rsidP="00C65645">
      <w:pPr>
        <w:pStyle w:val="Pravidla1"/>
        <w:pageBreakBefore/>
        <w:numPr>
          <w:ilvl w:val="0"/>
          <w:numId w:val="60"/>
        </w:numPr>
        <w:suppressAutoHyphens/>
        <w:ind w:left="360"/>
        <w:jc w:val="both"/>
      </w:pPr>
      <w:bookmarkStart w:id="130" w:name="_Toc436995502"/>
      <w:bookmarkStart w:id="131" w:name="_Toc436995592"/>
      <w:bookmarkStart w:id="132" w:name="_Toc436995503"/>
      <w:bookmarkStart w:id="133" w:name="_Toc436995593"/>
      <w:bookmarkStart w:id="134" w:name="_Toc444247674"/>
      <w:bookmarkEnd w:id="130"/>
      <w:bookmarkEnd w:id="131"/>
      <w:bookmarkEnd w:id="132"/>
      <w:bookmarkEnd w:id="133"/>
      <w:r>
        <w:lastRenderedPageBreak/>
        <w:t>Monitorování projektů</w:t>
      </w:r>
      <w:bookmarkEnd w:id="134"/>
    </w:p>
    <w:p w:rsidR="005612CB" w:rsidRDefault="005612CB" w:rsidP="00C76941"/>
    <w:p w:rsidR="005612CB" w:rsidRDefault="005612CB" w:rsidP="005612CB">
      <w:pPr>
        <w:tabs>
          <w:tab w:val="left" w:pos="0"/>
        </w:tabs>
        <w:jc w:val="both"/>
      </w:pPr>
      <w:r>
        <w:t>Monitorování postupu projektů se uskutečňuje prostřednictvím:</w:t>
      </w:r>
    </w:p>
    <w:p w:rsidR="005612CB" w:rsidRDefault="005612CB" w:rsidP="005145A0">
      <w:pPr>
        <w:pStyle w:val="Odstavecseseznamem"/>
        <w:numPr>
          <w:ilvl w:val="0"/>
          <w:numId w:val="19"/>
        </w:numPr>
        <w:tabs>
          <w:tab w:val="left" w:pos="0"/>
        </w:tabs>
        <w:jc w:val="both"/>
      </w:pPr>
      <w:r>
        <w:t>Zpráv o realizaci projektu (dále jen Zpráva nebo „ZoR</w:t>
      </w:r>
      <w:r w:rsidR="0057465C">
        <w:t xml:space="preserve"> projektu</w:t>
      </w:r>
      <w:r>
        <w:t>“),</w:t>
      </w:r>
    </w:p>
    <w:p w:rsidR="005612CB" w:rsidRDefault="005612CB" w:rsidP="005145A0">
      <w:pPr>
        <w:pStyle w:val="Odstavecseseznamem"/>
        <w:numPr>
          <w:ilvl w:val="0"/>
          <w:numId w:val="19"/>
        </w:numPr>
        <w:tabs>
          <w:tab w:val="left" w:pos="0"/>
        </w:tabs>
        <w:jc w:val="both"/>
      </w:pPr>
      <w:r>
        <w:t>Zpráv o udržitelnosti projektu (dále jen Zpráva nebo „ZoU</w:t>
      </w:r>
      <w:r w:rsidR="0057465C">
        <w:t xml:space="preserve"> projektu</w:t>
      </w:r>
      <w:r>
        <w:t>“).</w:t>
      </w:r>
    </w:p>
    <w:p w:rsidR="005612CB" w:rsidRDefault="005612CB" w:rsidP="005612CB">
      <w:pPr>
        <w:tabs>
          <w:tab w:val="left" w:pos="0"/>
        </w:tabs>
        <w:jc w:val="both"/>
      </w:pPr>
      <w:r>
        <w:t xml:space="preserve">Předkládání </w:t>
      </w:r>
      <w:r w:rsidR="00457188">
        <w:t>zpráv</w:t>
      </w:r>
      <w:r>
        <w:t xml:space="preserve"> probíhá v souladu s kap. 14 Obecných pravidel.</w:t>
      </w:r>
    </w:p>
    <w:p w:rsidR="005612CB" w:rsidRDefault="005612CB" w:rsidP="005612CB">
      <w:pPr>
        <w:jc w:val="both"/>
      </w:pPr>
      <w:r>
        <w:t>Spolu s Průběžnou/Závěrečnou ZoR projektu předkládá příjemce také ZŽoP (viz kap. 18.5 Obecných pravidel).</w:t>
      </w:r>
    </w:p>
    <w:p w:rsidR="007927D6" w:rsidRDefault="007927D6" w:rsidP="007927D6">
      <w:pPr>
        <w:jc w:val="both"/>
        <w:rPr>
          <w:b/>
        </w:rPr>
      </w:pPr>
      <w:r>
        <w:rPr>
          <w:b/>
        </w:rPr>
        <w:t>Závěrečná ZoR projektu</w:t>
      </w:r>
    </w:p>
    <w:p w:rsidR="007927D6" w:rsidRDefault="007927D6">
      <w:pPr>
        <w:jc w:val="both"/>
      </w:pPr>
      <w:r>
        <w:t xml:space="preserve">Nejpozději se Závěrečnou ZoR projektu příjemci doloží: </w:t>
      </w:r>
    </w:p>
    <w:p w:rsidR="005829C3" w:rsidRDefault="005829C3">
      <w:pPr>
        <w:pStyle w:val="Odstavecseseznamem"/>
        <w:numPr>
          <w:ilvl w:val="0"/>
          <w:numId w:val="49"/>
        </w:numPr>
        <w:jc w:val="both"/>
      </w:pPr>
      <w:r>
        <w:t>fotodokumentace výstupů projektu,</w:t>
      </w:r>
    </w:p>
    <w:p w:rsidR="007927D6" w:rsidRDefault="007927D6">
      <w:pPr>
        <w:pStyle w:val="Odstavecseseznamem"/>
        <w:numPr>
          <w:ilvl w:val="0"/>
          <w:numId w:val="49"/>
        </w:numPr>
        <w:jc w:val="both"/>
      </w:pPr>
      <w:r>
        <w:t>protokol o předání a převzetí díla a odstranění vad a nedodělků bránících užívání díla</w:t>
      </w:r>
      <w:r w:rsidR="00992771">
        <w:t>,</w:t>
      </w:r>
    </w:p>
    <w:p w:rsidR="008036BD" w:rsidDel="005829C3" w:rsidRDefault="00887829">
      <w:pPr>
        <w:pStyle w:val="Odstavecseseznamem"/>
        <w:numPr>
          <w:ilvl w:val="0"/>
          <w:numId w:val="49"/>
        </w:numPr>
        <w:jc w:val="both"/>
      </w:pPr>
      <w:r w:rsidDel="005829C3">
        <w:t xml:space="preserve">kolaudační </w:t>
      </w:r>
      <w:r w:rsidR="00A560DC">
        <w:t>souhlas</w:t>
      </w:r>
      <w:r w:rsidR="008036BD" w:rsidDel="005829C3">
        <w:t xml:space="preserve"> nebo souhlas s užíváním stavby, vztahovala-li se na provedená opatření povinnost provádět tato opatření v režimu stavebního povolení nebo </w:t>
      </w:r>
      <w:r w:rsidR="00C61BF0" w:rsidDel="005829C3">
        <w:t xml:space="preserve">ohlášení stavby. </w:t>
      </w:r>
    </w:p>
    <w:p w:rsidR="005612CB" w:rsidRPr="00BB6BD0" w:rsidRDefault="005829C3" w:rsidP="00BB6BD0">
      <w:pPr>
        <w:jc w:val="both"/>
        <w:rPr>
          <w:b/>
        </w:rPr>
      </w:pPr>
      <w:r w:rsidRPr="00BB6BD0">
        <w:rPr>
          <w:b/>
        </w:rPr>
        <w:t>ZoU projektu</w:t>
      </w:r>
    </w:p>
    <w:p w:rsidR="005829C3" w:rsidRPr="0084738C" w:rsidRDefault="005829C3" w:rsidP="00BB6BD0">
      <w:pPr>
        <w:jc w:val="both"/>
      </w:pPr>
      <w:r>
        <w:t xml:space="preserve">Nejpozději </w:t>
      </w:r>
      <w:r w:rsidRPr="005829C3">
        <w:t>s první Z</w:t>
      </w:r>
      <w:r>
        <w:t xml:space="preserve">oU </w:t>
      </w:r>
      <w:r w:rsidRPr="005829C3">
        <w:t xml:space="preserve">projektu </w:t>
      </w:r>
      <w:r w:rsidR="001E0DA9">
        <w:t>nebo</w:t>
      </w:r>
      <w:r w:rsidRPr="005829C3">
        <w:t xml:space="preserve"> se Z</w:t>
      </w:r>
      <w:r>
        <w:t xml:space="preserve">oU </w:t>
      </w:r>
      <w:r w:rsidRPr="005829C3">
        <w:t>projektu</w:t>
      </w:r>
      <w:r w:rsidR="001E0DA9">
        <w:t>,</w:t>
      </w:r>
      <w:r w:rsidRPr="005829C3">
        <w:t xml:space="preserve"> následující po ukončení </w:t>
      </w:r>
      <w:r w:rsidRPr="0084738C">
        <w:t>zkušebního provozu, příjemci doloží:</w:t>
      </w:r>
    </w:p>
    <w:p w:rsidR="005829C3" w:rsidDel="005829C3" w:rsidRDefault="005829C3" w:rsidP="00CC6178">
      <w:pPr>
        <w:pStyle w:val="Odstavecseseznamem"/>
        <w:numPr>
          <w:ilvl w:val="0"/>
          <w:numId w:val="49"/>
        </w:numPr>
        <w:jc w:val="both"/>
      </w:pPr>
      <w:r w:rsidRPr="0084738C" w:rsidDel="005829C3">
        <w:t xml:space="preserve">kolaudační </w:t>
      </w:r>
      <w:r w:rsidR="00A560DC">
        <w:t>souhlas</w:t>
      </w:r>
      <w:r w:rsidRPr="0084738C" w:rsidDel="005829C3">
        <w:t xml:space="preserve"> nebo souhlas s užíváním stavby</w:t>
      </w:r>
      <w:r w:rsidRPr="0084738C">
        <w:t xml:space="preserve">, </w:t>
      </w:r>
      <w:r w:rsidR="001E0DA9">
        <w:t>pokud ho příjemce nepředložil se Závěrečnou ZoR projektu</w:t>
      </w:r>
      <w:r w:rsidR="00CC6178">
        <w:t>.</w:t>
      </w:r>
    </w:p>
    <w:p w:rsidR="005829C3" w:rsidRDefault="005829C3" w:rsidP="00C76941"/>
    <w:p w:rsidR="007927D6" w:rsidRDefault="007927D6" w:rsidP="00C65645">
      <w:pPr>
        <w:pStyle w:val="Pravidla1"/>
        <w:pageBreakBefore/>
        <w:numPr>
          <w:ilvl w:val="0"/>
          <w:numId w:val="60"/>
        </w:numPr>
        <w:suppressAutoHyphens/>
        <w:ind w:left="360"/>
        <w:jc w:val="both"/>
      </w:pPr>
      <w:bookmarkStart w:id="135" w:name="_Toc432410174"/>
      <w:bookmarkStart w:id="136" w:name="_Toc444247675"/>
      <w:r>
        <w:lastRenderedPageBreak/>
        <w:t>Financování</w:t>
      </w:r>
      <w:bookmarkEnd w:id="135"/>
      <w:bookmarkEnd w:id="136"/>
    </w:p>
    <w:p w:rsidR="007927D6" w:rsidRDefault="007927D6" w:rsidP="00441D68">
      <w:pPr>
        <w:pStyle w:val="Odstavecseseznamem"/>
        <w:ind w:left="360"/>
        <w:jc w:val="both"/>
        <w:rPr>
          <w:rFonts w:cs="Arial"/>
        </w:rPr>
      </w:pPr>
    </w:p>
    <w:p w:rsidR="007927D6" w:rsidRDefault="007927D6" w:rsidP="00441D68">
      <w:pPr>
        <w:jc w:val="both"/>
        <w:rPr>
          <w:rFonts w:asciiTheme="majorHAnsi" w:hAnsiTheme="majorHAnsi" w:cs="Arial"/>
          <w:lang w:eastAsia="ar-SA"/>
        </w:rPr>
      </w:pPr>
      <w:r>
        <w:rPr>
          <w:rFonts w:asciiTheme="majorHAnsi" w:hAnsiTheme="majorHAnsi" w:cs="Arial"/>
        </w:rPr>
        <w:t>ŘO IROP stanovil pro tuto výzvu</w:t>
      </w:r>
      <w:r>
        <w:rPr>
          <w:rFonts w:asciiTheme="majorHAnsi" w:hAnsiTheme="majorHAnsi" w:cs="Arial"/>
          <w:lang w:eastAsia="ar-SA"/>
        </w:rPr>
        <w:t xml:space="preserve"> ex-post financování</w:t>
      </w:r>
      <w:r>
        <w:rPr>
          <w:rFonts w:asciiTheme="majorHAnsi" w:hAnsiTheme="majorHAnsi" w:cs="Arial"/>
        </w:rPr>
        <w:t>. Příjemce podává po ukončení etap zjednodušenou žádost o platbu (dále jen „ZŽoP“) a doklady prokazující úhradu vynaložených výdajů. Finanční prostředky příjemce obdrží po schválení žádosti o platbu na ŘO IROP.</w:t>
      </w:r>
    </w:p>
    <w:p w:rsidR="007927D6" w:rsidRDefault="007927D6" w:rsidP="00441D68">
      <w:pPr>
        <w:jc w:val="both"/>
        <w:rPr>
          <w:rFonts w:cs="Arial"/>
        </w:rPr>
      </w:pPr>
      <w:r>
        <w:rPr>
          <w:rFonts w:cs="Arial"/>
        </w:rPr>
        <w:t>Podrobnosti jsou uvedeny v kap. 18 Obecných pravidel.</w:t>
      </w:r>
    </w:p>
    <w:p w:rsidR="00C1777C" w:rsidRDefault="00C1777C" w:rsidP="00C65645">
      <w:pPr>
        <w:jc w:val="both"/>
      </w:pPr>
      <w:r>
        <w:t>Organizační složky státu a jejich p</w:t>
      </w:r>
      <w:r w:rsidRPr="0027207F">
        <w:t xml:space="preserve">říspěvkové organizace hradí výdaje na realizaci projektu ze své kapitoly státního rozpočtu, ve které jsou finanční prostředky na národní spolufinancování a předfinancování prostředků ze zdrojů SF rozpočtovány. Podávaná </w:t>
      </w:r>
      <w:r>
        <w:t>ZŽoP</w:t>
      </w:r>
      <w:r w:rsidRPr="0027207F">
        <w:t xml:space="preserve"> je evidovaná na formulářích pro ex – post financování</w:t>
      </w:r>
      <w:r>
        <w:t>.</w:t>
      </w:r>
      <w:r w:rsidRPr="0027207F">
        <w:t xml:space="preserve"> </w:t>
      </w:r>
    </w:p>
    <w:p w:rsidR="00992771" w:rsidRDefault="00C1777C" w:rsidP="00C65645">
      <w:pPr>
        <w:jc w:val="both"/>
        <w:rPr>
          <w:rFonts w:cs="Arial"/>
        </w:rPr>
      </w:pPr>
      <w:r w:rsidRPr="00CB13B8">
        <w:rPr>
          <w:rFonts w:cs="Arial"/>
        </w:rPr>
        <w:t xml:space="preserve">Způsoby financování </w:t>
      </w:r>
      <w:r>
        <w:rPr>
          <w:rFonts w:cs="Arial"/>
        </w:rPr>
        <w:t xml:space="preserve">OSS a </w:t>
      </w:r>
      <w:r w:rsidRPr="00CB13B8">
        <w:rPr>
          <w:rFonts w:cs="Arial"/>
        </w:rPr>
        <w:t>PO OSS jsou popsány v kapitole 18.7 Obecných pravidel.</w:t>
      </w:r>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37" w:name="_Toc436995506"/>
      <w:bookmarkStart w:id="138" w:name="_Toc436995596"/>
      <w:bookmarkStart w:id="139" w:name="_Toc437238060"/>
      <w:bookmarkStart w:id="140" w:name="_Toc437442028"/>
      <w:bookmarkStart w:id="141" w:name="_Toc444182182"/>
      <w:bookmarkStart w:id="142" w:name="_Toc444247676"/>
      <w:bookmarkStart w:id="143" w:name="_Toc436054818"/>
      <w:bookmarkEnd w:id="137"/>
      <w:bookmarkEnd w:id="138"/>
      <w:bookmarkEnd w:id="139"/>
      <w:bookmarkEnd w:id="140"/>
      <w:bookmarkEnd w:id="141"/>
      <w:bookmarkEnd w:id="142"/>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44" w:name="_Toc436995507"/>
      <w:bookmarkStart w:id="145" w:name="_Toc436995597"/>
      <w:bookmarkStart w:id="146" w:name="_Toc437238061"/>
      <w:bookmarkStart w:id="147" w:name="_Toc437442029"/>
      <w:bookmarkStart w:id="148" w:name="_Toc444182183"/>
      <w:bookmarkStart w:id="149" w:name="_Toc444247677"/>
      <w:bookmarkEnd w:id="144"/>
      <w:bookmarkEnd w:id="145"/>
      <w:bookmarkEnd w:id="146"/>
      <w:bookmarkEnd w:id="147"/>
      <w:bookmarkEnd w:id="148"/>
      <w:bookmarkEnd w:id="149"/>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0" w:name="_Toc436995508"/>
      <w:bookmarkStart w:id="151" w:name="_Toc436995598"/>
      <w:bookmarkStart w:id="152" w:name="_Toc437238062"/>
      <w:bookmarkStart w:id="153" w:name="_Toc437442030"/>
      <w:bookmarkStart w:id="154" w:name="_Toc444182184"/>
      <w:bookmarkStart w:id="155" w:name="_Toc444247678"/>
      <w:bookmarkEnd w:id="150"/>
      <w:bookmarkEnd w:id="151"/>
      <w:bookmarkEnd w:id="152"/>
      <w:bookmarkEnd w:id="153"/>
      <w:bookmarkEnd w:id="154"/>
      <w:bookmarkEnd w:id="155"/>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56" w:name="_Toc436995509"/>
      <w:bookmarkStart w:id="157" w:name="_Toc436995599"/>
      <w:bookmarkStart w:id="158" w:name="_Toc437238063"/>
      <w:bookmarkStart w:id="159" w:name="_Toc437442031"/>
      <w:bookmarkStart w:id="160" w:name="_Toc444182185"/>
      <w:bookmarkStart w:id="161" w:name="_Toc444247679"/>
      <w:bookmarkEnd w:id="156"/>
      <w:bookmarkEnd w:id="157"/>
      <w:bookmarkEnd w:id="158"/>
      <w:bookmarkEnd w:id="159"/>
      <w:bookmarkEnd w:id="160"/>
      <w:bookmarkEnd w:id="161"/>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62" w:name="_Toc436995510"/>
      <w:bookmarkStart w:id="163" w:name="_Toc436995600"/>
      <w:bookmarkStart w:id="164" w:name="_Toc437238064"/>
      <w:bookmarkStart w:id="165" w:name="_Toc437442032"/>
      <w:bookmarkStart w:id="166" w:name="_Toc444182186"/>
      <w:bookmarkStart w:id="167" w:name="_Toc444247680"/>
      <w:bookmarkEnd w:id="162"/>
      <w:bookmarkEnd w:id="163"/>
      <w:bookmarkEnd w:id="164"/>
      <w:bookmarkEnd w:id="165"/>
      <w:bookmarkEnd w:id="166"/>
      <w:bookmarkEnd w:id="167"/>
    </w:p>
    <w:p w:rsidR="00441D68" w:rsidRPr="00441D68" w:rsidRDefault="00441D68" w:rsidP="00441D68">
      <w:pPr>
        <w:pStyle w:val="Odstavecseseznamem"/>
        <w:keepNext/>
        <w:keepLines/>
        <w:numPr>
          <w:ilvl w:val="0"/>
          <w:numId w:val="97"/>
        </w:numPr>
        <w:tabs>
          <w:tab w:val="left" w:pos="993"/>
        </w:tabs>
        <w:spacing w:before="120" w:after="0"/>
        <w:contextualSpacing w:val="0"/>
        <w:jc w:val="both"/>
        <w:outlineLvl w:val="0"/>
        <w:rPr>
          <w:rFonts w:asciiTheme="majorHAnsi" w:eastAsiaTheme="majorEastAsia" w:hAnsiTheme="majorHAnsi" w:cs="Arial"/>
          <w:b/>
          <w:bCs/>
          <w:vanish/>
          <w:color w:val="000000" w:themeColor="text1"/>
          <w:sz w:val="28"/>
          <w:szCs w:val="28"/>
        </w:rPr>
      </w:pPr>
      <w:bookmarkStart w:id="168" w:name="_Toc436995511"/>
      <w:bookmarkStart w:id="169" w:name="_Toc436995601"/>
      <w:bookmarkStart w:id="170" w:name="_Toc437238065"/>
      <w:bookmarkStart w:id="171" w:name="_Toc437442033"/>
      <w:bookmarkStart w:id="172" w:name="_Toc444182187"/>
      <w:bookmarkStart w:id="173" w:name="_Toc444247681"/>
      <w:bookmarkEnd w:id="168"/>
      <w:bookmarkEnd w:id="169"/>
      <w:bookmarkEnd w:id="170"/>
      <w:bookmarkEnd w:id="171"/>
      <w:bookmarkEnd w:id="172"/>
      <w:bookmarkEnd w:id="173"/>
    </w:p>
    <w:p w:rsidR="00C1777C" w:rsidRDefault="00C1777C" w:rsidP="00441D68">
      <w:pPr>
        <w:pStyle w:val="Pravidla11"/>
        <w:numPr>
          <w:ilvl w:val="1"/>
          <w:numId w:val="97"/>
        </w:numPr>
        <w:tabs>
          <w:tab w:val="left" w:pos="993"/>
        </w:tabs>
        <w:spacing w:before="120"/>
        <w:jc w:val="both"/>
      </w:pPr>
      <w:bookmarkStart w:id="174" w:name="_Toc444247682"/>
      <w:r w:rsidRPr="00003B86">
        <w:t>Z</w:t>
      </w:r>
      <w:bookmarkEnd w:id="143"/>
      <w:r>
        <w:t>jednodušená žádost o platbu</w:t>
      </w:r>
      <w:bookmarkEnd w:id="174"/>
    </w:p>
    <w:p w:rsidR="00C1777C" w:rsidRDefault="00C1777C" w:rsidP="00C65645">
      <w:pPr>
        <w:jc w:val="both"/>
        <w:rPr>
          <w:rFonts w:cs="Arial"/>
        </w:rPr>
      </w:pPr>
      <w:bookmarkStart w:id="175" w:name="_Toc432410175"/>
      <w:bookmarkStart w:id="176" w:name="_Toc435170233"/>
      <w:bookmarkStart w:id="177" w:name="_Toc435170427"/>
      <w:bookmarkStart w:id="178" w:name="_Toc435171089"/>
      <w:bookmarkStart w:id="179" w:name="_Toc435171132"/>
      <w:bookmarkStart w:id="180" w:name="_Toc435171174"/>
      <w:bookmarkStart w:id="181" w:name="_Toc435171214"/>
      <w:bookmarkStart w:id="182" w:name="_Toc435171253"/>
      <w:bookmarkStart w:id="183" w:name="_Toc435172389"/>
      <w:bookmarkStart w:id="184" w:name="_Toc435172506"/>
      <w:bookmarkStart w:id="185" w:name="_Toc435172539"/>
      <w:bookmarkStart w:id="186" w:name="_Toc432410176"/>
      <w:bookmarkStart w:id="187" w:name="_Toc435170234"/>
      <w:bookmarkStart w:id="188" w:name="_Toc435170428"/>
      <w:bookmarkStart w:id="189" w:name="_Toc435171090"/>
      <w:bookmarkStart w:id="190" w:name="_Toc435171133"/>
      <w:bookmarkStart w:id="191" w:name="_Toc435171175"/>
      <w:bookmarkStart w:id="192" w:name="_Toc435171215"/>
      <w:bookmarkStart w:id="193" w:name="_Toc435171254"/>
      <w:bookmarkStart w:id="194" w:name="_Toc435172390"/>
      <w:bookmarkStart w:id="195" w:name="_Toc435172507"/>
      <w:bookmarkStart w:id="196" w:name="_Toc435172540"/>
      <w:bookmarkStart w:id="197" w:name="_Toc432410177"/>
      <w:bookmarkStart w:id="198" w:name="_Toc435170235"/>
      <w:bookmarkStart w:id="199" w:name="_Toc435170429"/>
      <w:bookmarkStart w:id="200" w:name="_Toc435171091"/>
      <w:bookmarkStart w:id="201" w:name="_Toc435171134"/>
      <w:bookmarkStart w:id="202" w:name="_Toc435171176"/>
      <w:bookmarkStart w:id="203" w:name="_Toc435171216"/>
      <w:bookmarkStart w:id="204" w:name="_Toc435171255"/>
      <w:bookmarkStart w:id="205" w:name="_Toc435172391"/>
      <w:bookmarkStart w:id="206" w:name="_Toc435172508"/>
      <w:bookmarkStart w:id="207" w:name="_Toc435172541"/>
      <w:bookmarkStart w:id="208" w:name="_Toc432410178"/>
      <w:bookmarkStart w:id="209" w:name="_Toc435170236"/>
      <w:bookmarkStart w:id="210" w:name="_Toc435170430"/>
      <w:bookmarkStart w:id="211" w:name="_Toc435171092"/>
      <w:bookmarkStart w:id="212" w:name="_Toc435171135"/>
      <w:bookmarkStart w:id="213" w:name="_Toc435171177"/>
      <w:bookmarkStart w:id="214" w:name="_Toc435171217"/>
      <w:bookmarkStart w:id="215" w:name="_Toc435171256"/>
      <w:bookmarkStart w:id="216" w:name="_Toc435172392"/>
      <w:bookmarkStart w:id="217" w:name="_Toc435172509"/>
      <w:bookmarkStart w:id="218" w:name="_Toc435172542"/>
      <w:bookmarkStart w:id="219" w:name="_Toc432410179"/>
      <w:bookmarkStart w:id="220" w:name="_Toc435170237"/>
      <w:bookmarkStart w:id="221" w:name="_Toc435170431"/>
      <w:bookmarkStart w:id="222" w:name="_Toc435171093"/>
      <w:bookmarkStart w:id="223" w:name="_Toc435171136"/>
      <w:bookmarkStart w:id="224" w:name="_Toc435171178"/>
      <w:bookmarkStart w:id="225" w:name="_Toc435171218"/>
      <w:bookmarkStart w:id="226" w:name="_Toc435171257"/>
      <w:bookmarkStart w:id="227" w:name="_Toc435172393"/>
      <w:bookmarkStart w:id="228" w:name="_Toc435172510"/>
      <w:bookmarkStart w:id="229" w:name="_Toc435172543"/>
      <w:bookmarkStart w:id="230" w:name="_Toc432410180"/>
      <w:bookmarkStart w:id="231" w:name="_Toc435170238"/>
      <w:bookmarkStart w:id="232" w:name="_Toc435170432"/>
      <w:bookmarkStart w:id="233" w:name="_Toc435171094"/>
      <w:bookmarkStart w:id="234" w:name="_Toc435171137"/>
      <w:bookmarkStart w:id="235" w:name="_Toc435171179"/>
      <w:bookmarkStart w:id="236" w:name="_Toc435171219"/>
      <w:bookmarkStart w:id="237" w:name="_Toc435171258"/>
      <w:bookmarkStart w:id="238" w:name="_Toc435172394"/>
      <w:bookmarkStart w:id="239" w:name="_Toc435172511"/>
      <w:bookmarkStart w:id="240" w:name="_Toc43517254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CB13B8">
        <w:rPr>
          <w:rFonts w:cs="Arial"/>
        </w:rPr>
        <w:t>ZŽoP</w:t>
      </w:r>
      <w:r>
        <w:rPr>
          <w:rFonts w:cs="Arial"/>
        </w:rPr>
        <w:t xml:space="preserve"> příjemce podává s</w:t>
      </w:r>
      <w:r w:rsidRPr="00974993">
        <w:rPr>
          <w:rFonts w:cs="Arial"/>
        </w:rPr>
        <w:t>polu s Průběžnou/Závěrečnou ZoR projektu</w:t>
      </w:r>
      <w:r w:rsidRPr="00CB13B8">
        <w:rPr>
          <w:rFonts w:cs="Arial"/>
        </w:rPr>
        <w:t xml:space="preserve">. </w:t>
      </w:r>
      <w:r>
        <w:rPr>
          <w:rFonts w:cs="Arial"/>
        </w:rPr>
        <w:t>Pravidla předkládání</w:t>
      </w:r>
      <w:r w:rsidRPr="00CB13B8">
        <w:rPr>
          <w:rFonts w:cs="Arial"/>
        </w:rPr>
        <w:t xml:space="preserve"> </w:t>
      </w:r>
      <w:r>
        <w:rPr>
          <w:rFonts w:cs="Arial"/>
        </w:rPr>
        <w:t>ZŽoP</w:t>
      </w:r>
      <w:r w:rsidRPr="00CB13B8">
        <w:rPr>
          <w:rFonts w:cs="Arial"/>
        </w:rPr>
        <w:t xml:space="preserve"> </w:t>
      </w:r>
      <w:r>
        <w:rPr>
          <w:rFonts w:cs="Arial"/>
        </w:rPr>
        <w:t>jsou uvedena</w:t>
      </w:r>
      <w:r w:rsidRPr="00CB13B8">
        <w:rPr>
          <w:rFonts w:cs="Arial"/>
        </w:rPr>
        <w:t xml:space="preserve"> v kapitole 18.5 Obecných pravidel.</w:t>
      </w:r>
    </w:p>
    <w:p w:rsidR="00C1777C" w:rsidRDefault="00C1777C" w:rsidP="00C65645">
      <w:pPr>
        <w:jc w:val="both"/>
        <w:rPr>
          <w:rFonts w:cs="Arial"/>
        </w:rPr>
      </w:pPr>
      <w:r w:rsidRPr="00A317B6">
        <w:rPr>
          <w:rFonts w:cs="Arial"/>
        </w:rPr>
        <w:t>Po doložení poslední ZŽoP zjistí CRR konečnou výši celkových způsobilých výdajů projektu na hlavní a vedlejší aktivity projektu. Pokud není splněn limit výdajů na vedlejší aktivity projektu (maximálně 15 % z celkových způsobilých výdajů projektu), je krácena částka dotace do výše limitu.</w:t>
      </w:r>
    </w:p>
    <w:p w:rsidR="007927D6" w:rsidRPr="000C628F"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Theme="majorHAnsi" w:eastAsiaTheme="minorHAnsi" w:hAnsiTheme="majorHAnsi" w:cs="Cambria,Bold"/>
          <w:b/>
          <w:bCs/>
          <w:lang w:eastAsia="en-US"/>
        </w:rPr>
      </w:pPr>
      <w:r w:rsidRPr="000C628F">
        <w:rPr>
          <w:rFonts w:asciiTheme="majorHAnsi" w:eastAsiaTheme="minorHAnsi" w:hAnsiTheme="majorHAnsi" w:cs="Cambria,Bold"/>
          <w:b/>
          <w:bCs/>
          <w:lang w:eastAsia="en-US"/>
        </w:rPr>
        <w:t>UPOZORNĚNÍ</w:t>
      </w: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mbria,Bold" w:eastAsiaTheme="minorHAnsi" w:hAnsi="Cambria,Bold" w:cs="Cambria,Bold"/>
          <w:b/>
          <w:bCs/>
          <w:lang w:eastAsia="en-US"/>
        </w:rPr>
      </w:pPr>
    </w:p>
    <w:p w:rsidR="007927D6" w:rsidRDefault="007927D6" w:rsidP="007927D6">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ajorHAnsi" w:hAnsiTheme="majorHAnsi" w:cs="Arial"/>
        </w:rPr>
      </w:pPr>
      <w:r>
        <w:rPr>
          <w:rFonts w:asciiTheme="majorHAnsi" w:hAnsiTheme="majorHAnsi" w:cs="Arial"/>
        </w:rPr>
        <w:t>Překročení limitu vede k porušení rozpočtové kázně a sankcím orgánu finanční správy. Doporučujeme, aby příjemce limity průběžně kontroloval.</w:t>
      </w:r>
    </w:p>
    <w:p w:rsidR="007927D6" w:rsidRDefault="007927D6" w:rsidP="007927D6">
      <w:pPr>
        <w:spacing w:after="120"/>
        <w:jc w:val="both"/>
      </w:pPr>
    </w:p>
    <w:p w:rsidR="007927D6" w:rsidRDefault="007927D6" w:rsidP="007927D6">
      <w:pPr>
        <w:jc w:val="both"/>
      </w:pPr>
      <w:r>
        <w:t>Podrobná pravidla předkládání ZŽoP jsou uvedena v kapitole 18.5 Obecných pravidel.</w:t>
      </w:r>
    </w:p>
    <w:p w:rsidR="00992771" w:rsidRDefault="00992771" w:rsidP="007927D6">
      <w:pPr>
        <w:jc w:val="both"/>
      </w:pPr>
    </w:p>
    <w:p w:rsidR="00C1777C" w:rsidRDefault="00C1777C" w:rsidP="00C1777C">
      <w:pPr>
        <w:pStyle w:val="Pravidla11"/>
        <w:numPr>
          <w:ilvl w:val="1"/>
          <w:numId w:val="97"/>
        </w:numPr>
        <w:tabs>
          <w:tab w:val="left" w:pos="993"/>
        </w:tabs>
        <w:spacing w:before="120"/>
      </w:pPr>
      <w:bookmarkStart w:id="241" w:name="_Toc431376005"/>
      <w:bookmarkStart w:id="242" w:name="_Toc431376046"/>
      <w:bookmarkStart w:id="243" w:name="_Toc431376085"/>
      <w:bookmarkStart w:id="244" w:name="_Toc431376145"/>
      <w:bookmarkStart w:id="245" w:name="_Toc431376180"/>
      <w:bookmarkStart w:id="246" w:name="_Toc431376214"/>
      <w:bookmarkStart w:id="247" w:name="_Toc431376887"/>
      <w:bookmarkStart w:id="248" w:name="_Toc431377274"/>
      <w:bookmarkStart w:id="249" w:name="_Toc431792654"/>
      <w:bookmarkStart w:id="250" w:name="_Toc431802710"/>
      <w:bookmarkStart w:id="251" w:name="_Toc431826890"/>
      <w:bookmarkStart w:id="252" w:name="_Toc431830224"/>
      <w:bookmarkStart w:id="253" w:name="_Toc431830255"/>
      <w:bookmarkStart w:id="254" w:name="_Toc435704010"/>
      <w:bookmarkStart w:id="255" w:name="_Toc435997061"/>
      <w:bookmarkStart w:id="256" w:name="_Toc436037960"/>
      <w:bookmarkStart w:id="257" w:name="_Toc436054820"/>
      <w:bookmarkStart w:id="258" w:name="_Toc436054822"/>
      <w:bookmarkStart w:id="259" w:name="_Toc444247683"/>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t>Účelové znaky</w:t>
      </w:r>
      <w:bookmarkEnd w:id="258"/>
      <w:bookmarkEnd w:id="259"/>
    </w:p>
    <w:p w:rsidR="00C1777C" w:rsidRDefault="00C1777C" w:rsidP="00C65645">
      <w:pPr>
        <w:jc w:val="both"/>
      </w:pPr>
      <w:r w:rsidRPr="00CE3B5D">
        <w:t>Kraje, jejich příspěvkové a jimi zřizované organizace, obce, jejich příspěvkové</w:t>
      </w:r>
      <w:r>
        <w:t xml:space="preserve"> organizace</w:t>
      </w:r>
      <w:r w:rsidRPr="00CE3B5D">
        <w:t>, svazky obcí, jimi zřizované organizace postupují v souladu s kap. 18.3 Obecných pravidel.</w:t>
      </w:r>
    </w:p>
    <w:p w:rsidR="00441D68" w:rsidRDefault="00441D68">
      <w:pPr>
        <w:spacing w:line="276" w:lineRule="auto"/>
      </w:pPr>
      <w:r>
        <w:br w:type="page"/>
      </w:r>
    </w:p>
    <w:p w:rsidR="00441D68" w:rsidRPr="001937B8" w:rsidRDefault="00441D68" w:rsidP="00441D68">
      <w:pPr>
        <w:pStyle w:val="Pravidla1"/>
        <w:pageBreakBefore/>
        <w:numPr>
          <w:ilvl w:val="0"/>
          <w:numId w:val="60"/>
        </w:numPr>
        <w:suppressAutoHyphens/>
        <w:ind w:left="360"/>
        <w:jc w:val="both"/>
      </w:pPr>
      <w:bookmarkStart w:id="260" w:name="_Toc444247684"/>
      <w:r>
        <w:lastRenderedPageBreak/>
        <w:t>Udržitelnost</w:t>
      </w:r>
      <w:bookmarkEnd w:id="260"/>
    </w:p>
    <w:p w:rsidR="00441D68" w:rsidRDefault="00441D68" w:rsidP="00441D68">
      <w:pPr>
        <w:tabs>
          <w:tab w:val="left" w:pos="284"/>
        </w:tabs>
        <w:jc w:val="both"/>
        <w:rPr>
          <w:rFonts w:asciiTheme="majorHAnsi" w:hAnsiTheme="majorHAnsi" w:cs="Arial"/>
        </w:rPr>
      </w:pPr>
    </w:p>
    <w:p w:rsidR="00441D68" w:rsidRDefault="00441D68" w:rsidP="00441D68">
      <w:pPr>
        <w:jc w:val="both"/>
      </w:pPr>
      <w:r>
        <w:t>Udržitelnost je doba, po kterou příjemce musí zachovat výstupy projektu v souladu s čl. 71 Obecného nařízení. K udržení výstupů je příjemce zavázán v Podmínkách Rozhodnutí a Podmínkách Stanovení výdajů, ve kterém je stanovená doba udržitelnosti a povinnosti příjemce.</w:t>
      </w:r>
    </w:p>
    <w:p w:rsidR="00441D68" w:rsidRDefault="00441D68" w:rsidP="00441D68">
      <w:pPr>
        <w:jc w:val="both"/>
      </w:pPr>
      <w:r>
        <w:t>Doba udržitelnosti je stanovená na pět let od provedení poslední platby příjemci ze strany ŘO IROP, tzn. od data nastavení centrálního stavu „Projekt finančně ukončen ze strany ŘO“ v MS2014+. U příjemců typu OSS a PO OSS bude stav nastaven po schválení závěrečné ŽoP ve 2. stupni. O zahájení doby udržitelnosti je příjemce informován CRR.</w:t>
      </w:r>
    </w:p>
    <w:p w:rsidR="00441D68" w:rsidRPr="000C628F" w:rsidRDefault="00441D68" w:rsidP="00C37E3A">
      <w:pPr>
        <w:pBdr>
          <w:top w:val="single" w:sz="4" w:space="1" w:color="auto"/>
          <w:left w:val="single" w:sz="4" w:space="4" w:color="auto"/>
          <w:right w:val="single" w:sz="4" w:space="4" w:color="auto"/>
        </w:pBdr>
        <w:tabs>
          <w:tab w:val="left" w:pos="284"/>
        </w:tabs>
        <w:jc w:val="both"/>
        <w:rPr>
          <w:rFonts w:asciiTheme="majorHAnsi" w:hAnsiTheme="majorHAnsi" w:cs="Arial"/>
          <w:b/>
        </w:rPr>
      </w:pPr>
      <w:r w:rsidRPr="000C628F">
        <w:rPr>
          <w:rFonts w:asciiTheme="majorHAnsi" w:hAnsiTheme="majorHAnsi" w:cs="Arial"/>
          <w:b/>
        </w:rPr>
        <w:t>UPOZORNĚNÍ</w:t>
      </w:r>
    </w:p>
    <w:p w:rsidR="00441D68" w:rsidRDefault="00441D68" w:rsidP="00C37E3A">
      <w:pPr>
        <w:pBdr>
          <w:top w:val="single" w:sz="4" w:space="1" w:color="auto"/>
          <w:left w:val="single" w:sz="4" w:space="4" w:color="auto"/>
          <w:right w:val="single" w:sz="4" w:space="4" w:color="auto"/>
        </w:pBdr>
        <w:spacing w:before="240"/>
        <w:jc w:val="both"/>
        <w:rPr>
          <w:rFonts w:cs="Arial"/>
        </w:rPr>
      </w:pPr>
      <w:r>
        <w:rPr>
          <w:rFonts w:cs="Arial"/>
        </w:rPr>
        <w:t>Povinnosti příjemce v době udržitelnosti jsou definovány v kap. 20 Obecných pravidel.</w:t>
      </w:r>
      <w:r w:rsidR="00366A0F">
        <w:rPr>
          <w:rFonts w:cs="Arial"/>
        </w:rPr>
        <w:t xml:space="preserve"> </w:t>
      </w:r>
    </w:p>
    <w:p w:rsidR="00366A0F" w:rsidRDefault="00366A0F" w:rsidP="00C37E3A">
      <w:pPr>
        <w:pBdr>
          <w:top w:val="single" w:sz="4" w:space="1" w:color="auto"/>
          <w:left w:val="single" w:sz="4" w:space="4" w:color="auto"/>
          <w:right w:val="single" w:sz="4" w:space="4" w:color="auto"/>
        </w:pBdr>
        <w:spacing w:before="240" w:after="0"/>
        <w:jc w:val="both"/>
        <w:rPr>
          <w:rFonts w:cs="Arial"/>
        </w:rPr>
      </w:pPr>
      <w:r>
        <w:rPr>
          <w:rFonts w:cs="Arial"/>
        </w:rPr>
        <w:t>Příjemce je v této výzvě také povinnen:</w:t>
      </w:r>
    </w:p>
    <w:p w:rsidR="009F5632" w:rsidRPr="00C37E3A" w:rsidRDefault="007A7422" w:rsidP="00C37E3A">
      <w:pPr>
        <w:pStyle w:val="Odstavecseseznamem"/>
        <w:numPr>
          <w:ilvl w:val="0"/>
          <w:numId w:val="103"/>
        </w:numPr>
        <w:pBdr>
          <w:left w:val="single" w:sz="4" w:space="23" w:color="auto"/>
          <w:bottom w:val="single" w:sz="4" w:space="1" w:color="auto"/>
          <w:right w:val="single" w:sz="4" w:space="4" w:color="auto"/>
        </w:pBdr>
        <w:spacing w:after="0"/>
        <w:jc w:val="both"/>
      </w:pPr>
      <w:r>
        <w:t>ř</w:t>
      </w:r>
      <w:r w:rsidR="00366A0F" w:rsidRPr="00C37E3A">
        <w:t>ádně uchovávat veškerou dokumentaci a účetní doklady související s realizací projektu</w:t>
      </w:r>
      <w:r>
        <w:t>,</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rsidRPr="00D165C5">
        <w:t>veškerý pořízený majetek používat pouze k účelu projektu</w:t>
      </w:r>
      <w:r>
        <w:t>, ke kterému</w:t>
      </w:r>
      <w:r w:rsidRPr="00D165C5">
        <w:t xml:space="preserve"> se zavázal v žádosti o podporu,</w:t>
      </w:r>
    </w:p>
    <w:p w:rsidR="009F5632" w:rsidRDefault="009F5632" w:rsidP="00C37E3A">
      <w:pPr>
        <w:pStyle w:val="Odstavecseseznamem"/>
        <w:numPr>
          <w:ilvl w:val="0"/>
          <w:numId w:val="103"/>
        </w:numPr>
        <w:pBdr>
          <w:left w:val="single" w:sz="4" w:space="23" w:color="auto"/>
          <w:bottom w:val="single" w:sz="4" w:space="1" w:color="auto"/>
          <w:right w:val="single" w:sz="4" w:space="4" w:color="auto"/>
        </w:pBdr>
        <w:spacing w:after="0"/>
        <w:jc w:val="both"/>
      </w:pPr>
      <w:r>
        <w:t>užívat budovy, na které byla poskytnuta podpora, jako bytové domy</w:t>
      </w:r>
      <w:r w:rsidR="009272F1">
        <w:t>.</w:t>
      </w:r>
    </w:p>
    <w:p w:rsidR="00366A0F" w:rsidRPr="00366A0F" w:rsidRDefault="00366A0F" w:rsidP="009F5632">
      <w:pPr>
        <w:spacing w:before="240"/>
        <w:jc w:val="both"/>
        <w:rPr>
          <w:rFonts w:asciiTheme="majorHAnsi" w:eastAsiaTheme="majorEastAsia" w:hAnsiTheme="majorHAnsi" w:cstheme="majorBidi"/>
          <w:bCs/>
          <w:color w:val="000000" w:themeColor="text1"/>
        </w:rPr>
      </w:pPr>
    </w:p>
    <w:p w:rsidR="00441D68" w:rsidRDefault="00441D68">
      <w:pPr>
        <w:spacing w:line="276" w:lineRule="auto"/>
      </w:pPr>
    </w:p>
    <w:p w:rsidR="00286D68" w:rsidRDefault="00286D68" w:rsidP="00C65645"/>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115FA3" w:rsidRDefault="00115FA3" w:rsidP="00F64B9F">
      <w:pPr>
        <w:pStyle w:val="Odstavecseseznamem"/>
        <w:jc w:val="both"/>
        <w:rPr>
          <w:rFonts w:asciiTheme="majorHAnsi" w:hAnsiTheme="majorHAnsi" w:cs="Arial"/>
        </w:rPr>
      </w:pPr>
    </w:p>
    <w:p w:rsidR="000C628F" w:rsidRDefault="000C628F">
      <w:pPr>
        <w:spacing w:line="276" w:lineRule="auto"/>
        <w:rPr>
          <w:rFonts w:asciiTheme="majorHAnsi" w:eastAsiaTheme="majorEastAsia" w:hAnsiTheme="majorHAnsi" w:cstheme="majorBidi"/>
          <w:b/>
          <w:bCs/>
          <w:color w:val="000000" w:themeColor="text1"/>
          <w:sz w:val="36"/>
          <w:szCs w:val="28"/>
        </w:rPr>
      </w:pPr>
    </w:p>
    <w:p w:rsidR="008926EF" w:rsidRDefault="008926EF" w:rsidP="007A438D">
      <w:pPr>
        <w:pStyle w:val="Odstavecseseznamem"/>
      </w:pPr>
    </w:p>
    <w:p w:rsidR="00FE3E84" w:rsidRPr="003E3F8E" w:rsidRDefault="00FE3E84" w:rsidP="00FE0B12">
      <w:pPr>
        <w:pStyle w:val="Odstavecseseznamem"/>
      </w:pPr>
    </w:p>
    <w:p w:rsidR="00D308FA" w:rsidRDefault="00D308FA"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Default="00441D68" w:rsidP="00D308FA">
      <w:pPr>
        <w:pStyle w:val="Odstavecseseznamem"/>
        <w:jc w:val="both"/>
        <w:rPr>
          <w:rFonts w:asciiTheme="majorHAnsi" w:hAnsiTheme="majorHAnsi" w:cs="Arial"/>
        </w:rPr>
      </w:pPr>
    </w:p>
    <w:p w:rsidR="00441D68" w:rsidRPr="00892E28" w:rsidRDefault="00441D68" w:rsidP="00C65645">
      <w:pPr>
        <w:pStyle w:val="Pravidla1"/>
        <w:pageBreakBefore/>
        <w:numPr>
          <w:ilvl w:val="0"/>
          <w:numId w:val="60"/>
        </w:numPr>
        <w:suppressAutoHyphens/>
        <w:ind w:left="360"/>
        <w:jc w:val="both"/>
      </w:pPr>
      <w:bookmarkStart w:id="261" w:name="_Toc436995515"/>
      <w:bookmarkStart w:id="262" w:name="_Toc436995605"/>
      <w:bookmarkStart w:id="263" w:name="_Toc436995516"/>
      <w:bookmarkStart w:id="264" w:name="_Toc436995606"/>
      <w:bookmarkStart w:id="265" w:name="_Toc436995517"/>
      <w:bookmarkStart w:id="266" w:name="_Toc436995607"/>
      <w:bookmarkStart w:id="267" w:name="_Toc444247685"/>
      <w:bookmarkEnd w:id="261"/>
      <w:bookmarkEnd w:id="262"/>
      <w:bookmarkEnd w:id="263"/>
      <w:bookmarkEnd w:id="264"/>
      <w:bookmarkEnd w:id="265"/>
      <w:bookmarkEnd w:id="266"/>
      <w:r>
        <w:lastRenderedPageBreak/>
        <w:t>S</w:t>
      </w:r>
      <w:r w:rsidRPr="00892E28">
        <w:t>eznam zkratek</w:t>
      </w:r>
      <w:bookmarkEnd w:id="267"/>
    </w:p>
    <w:p w:rsidR="00441D68" w:rsidRDefault="00441D68" w:rsidP="00441D68">
      <w:pPr>
        <w:pStyle w:val="Odstavecseseznamem"/>
        <w:jc w:val="both"/>
        <w:rPr>
          <w:rFonts w:asciiTheme="majorHAnsi" w:hAnsiTheme="majorHAnsi" w:cs="Arial"/>
        </w:rPr>
      </w:pP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CBA</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Cost–Benefit Analysis (Analýza nákladů a přínosů)</w:t>
      </w:r>
    </w:p>
    <w:p w:rsidR="00441D68" w:rsidRPr="00C65645" w:rsidRDefault="00441D68" w:rsidP="00441D68">
      <w:pPr>
        <w:pStyle w:val="Odstavecseseznamem"/>
        <w:ind w:left="426"/>
        <w:jc w:val="both"/>
        <w:rPr>
          <w:rFonts w:asciiTheme="majorHAnsi" w:hAnsiTheme="majorHAnsi"/>
        </w:rPr>
      </w:pPr>
      <w:r w:rsidRPr="00826A9B">
        <w:rPr>
          <w:rFonts w:asciiTheme="majorHAnsi" w:hAnsiTheme="majorHAnsi" w:cs="Arial"/>
        </w:rPr>
        <w:t>CRR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Centrum pro regionální rozvoj České republiky</w:t>
      </w:r>
    </w:p>
    <w:p w:rsidR="00826A9B" w:rsidRPr="00826A9B" w:rsidRDefault="00826A9B" w:rsidP="00441D68">
      <w:pPr>
        <w:pStyle w:val="Odstavecseseznamem"/>
        <w:ind w:left="426"/>
        <w:jc w:val="both"/>
        <w:rPr>
          <w:rFonts w:asciiTheme="majorHAnsi" w:hAnsiTheme="majorHAnsi" w:cs="Arial"/>
        </w:rPr>
      </w:pPr>
      <w:r w:rsidRPr="00826A9B">
        <w:rPr>
          <w:rFonts w:asciiTheme="majorHAnsi" w:hAnsiTheme="majorHAnsi" w:cs="Arial"/>
        </w:rPr>
        <w:t>ČSN</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České technické normy</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DPH</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Daň z přidané hodnoty</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EFRR</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Evropský fond pro regionální rozvoj</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EU</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Evropská unie</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IROP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Integrovaný regionální operační program</w:t>
      </w:r>
    </w:p>
    <w:p w:rsidR="00441D68" w:rsidRPr="00826A9B" w:rsidRDefault="00441D68" w:rsidP="00441D68">
      <w:pPr>
        <w:pStyle w:val="Odstavecseseznamem"/>
        <w:ind w:left="2127" w:hanging="1701"/>
        <w:jc w:val="both"/>
        <w:rPr>
          <w:rFonts w:asciiTheme="majorHAnsi" w:hAnsiTheme="majorHAnsi" w:cs="Arial"/>
        </w:rPr>
      </w:pPr>
      <w:r w:rsidRPr="00826A9B">
        <w:rPr>
          <w:rFonts w:asciiTheme="majorHAnsi" w:hAnsiTheme="majorHAnsi" w:cs="Arial"/>
        </w:rPr>
        <w:t>MS2014+</w:t>
      </w:r>
      <w:r w:rsidRPr="00826A9B">
        <w:rPr>
          <w:rFonts w:asciiTheme="majorHAnsi" w:hAnsiTheme="majorHAnsi" w:cs="Arial"/>
        </w:rPr>
        <w:tab/>
      </w:r>
      <w:r w:rsidRPr="00826A9B">
        <w:rPr>
          <w:rFonts w:asciiTheme="majorHAnsi" w:hAnsiTheme="majorHAnsi" w:cs="Arial"/>
        </w:rPr>
        <w:tab/>
        <w:t>Informační systém pro přípravu a podání žádosti o podporu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Operační program</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Organizační složka státu</w:t>
      </w:r>
    </w:p>
    <w:p w:rsidR="00441D68" w:rsidRPr="00826A9B" w:rsidRDefault="00441D68" w:rsidP="00441D68">
      <w:pPr>
        <w:pStyle w:val="Odstavecseseznamem"/>
        <w:ind w:left="426"/>
        <w:rPr>
          <w:rFonts w:asciiTheme="majorHAnsi" w:hAnsiTheme="majorHAnsi" w:cs="Arial"/>
        </w:rPr>
      </w:pPr>
      <w:r w:rsidRPr="00826A9B">
        <w:rPr>
          <w:rFonts w:asciiTheme="majorHAnsi" w:hAnsiTheme="majorHAnsi" w:cs="Arial"/>
        </w:rPr>
        <w:t>PO OSS</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Příspěvková organizace organizační složky státu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ŘO</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Řídicí orgán</w:t>
      </w:r>
    </w:p>
    <w:p w:rsidR="00441D68" w:rsidRPr="00C65645" w:rsidRDefault="00826A9B" w:rsidP="00441D68">
      <w:pPr>
        <w:pStyle w:val="Odstavecseseznamem"/>
        <w:ind w:left="426"/>
        <w:jc w:val="both"/>
        <w:rPr>
          <w:rFonts w:asciiTheme="majorHAnsi" w:hAnsiTheme="majorHAnsi"/>
        </w:rPr>
      </w:pPr>
      <w:r w:rsidRPr="00C65645">
        <w:rPr>
          <w:rFonts w:asciiTheme="majorHAnsi" w:hAnsiTheme="majorHAnsi"/>
        </w:rPr>
        <w:t>SVJ</w:t>
      </w:r>
      <w:r>
        <w:rPr>
          <w:rFonts w:asciiTheme="majorHAnsi" w:hAnsiTheme="majorHAnsi"/>
        </w:rPr>
        <w:tab/>
      </w:r>
      <w:r>
        <w:rPr>
          <w:rFonts w:asciiTheme="majorHAnsi" w:hAnsiTheme="majorHAnsi"/>
        </w:rPr>
        <w:tab/>
      </w:r>
      <w:r>
        <w:rPr>
          <w:rFonts w:asciiTheme="majorHAnsi" w:hAnsiTheme="majorHAnsi"/>
        </w:rPr>
        <w:tab/>
        <w:t>Společenství vlastníků bytových jednotek</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ZoR projektu</w:t>
      </w:r>
      <w:r w:rsidRPr="00826A9B">
        <w:rPr>
          <w:rFonts w:asciiTheme="majorHAnsi" w:hAnsiTheme="majorHAnsi" w:cs="Arial"/>
        </w:rPr>
        <w:tab/>
      </w:r>
      <w:r w:rsidRPr="00826A9B">
        <w:rPr>
          <w:rFonts w:asciiTheme="majorHAnsi" w:hAnsiTheme="majorHAnsi" w:cs="Arial"/>
        </w:rPr>
        <w:tab/>
        <w:t>Zpráva o realizaci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ZoU projektu</w:t>
      </w:r>
      <w:r w:rsidRPr="00826A9B">
        <w:rPr>
          <w:rFonts w:asciiTheme="majorHAnsi" w:hAnsiTheme="majorHAnsi" w:cs="Arial"/>
        </w:rPr>
        <w:tab/>
      </w:r>
      <w:r w:rsidRPr="00826A9B">
        <w:rPr>
          <w:rFonts w:asciiTheme="majorHAnsi" w:hAnsiTheme="majorHAnsi" w:cs="Arial"/>
        </w:rPr>
        <w:tab/>
        <w:t>Zpráva o udržitelnosti projektu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ZŽoP</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Zjednodušená žádost o platbu</w:t>
      </w:r>
    </w:p>
    <w:p w:rsidR="00441D68" w:rsidRPr="00826A9B" w:rsidRDefault="00441D68" w:rsidP="00441D68">
      <w:pPr>
        <w:pStyle w:val="Odstavecseseznamem"/>
        <w:ind w:left="426"/>
        <w:jc w:val="both"/>
        <w:rPr>
          <w:rFonts w:asciiTheme="majorHAnsi" w:hAnsiTheme="majorHAnsi" w:cs="Arial"/>
        </w:rPr>
      </w:pPr>
      <w:r w:rsidRPr="00826A9B">
        <w:rPr>
          <w:rFonts w:asciiTheme="majorHAnsi" w:hAnsiTheme="majorHAnsi" w:cs="Arial"/>
        </w:rPr>
        <w:t>ŽoZ</w:t>
      </w:r>
      <w:r w:rsidRPr="00826A9B">
        <w:rPr>
          <w:rFonts w:asciiTheme="majorHAnsi" w:hAnsiTheme="majorHAnsi" w:cs="Arial"/>
        </w:rPr>
        <w:tab/>
      </w:r>
      <w:r w:rsidRPr="00826A9B">
        <w:rPr>
          <w:rFonts w:asciiTheme="majorHAnsi" w:hAnsiTheme="majorHAnsi" w:cs="Arial"/>
        </w:rPr>
        <w:tab/>
      </w:r>
      <w:r w:rsidRPr="00826A9B">
        <w:rPr>
          <w:rFonts w:asciiTheme="majorHAnsi" w:hAnsiTheme="majorHAnsi" w:cs="Arial"/>
        </w:rPr>
        <w:tab/>
        <w:t>Žádost o změnu</w:t>
      </w:r>
    </w:p>
    <w:p w:rsidR="00B57974" w:rsidRDefault="00B57974" w:rsidP="00FF27A1">
      <w:pPr>
        <w:rPr>
          <w:rFonts w:cs="Trivia Sans Book"/>
          <w:color w:val="000000"/>
        </w:rPr>
      </w:pPr>
    </w:p>
    <w:p w:rsidR="00767776" w:rsidRDefault="00767776" w:rsidP="00FF27A1">
      <w:pPr>
        <w:rPr>
          <w:rFonts w:cs="Trivia Sans Book"/>
          <w:color w:val="000000"/>
          <w:sz w:val="18"/>
          <w:szCs w:val="18"/>
        </w:rPr>
      </w:pPr>
    </w:p>
    <w:p w:rsidR="00ED07E0" w:rsidRPr="00761537" w:rsidRDefault="00ED07E0" w:rsidP="00ED07E0">
      <w:pPr>
        <w:pStyle w:val="Odstavecseseznamem"/>
        <w:tabs>
          <w:tab w:val="left" w:pos="284"/>
        </w:tabs>
        <w:jc w:val="both"/>
        <w:rPr>
          <w:rFonts w:asciiTheme="majorHAnsi" w:hAnsiTheme="majorHAnsi" w:cs="Arial"/>
        </w:rPr>
      </w:pPr>
    </w:p>
    <w:p w:rsidR="00761537" w:rsidRPr="00072FBA" w:rsidRDefault="00761537" w:rsidP="00072FBA">
      <w:pPr>
        <w:tabs>
          <w:tab w:val="left" w:pos="284"/>
        </w:tabs>
        <w:jc w:val="both"/>
        <w:rPr>
          <w:rFonts w:asciiTheme="majorHAnsi" w:hAnsiTheme="majorHAnsi" w:cs="Arial"/>
        </w:rPr>
      </w:pPr>
    </w:p>
    <w:p w:rsidR="00664985" w:rsidRDefault="00664985">
      <w:pPr>
        <w:spacing w:line="276" w:lineRule="auto"/>
        <w:rPr>
          <w:rFonts w:asciiTheme="majorHAnsi" w:hAnsiTheme="majorHAnsi" w:cs="Arial"/>
        </w:rPr>
      </w:pPr>
      <w:r>
        <w:rPr>
          <w:rFonts w:asciiTheme="majorHAnsi" w:hAnsiTheme="majorHAnsi" w:cs="Arial"/>
        </w:rPr>
        <w:br w:type="page"/>
      </w:r>
    </w:p>
    <w:p w:rsidR="00664985" w:rsidRDefault="00664985" w:rsidP="00C65645">
      <w:pPr>
        <w:pStyle w:val="Pravidla1"/>
        <w:pageBreakBefore/>
        <w:numPr>
          <w:ilvl w:val="0"/>
          <w:numId w:val="60"/>
        </w:numPr>
        <w:suppressAutoHyphens/>
        <w:ind w:left="360"/>
        <w:jc w:val="both"/>
      </w:pPr>
      <w:bookmarkStart w:id="268" w:name="_Toc432410185"/>
      <w:bookmarkStart w:id="269" w:name="_Toc436054825"/>
      <w:bookmarkStart w:id="270" w:name="_Toc444247686"/>
      <w:r w:rsidRPr="000F729D">
        <w:lastRenderedPageBreak/>
        <w:t>Právní a metodický rámec</w:t>
      </w:r>
      <w:bookmarkEnd w:id="268"/>
      <w:bookmarkEnd w:id="269"/>
      <w:bookmarkEnd w:id="270"/>
    </w:p>
    <w:p w:rsidR="006E1625" w:rsidRDefault="006E1625">
      <w:pPr>
        <w:tabs>
          <w:tab w:val="left" w:pos="284"/>
        </w:tabs>
        <w:jc w:val="both"/>
        <w:rPr>
          <w:rFonts w:asciiTheme="majorHAnsi" w:hAnsiTheme="majorHAnsi" w:cs="Arial"/>
        </w:rPr>
      </w:pPr>
    </w:p>
    <w:p w:rsidR="005D595D" w:rsidRDefault="0065301A" w:rsidP="00BB6BD0">
      <w:pPr>
        <w:pStyle w:val="Odstavecseseznamem"/>
        <w:numPr>
          <w:ilvl w:val="0"/>
          <w:numId w:val="104"/>
        </w:numPr>
        <w:ind w:left="714" w:hanging="357"/>
        <w:jc w:val="both"/>
      </w:pPr>
      <w:r>
        <w:t>Zákon č. 406/2000 Sb., o hospodaření energií</w:t>
      </w:r>
    </w:p>
    <w:p w:rsidR="0065301A" w:rsidRDefault="0065301A" w:rsidP="00BB6BD0">
      <w:pPr>
        <w:pStyle w:val="Odstavecseseznamem"/>
        <w:numPr>
          <w:ilvl w:val="0"/>
          <w:numId w:val="104"/>
        </w:numPr>
        <w:ind w:left="714" w:hanging="357"/>
        <w:jc w:val="both"/>
      </w:pPr>
      <w:r>
        <w:t>Vyhláška č. 78/2013 Sb., o energetické náročnosti budov</w:t>
      </w:r>
    </w:p>
    <w:p w:rsidR="00C37E3A" w:rsidRDefault="0065301A" w:rsidP="00BB6BD0">
      <w:pPr>
        <w:pStyle w:val="Odstavecseseznamem"/>
        <w:numPr>
          <w:ilvl w:val="0"/>
          <w:numId w:val="104"/>
        </w:numPr>
        <w:ind w:left="714" w:hanging="357"/>
        <w:jc w:val="both"/>
      </w:pPr>
      <w:r>
        <w:t>Směrnice Evropského parlamentu a Rady 2009/125/ES ze dne 21. října 2009</w:t>
      </w:r>
      <w:r w:rsidR="00C37E3A">
        <w:t>,</w:t>
      </w:r>
    </w:p>
    <w:p w:rsidR="0065301A" w:rsidRDefault="0065301A" w:rsidP="00BB6BD0">
      <w:pPr>
        <w:pStyle w:val="Odstavecseseznamem"/>
        <w:ind w:left="714"/>
        <w:jc w:val="both"/>
      </w:pPr>
      <w:r>
        <w:t xml:space="preserve"> o stanovení rámce pro určení požadavků na ekodesign výrobků spojených se spotřebou energie</w:t>
      </w:r>
    </w:p>
    <w:p w:rsidR="0065301A" w:rsidRDefault="0065301A" w:rsidP="00BB6BD0">
      <w:pPr>
        <w:pStyle w:val="Odstavecseseznamem"/>
        <w:numPr>
          <w:ilvl w:val="0"/>
          <w:numId w:val="104"/>
        </w:numPr>
        <w:ind w:left="714" w:hanging="357"/>
        <w:jc w:val="both"/>
      </w:pPr>
      <w:r>
        <w:t>Nařízení Komise (EU) 2015/1189 ze dne 28. dubna 2015, kterým se provádí Směrnice Evropského parlamentu a Rady 2009/125/ES, pokud jde o požadavky na ekodesign kotlů na tuhá paliva</w:t>
      </w:r>
    </w:p>
    <w:p w:rsidR="0065301A" w:rsidRDefault="0065301A" w:rsidP="00BB6BD0">
      <w:pPr>
        <w:pStyle w:val="Odstavecseseznamem"/>
        <w:numPr>
          <w:ilvl w:val="0"/>
          <w:numId w:val="104"/>
        </w:numPr>
        <w:ind w:left="714" w:hanging="357"/>
        <w:jc w:val="both"/>
      </w:pPr>
      <w:r>
        <w:t xml:space="preserve">Nařízení Komise (EU) </w:t>
      </w:r>
      <w:r w:rsidR="00456332">
        <w:t>č. 813/2013 ze dne 2. srpna 2013, kterým se provádí Směrnice Evropského parlamentu a Rady 2009/125/ES, pokud jde o požadavky na ekodesign ohřívačů pro vytápění vnitřních prostorů a kombinovaných ohřívačů</w:t>
      </w:r>
    </w:p>
    <w:p w:rsidR="00456332" w:rsidRDefault="00456332" w:rsidP="00BB6BD0">
      <w:pPr>
        <w:pStyle w:val="Odstavecseseznamem"/>
        <w:numPr>
          <w:ilvl w:val="0"/>
          <w:numId w:val="104"/>
        </w:numPr>
        <w:ind w:left="714" w:hanging="357"/>
        <w:jc w:val="both"/>
      </w:pPr>
      <w:r>
        <w:t>Vyhláška č. 415/2012 Sb., o přípustné úrovni znečišťování a jejím zjišťování a o provedení některých dalších ustanovení zákona o ochraně ovzduší</w:t>
      </w:r>
    </w:p>
    <w:p w:rsidR="00456332" w:rsidRDefault="00456332" w:rsidP="00BB6BD0">
      <w:pPr>
        <w:pStyle w:val="Odstavecseseznamem"/>
        <w:numPr>
          <w:ilvl w:val="0"/>
          <w:numId w:val="104"/>
        </w:numPr>
        <w:ind w:left="714" w:hanging="357"/>
        <w:jc w:val="both"/>
      </w:pPr>
      <w:r>
        <w:t>Vyhláška č. 453/2012 Sb., o elektřině z vysokoúčinné kombinované výroby elektřiny a tepla a elektřině z druhotných zdrojů</w:t>
      </w:r>
    </w:p>
    <w:p w:rsidR="00456332" w:rsidRDefault="00456332" w:rsidP="00BB6BD0">
      <w:pPr>
        <w:pStyle w:val="Odstavecseseznamem"/>
        <w:numPr>
          <w:ilvl w:val="0"/>
          <w:numId w:val="104"/>
        </w:numPr>
        <w:ind w:left="714" w:hanging="357"/>
        <w:jc w:val="both"/>
      </w:pPr>
      <w:r>
        <w:t>Směrnice Evropského parlamentu a Rady 2012/27/EU ze dne 25. října 2012</w:t>
      </w:r>
      <w:r w:rsidR="00366A0F">
        <w:t xml:space="preserve"> o energetické účinnosti a o změně směrnice 2009/125/ES a 2010/30/EU a o zrušení směrnic 2004/8/ES a 2006/32/ES</w:t>
      </w:r>
    </w:p>
    <w:p w:rsidR="00583E25" w:rsidRDefault="00583E25" w:rsidP="00BB6BD0">
      <w:pPr>
        <w:pStyle w:val="Odstavecseseznamem"/>
        <w:numPr>
          <w:ilvl w:val="0"/>
          <w:numId w:val="104"/>
        </w:numPr>
        <w:ind w:left="714" w:hanging="357"/>
        <w:jc w:val="both"/>
      </w:pPr>
      <w:r>
        <w:t>Zákon č. 183/2006 Sb., o územním plánování a stavebním řádu</w:t>
      </w:r>
    </w:p>
    <w:p w:rsidR="00583E25" w:rsidRDefault="00583E25" w:rsidP="00BB6BD0">
      <w:pPr>
        <w:pStyle w:val="Odstavecseseznamem"/>
        <w:numPr>
          <w:ilvl w:val="0"/>
          <w:numId w:val="104"/>
        </w:numPr>
        <w:ind w:left="714" w:hanging="357"/>
        <w:jc w:val="both"/>
      </w:pPr>
      <w:r>
        <w:t>Vyhláška č. 499/2006 Sb., o dokumentaci staveb</w:t>
      </w:r>
    </w:p>
    <w:p w:rsidR="00583E25" w:rsidRDefault="00583E25" w:rsidP="00BB6BD0">
      <w:pPr>
        <w:pStyle w:val="Odstavecseseznamem"/>
        <w:numPr>
          <w:ilvl w:val="0"/>
          <w:numId w:val="104"/>
        </w:numPr>
        <w:ind w:left="714" w:hanging="357"/>
        <w:jc w:val="both"/>
      </w:pPr>
      <w:r>
        <w:t>Vyhláška č. 501/2006 Sb., o obecných požadavcích na využívání území</w:t>
      </w:r>
    </w:p>
    <w:p w:rsidR="00583E25" w:rsidRDefault="00583E25" w:rsidP="00BB6BD0">
      <w:pPr>
        <w:pStyle w:val="Odstavecseseznamem"/>
        <w:numPr>
          <w:ilvl w:val="0"/>
          <w:numId w:val="104"/>
        </w:numPr>
        <w:ind w:left="714" w:hanging="357"/>
        <w:jc w:val="both"/>
      </w:pPr>
      <w:r>
        <w:t>Zákon č. 89/2012 Sb., občanský zákoník</w:t>
      </w:r>
    </w:p>
    <w:p w:rsidR="00456332" w:rsidRDefault="00456332" w:rsidP="00C76941"/>
    <w:p w:rsidR="00664985" w:rsidRDefault="00664985" w:rsidP="00C76941"/>
    <w:p w:rsidR="00664985" w:rsidRDefault="00664985" w:rsidP="00C76941"/>
    <w:p w:rsidR="00664985" w:rsidRDefault="00664985" w:rsidP="00C76941"/>
    <w:p w:rsidR="00664985" w:rsidRDefault="00664985">
      <w:pPr>
        <w:spacing w:line="276" w:lineRule="auto"/>
      </w:pPr>
    </w:p>
    <w:p w:rsidR="00664985" w:rsidRDefault="00664985" w:rsidP="00C65645">
      <w:pPr>
        <w:pStyle w:val="Pravidla1"/>
        <w:pageBreakBefore/>
        <w:numPr>
          <w:ilvl w:val="0"/>
          <w:numId w:val="60"/>
        </w:numPr>
        <w:suppressAutoHyphens/>
        <w:ind w:left="360"/>
        <w:jc w:val="both"/>
      </w:pPr>
      <w:bookmarkStart w:id="271" w:name="_Toc444247687"/>
      <w:r w:rsidRPr="005D35E5">
        <w:lastRenderedPageBreak/>
        <w:t>Seznam příloh</w:t>
      </w:r>
      <w:r>
        <w:t xml:space="preserve"> Pravidel</w:t>
      </w:r>
      <w:bookmarkEnd w:id="271"/>
    </w:p>
    <w:p w:rsidR="00664985" w:rsidRPr="005D35E5" w:rsidRDefault="00664985" w:rsidP="00C65645"/>
    <w:p w:rsidR="00280CD9" w:rsidRDefault="00280CD9" w:rsidP="00280CD9">
      <w:pPr>
        <w:pStyle w:val="Odstavecseseznamem"/>
        <w:numPr>
          <w:ilvl w:val="0"/>
          <w:numId w:val="23"/>
        </w:numPr>
      </w:pPr>
      <w:r w:rsidRPr="002B06D9">
        <w:t>Po</w:t>
      </w:r>
      <w:r>
        <w:t>stup</w:t>
      </w:r>
      <w:r w:rsidRPr="002B06D9">
        <w:t xml:space="preserve"> pro podání žádosti o podporu v MS2014+</w:t>
      </w:r>
    </w:p>
    <w:p w:rsidR="00280CD9" w:rsidRDefault="00280CD9" w:rsidP="00280CD9">
      <w:pPr>
        <w:pStyle w:val="Odstavecseseznamem"/>
        <w:numPr>
          <w:ilvl w:val="0"/>
          <w:numId w:val="23"/>
        </w:numPr>
      </w:pPr>
      <w:r>
        <w:t>Metodické listy indikátorů</w:t>
      </w:r>
    </w:p>
    <w:p w:rsidR="00280CD9" w:rsidRDefault="00280CD9" w:rsidP="00280CD9">
      <w:pPr>
        <w:pStyle w:val="Odstavecseseznamem"/>
        <w:numPr>
          <w:ilvl w:val="0"/>
          <w:numId w:val="23"/>
        </w:numPr>
      </w:pPr>
      <w:r>
        <w:t>Podklady pro hodnocení</w:t>
      </w:r>
    </w:p>
    <w:p w:rsidR="00280CD9" w:rsidRDefault="00280CD9" w:rsidP="00280CD9">
      <w:pPr>
        <w:pStyle w:val="Odstavecseseznamem"/>
        <w:numPr>
          <w:ilvl w:val="0"/>
          <w:numId w:val="23"/>
        </w:numPr>
      </w:pPr>
      <w:r w:rsidRPr="00184A64">
        <w:t>Motivační účinek projektů v souladu s nařízením č. 651/2014</w:t>
      </w:r>
    </w:p>
    <w:p w:rsidR="00280CD9" w:rsidRDefault="00280CD9" w:rsidP="00280CD9">
      <w:pPr>
        <w:pStyle w:val="Odstavecseseznamem"/>
        <w:numPr>
          <w:ilvl w:val="0"/>
          <w:numId w:val="23"/>
        </w:numPr>
      </w:pPr>
      <w:r>
        <w:t>Podmínky Rozhodnutí o poskytnutí dotace (pro PO OSS) – vzor</w:t>
      </w:r>
    </w:p>
    <w:p w:rsidR="00280CD9" w:rsidRDefault="00280CD9" w:rsidP="00280CD9">
      <w:pPr>
        <w:pStyle w:val="Odstavecseseznamem"/>
        <w:numPr>
          <w:ilvl w:val="0"/>
          <w:numId w:val="23"/>
        </w:numPr>
      </w:pPr>
      <w:r>
        <w:t>Podmínky Rozhodnutí o poskytnutí dotace (pro příjemce kromě OSS a jejich PO) – vzor</w:t>
      </w:r>
    </w:p>
    <w:p w:rsidR="00280CD9" w:rsidRDefault="00280CD9" w:rsidP="00280CD9">
      <w:pPr>
        <w:pStyle w:val="Odstavecseseznamem"/>
        <w:numPr>
          <w:ilvl w:val="0"/>
          <w:numId w:val="23"/>
        </w:numPr>
      </w:pPr>
      <w:r>
        <w:t>Podmínky Stanovení výdajů na financování akce OSS – vzor</w:t>
      </w:r>
    </w:p>
    <w:p w:rsidR="00280CD9" w:rsidRDefault="00280CD9" w:rsidP="00280CD9">
      <w:pPr>
        <w:pStyle w:val="Odstavecseseznamem"/>
        <w:numPr>
          <w:ilvl w:val="0"/>
          <w:numId w:val="23"/>
        </w:numPr>
      </w:pPr>
      <w:r>
        <w:t>Krácení peněžních prostředků při porušení Podmínek Dopisu MMR/Stanovení výdajů</w:t>
      </w:r>
    </w:p>
    <w:p w:rsidR="00444092" w:rsidRDefault="00264EA5" w:rsidP="00280CD9">
      <w:pPr>
        <w:pStyle w:val="Odstavecseseznamem"/>
        <w:numPr>
          <w:ilvl w:val="0"/>
          <w:numId w:val="23"/>
        </w:numPr>
      </w:pPr>
      <w:r>
        <w:t>Průzkum trhu</w:t>
      </w:r>
    </w:p>
    <w:p w:rsidR="00664985" w:rsidRPr="00992771" w:rsidRDefault="00664985" w:rsidP="00C76941"/>
    <w:p w:rsidR="00CE2D84" w:rsidRPr="00992771" w:rsidRDefault="00CE2D84" w:rsidP="00C76941">
      <w:r w:rsidRPr="00B63056">
        <w:rPr>
          <w:bCs/>
        </w:rPr>
        <w:t>Před schválením Rozhodnutí může dojít ke změně vzoru Podmínek uvedených v příloze.</w:t>
      </w:r>
    </w:p>
    <w:p w:rsidR="00CE2D84" w:rsidRPr="005D595D" w:rsidRDefault="00CE2D84" w:rsidP="00C76941"/>
    <w:sectPr w:rsidR="00CE2D84" w:rsidRPr="005D595D" w:rsidSect="00D02F46">
      <w:headerReference w:type="default" r:id="rId19"/>
      <w:footerReference w:type="default" r:id="rId20"/>
      <w:headerReference w:type="first" r:id="rId21"/>
      <w:pgSz w:w="11900" w:h="16840"/>
      <w:pgMar w:top="1474" w:right="1410" w:bottom="1440" w:left="1418"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CF4" w:rsidRDefault="00F20CF4" w:rsidP="00134399">
      <w:pPr>
        <w:spacing w:after="0"/>
      </w:pPr>
      <w:r>
        <w:separator/>
      </w:r>
    </w:p>
  </w:endnote>
  <w:endnote w:type="continuationSeparator" w:id="0">
    <w:p w:rsidR="00F20CF4" w:rsidRDefault="00F20CF4" w:rsidP="001343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yriadPro-Regular">
    <w:altName w:val="Times New Roman"/>
    <w:panose1 w:val="00000000000000000000"/>
    <w:charset w:val="4D"/>
    <w:family w:val="auto"/>
    <w:notTrueType/>
    <w:pitch w:val="default"/>
    <w:sig w:usb0="00000003" w:usb1="00000000" w:usb2="00000000" w:usb3="00000000" w:csb0="00000001" w:csb1="00000000"/>
  </w:font>
  <w:font w:name="Cambria,Bold">
    <w:panose1 w:val="00000000000000000000"/>
    <w:charset w:val="EE"/>
    <w:family w:val="auto"/>
    <w:notTrueType/>
    <w:pitch w:val="default"/>
    <w:sig w:usb0="00000005" w:usb1="00000000" w:usb2="00000000" w:usb3="00000000" w:csb0="00000002" w:csb1="00000000"/>
  </w:font>
  <w:font w:name="Trivia Sans Book">
    <w:altName w:val="Trivia Sans Book"/>
    <w:panose1 w:val="00000000000000000000"/>
    <w:charset w:val="00"/>
    <w:family w:val="swiss"/>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4" w:rsidRDefault="00F20CF4">
    <w:pPr>
      <w:pStyle w:val="Zpat"/>
      <w:jc w:val="right"/>
    </w:pPr>
  </w:p>
  <w:p w:rsidR="00F20CF4" w:rsidRPr="003238BB" w:rsidRDefault="00F20CF4">
    <w:pPr>
      <w:pStyle w:val="Zpat"/>
      <w:rPr>
        <w:sz w:val="20"/>
        <w:szCs w:val="20"/>
      </w:rPr>
    </w:pPr>
    <w:r w:rsidRPr="003238BB">
      <w:rPr>
        <w:sz w:val="20"/>
        <w:szCs w:val="20"/>
      </w:rPr>
      <w:t>Vydání 1.</w:t>
    </w:r>
    <w:r>
      <w:rPr>
        <w:sz w:val="20"/>
        <w:szCs w:val="20"/>
      </w:rPr>
      <w:t>1</w:t>
    </w:r>
    <w:r w:rsidRPr="003238BB">
      <w:rPr>
        <w:sz w:val="20"/>
        <w:szCs w:val="20"/>
      </w:rPr>
      <w:tab/>
    </w:r>
    <w:r w:rsidRPr="003238BB">
      <w:rPr>
        <w:sz w:val="20"/>
        <w:szCs w:val="20"/>
      </w:rPr>
      <w:tab/>
      <w:t>Specifická pravidla</w:t>
    </w:r>
    <w:r>
      <w:rPr>
        <w:sz w:val="20"/>
        <w:szCs w:val="20"/>
      </w:rPr>
      <w:t xml:space="preserve"> </w:t>
    </w:r>
    <w:r w:rsidRPr="003238BB">
      <w:rPr>
        <w:sz w:val="20"/>
        <w:szCs w:val="20"/>
      </w:rPr>
      <w:t>pro žadatele a příjemce</w:t>
    </w:r>
  </w:p>
  <w:p w:rsidR="00F20CF4" w:rsidRPr="003238BB" w:rsidRDefault="00F20CF4">
    <w:pPr>
      <w:pStyle w:val="Zpat"/>
      <w:rPr>
        <w:sz w:val="20"/>
        <w:szCs w:val="20"/>
      </w:rPr>
    </w:pPr>
    <w:r w:rsidRPr="003238BB">
      <w:rPr>
        <w:sz w:val="20"/>
        <w:szCs w:val="20"/>
      </w:rPr>
      <w:t>Platnost od</w:t>
    </w:r>
    <w:r>
      <w:rPr>
        <w:sz w:val="20"/>
        <w:szCs w:val="20"/>
      </w:rPr>
      <w:t xml:space="preserve"> 26. 2. 2016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CF4" w:rsidRDefault="00F20CF4" w:rsidP="00134399">
      <w:pPr>
        <w:spacing w:after="0"/>
      </w:pPr>
      <w:r>
        <w:separator/>
      </w:r>
    </w:p>
  </w:footnote>
  <w:footnote w:type="continuationSeparator" w:id="0">
    <w:p w:rsidR="00F20CF4" w:rsidRDefault="00F20CF4" w:rsidP="001343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834405"/>
      <w:docPartObj>
        <w:docPartGallery w:val="Page Numbers (Top of Page)"/>
        <w:docPartUnique/>
      </w:docPartObj>
    </w:sdtPr>
    <w:sdtEndPr/>
    <w:sdtContent>
      <w:p w:rsidR="00F20CF4" w:rsidRDefault="00F20CF4">
        <w:pPr>
          <w:pStyle w:val="Zhlav"/>
          <w:jc w:val="right"/>
        </w:pPr>
        <w:r>
          <w:fldChar w:fldCharType="begin"/>
        </w:r>
        <w:r>
          <w:instrText>PAGE   \* MERGEFORMAT</w:instrText>
        </w:r>
        <w:r>
          <w:fldChar w:fldCharType="separate"/>
        </w:r>
        <w:r w:rsidR="00150503">
          <w:rPr>
            <w:noProof/>
          </w:rPr>
          <w:t>2</w:t>
        </w:r>
        <w:r>
          <w:fldChar w:fldCharType="end"/>
        </w:r>
      </w:p>
    </w:sdtContent>
  </w:sdt>
  <w:p w:rsidR="00F20CF4" w:rsidRDefault="00F20CF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F4" w:rsidRDefault="00F20CF4" w:rsidP="001E4D5D">
    <w:pPr>
      <w:pStyle w:val="Zhlav"/>
      <w:jc w:val="center"/>
    </w:pPr>
    <w:r>
      <w:rPr>
        <w:noProof/>
        <w:lang w:eastAsia="cs-CZ"/>
      </w:rPr>
      <w:drawing>
        <wp:inline distT="0" distB="0" distL="0" distR="0" wp14:anchorId="471C65ED" wp14:editId="277EFF81">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914"/>
    <w:multiLevelType w:val="multilevel"/>
    <w:tmpl w:val="AA5623F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F01B6A"/>
    <w:multiLevelType w:val="hybridMultilevel"/>
    <w:tmpl w:val="CF0A2E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0FA32D5"/>
    <w:multiLevelType w:val="multilevel"/>
    <w:tmpl w:val="BCFED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4165FAD"/>
    <w:multiLevelType w:val="hybridMultilevel"/>
    <w:tmpl w:val="12D253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41B26AD"/>
    <w:multiLevelType w:val="hybridMultilevel"/>
    <w:tmpl w:val="2C4603B8"/>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05402212"/>
    <w:multiLevelType w:val="hybridMultilevel"/>
    <w:tmpl w:val="6D2C91C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AF3303D"/>
    <w:multiLevelType w:val="hybridMultilevel"/>
    <w:tmpl w:val="00AE7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C0D7F4C"/>
    <w:multiLevelType w:val="hybridMultilevel"/>
    <w:tmpl w:val="97AE5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C4B449A"/>
    <w:multiLevelType w:val="hybridMultilevel"/>
    <w:tmpl w:val="F1AE3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87421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F0092C"/>
    <w:multiLevelType w:val="hybridMultilevel"/>
    <w:tmpl w:val="3CE8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8E5CF1"/>
    <w:multiLevelType w:val="hybridMultilevel"/>
    <w:tmpl w:val="A69425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7BC4F86"/>
    <w:multiLevelType w:val="hybridMultilevel"/>
    <w:tmpl w:val="155A7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0F0FB1"/>
    <w:multiLevelType w:val="hybridMultilevel"/>
    <w:tmpl w:val="62108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E40AE4"/>
    <w:multiLevelType w:val="hybridMultilevel"/>
    <w:tmpl w:val="705E2ED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5">
    <w:nsid w:val="1D061A68"/>
    <w:multiLevelType w:val="hybridMultilevel"/>
    <w:tmpl w:val="9C7235F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684BEB"/>
    <w:multiLevelType w:val="hybridMultilevel"/>
    <w:tmpl w:val="7154FF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DA50A68"/>
    <w:multiLevelType w:val="multilevel"/>
    <w:tmpl w:val="832497F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080"/>
        </w:tabs>
        <w:ind w:left="1080" w:hanging="360"/>
      </w:pPr>
      <w:rPr>
        <w:rFonts w:ascii="OpenSymbol" w:hAnsi="OpenSymbol" w:cs="OpenSymbol" w:hint="default"/>
        <w:sz w:val="36"/>
        <w:szCs w:val="36"/>
      </w:rPr>
    </w:lvl>
    <w:lvl w:ilvl="2">
      <w:start w:val="1"/>
      <w:numFmt w:val="bullet"/>
      <w:lvlText w:val="▪"/>
      <w:lvlJc w:val="left"/>
      <w:pPr>
        <w:tabs>
          <w:tab w:val="num" w:pos="1440"/>
        </w:tabs>
        <w:ind w:left="1440" w:hanging="360"/>
      </w:pPr>
      <w:rPr>
        <w:rFonts w:ascii="OpenSymbol" w:hAnsi="OpenSymbol" w:cs="OpenSymbol" w:hint="default"/>
        <w:sz w:val="36"/>
        <w:szCs w:val="36"/>
      </w:rPr>
    </w:lvl>
    <w:lvl w:ilvl="3">
      <w:start w:val="1"/>
      <w:numFmt w:val="bullet"/>
      <w:lvlText w:val=""/>
      <w:lvlJc w:val="left"/>
      <w:pPr>
        <w:tabs>
          <w:tab w:val="num" w:pos="1800"/>
        </w:tabs>
        <w:ind w:left="1800" w:hanging="360"/>
      </w:pPr>
      <w:rPr>
        <w:rFonts w:ascii="Symbol" w:hAnsi="Symbol" w:cs="Symbol" w:hint="default"/>
        <w:sz w:val="36"/>
        <w:szCs w:val="36"/>
      </w:rPr>
    </w:lvl>
    <w:lvl w:ilvl="4">
      <w:start w:val="1"/>
      <w:numFmt w:val="bullet"/>
      <w:lvlText w:val="◦"/>
      <w:lvlJc w:val="left"/>
      <w:pPr>
        <w:tabs>
          <w:tab w:val="num" w:pos="2160"/>
        </w:tabs>
        <w:ind w:left="2160" w:hanging="360"/>
      </w:pPr>
      <w:rPr>
        <w:rFonts w:ascii="OpenSymbol" w:hAnsi="OpenSymbol" w:cs="OpenSymbol" w:hint="default"/>
        <w:sz w:val="36"/>
        <w:szCs w:val="36"/>
      </w:rPr>
    </w:lvl>
    <w:lvl w:ilvl="5">
      <w:start w:val="1"/>
      <w:numFmt w:val="bullet"/>
      <w:lvlText w:val="▪"/>
      <w:lvlJc w:val="left"/>
      <w:pPr>
        <w:tabs>
          <w:tab w:val="num" w:pos="2520"/>
        </w:tabs>
        <w:ind w:left="2520" w:hanging="360"/>
      </w:pPr>
      <w:rPr>
        <w:rFonts w:ascii="OpenSymbol" w:hAnsi="OpenSymbol" w:cs="OpenSymbol" w:hint="default"/>
        <w:sz w:val="36"/>
        <w:szCs w:val="36"/>
      </w:rPr>
    </w:lvl>
    <w:lvl w:ilvl="6">
      <w:start w:val="1"/>
      <w:numFmt w:val="bullet"/>
      <w:lvlText w:val=""/>
      <w:lvlJc w:val="left"/>
      <w:pPr>
        <w:tabs>
          <w:tab w:val="num" w:pos="2880"/>
        </w:tabs>
        <w:ind w:left="2880" w:hanging="360"/>
      </w:pPr>
      <w:rPr>
        <w:rFonts w:ascii="Symbol" w:hAnsi="Symbol" w:cs="Symbol" w:hint="default"/>
        <w:sz w:val="36"/>
        <w:szCs w:val="36"/>
      </w:rPr>
    </w:lvl>
    <w:lvl w:ilvl="7">
      <w:start w:val="1"/>
      <w:numFmt w:val="bullet"/>
      <w:lvlText w:val="◦"/>
      <w:lvlJc w:val="left"/>
      <w:pPr>
        <w:tabs>
          <w:tab w:val="num" w:pos="3240"/>
        </w:tabs>
        <w:ind w:left="3240" w:hanging="360"/>
      </w:pPr>
      <w:rPr>
        <w:rFonts w:ascii="OpenSymbol" w:hAnsi="OpenSymbol" w:cs="OpenSymbol" w:hint="default"/>
        <w:sz w:val="36"/>
        <w:szCs w:val="36"/>
      </w:rPr>
    </w:lvl>
    <w:lvl w:ilvl="8">
      <w:start w:val="1"/>
      <w:numFmt w:val="bullet"/>
      <w:lvlText w:val="▪"/>
      <w:lvlJc w:val="left"/>
      <w:pPr>
        <w:tabs>
          <w:tab w:val="num" w:pos="3600"/>
        </w:tabs>
        <w:ind w:left="3600" w:hanging="360"/>
      </w:pPr>
      <w:rPr>
        <w:rFonts w:ascii="OpenSymbol" w:hAnsi="OpenSymbol" w:cs="OpenSymbol" w:hint="default"/>
        <w:sz w:val="36"/>
        <w:szCs w:val="36"/>
      </w:rPr>
    </w:lvl>
  </w:abstractNum>
  <w:abstractNum w:abstractNumId="18">
    <w:nsid w:val="2150246B"/>
    <w:multiLevelType w:val="hybridMultilevel"/>
    <w:tmpl w:val="D092E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2D331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38D7E25"/>
    <w:multiLevelType w:val="hybridMultilevel"/>
    <w:tmpl w:val="265E27D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3BF7C76"/>
    <w:multiLevelType w:val="hybridMultilevel"/>
    <w:tmpl w:val="3632A7EC"/>
    <w:lvl w:ilvl="0" w:tplc="E5FEED58">
      <w:start w:val="1"/>
      <w:numFmt w:val="bullet"/>
      <w:lvlText w:val="-"/>
      <w:lvlJc w:val="left"/>
      <w:pPr>
        <w:ind w:left="420" w:hanging="360"/>
      </w:pPr>
      <w:rPr>
        <w:rFonts w:ascii="Cambria" w:eastAsia="MS Mincho"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4771595"/>
    <w:multiLevelType w:val="hybridMultilevel"/>
    <w:tmpl w:val="592A0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EB3A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7996082"/>
    <w:multiLevelType w:val="hybridMultilevel"/>
    <w:tmpl w:val="4642E6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8B25DE7"/>
    <w:multiLevelType w:val="multilevel"/>
    <w:tmpl w:val="8FDC4EB6"/>
    <w:lvl w:ilvl="0">
      <w:start w:val="2"/>
      <w:numFmt w:val="decimal"/>
      <w:lvlText w:val="%1"/>
      <w:lvlJc w:val="left"/>
      <w:pPr>
        <w:ind w:left="390" w:hanging="390"/>
      </w:pPr>
      <w:rPr>
        <w:rFonts w:hint="default"/>
      </w:rPr>
    </w:lvl>
    <w:lvl w:ilvl="1">
      <w:start w:val="1"/>
      <w:numFmt w:val="decimal"/>
      <w:lvlText w:val="%1.%2"/>
      <w:lvlJc w:val="left"/>
      <w:pPr>
        <w:ind w:left="1425" w:hanging="720"/>
      </w:pPr>
      <w:rPr>
        <w:rFonts w:asciiTheme="majorHAnsi" w:hAnsiTheme="majorHAnsi"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6">
    <w:nsid w:val="2ACF1315"/>
    <w:multiLevelType w:val="hybridMultilevel"/>
    <w:tmpl w:val="773A85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D7B061E"/>
    <w:multiLevelType w:val="hybridMultilevel"/>
    <w:tmpl w:val="ABD21D7E"/>
    <w:lvl w:ilvl="0" w:tplc="F90CD184">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DBE0DEF"/>
    <w:multiLevelType w:val="hybridMultilevel"/>
    <w:tmpl w:val="3424A4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FC131D"/>
    <w:multiLevelType w:val="hybridMultilevel"/>
    <w:tmpl w:val="D58606FE"/>
    <w:lvl w:ilvl="0" w:tplc="7430CC54">
      <w:start w:val="1"/>
      <w:numFmt w:val="decimal"/>
      <w:lvlText w:val="2.%1."/>
      <w:lvlJc w:val="left"/>
      <w:pPr>
        <w:ind w:left="121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30887E16"/>
    <w:multiLevelType w:val="hybridMultilevel"/>
    <w:tmpl w:val="B9FC7C80"/>
    <w:lvl w:ilvl="0" w:tplc="7C5445AC">
      <w:start w:val="1"/>
      <w:numFmt w:val="lowerLetter"/>
      <w:pStyle w:val="Odrkya"/>
      <w:lvlText w:val="%1)"/>
      <w:lvlJc w:val="left"/>
      <w:pPr>
        <w:ind w:left="717" w:hanging="360"/>
      </w:p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1">
    <w:nsid w:val="31F412E7"/>
    <w:multiLevelType w:val="hybridMultilevel"/>
    <w:tmpl w:val="5ED22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4D91769"/>
    <w:multiLevelType w:val="hybridMultilevel"/>
    <w:tmpl w:val="95543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34DB65B0"/>
    <w:multiLevelType w:val="hybridMultilevel"/>
    <w:tmpl w:val="E11209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5455719"/>
    <w:multiLevelType w:val="hybridMultilevel"/>
    <w:tmpl w:val="FEA8F76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nsid w:val="35AA7276"/>
    <w:multiLevelType w:val="hybridMultilevel"/>
    <w:tmpl w:val="E3582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36A9415A"/>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74F7DA5"/>
    <w:multiLevelType w:val="hybridMultilevel"/>
    <w:tmpl w:val="E4B0B5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7585BE1"/>
    <w:multiLevelType w:val="hybridMultilevel"/>
    <w:tmpl w:val="2C12FE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376315F5"/>
    <w:multiLevelType w:val="hybridMultilevel"/>
    <w:tmpl w:val="0A3CE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39007E47"/>
    <w:multiLevelType w:val="hybridMultilevel"/>
    <w:tmpl w:val="676043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39257010"/>
    <w:multiLevelType w:val="hybridMultilevel"/>
    <w:tmpl w:val="159EA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39B176DE"/>
    <w:multiLevelType w:val="hybridMultilevel"/>
    <w:tmpl w:val="0F322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BC70379"/>
    <w:multiLevelType w:val="hybridMultilevel"/>
    <w:tmpl w:val="F4D419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3CB228AA"/>
    <w:multiLevelType w:val="hybridMultilevel"/>
    <w:tmpl w:val="910292D2"/>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3D064132"/>
    <w:multiLevelType w:val="hybridMultilevel"/>
    <w:tmpl w:val="C5389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D47097F"/>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3D620AAF"/>
    <w:multiLevelType w:val="multilevel"/>
    <w:tmpl w:val="308E29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E9E6FB6"/>
    <w:multiLevelType w:val="hybridMultilevel"/>
    <w:tmpl w:val="DFE25F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3F183A67"/>
    <w:multiLevelType w:val="hybridMultilevel"/>
    <w:tmpl w:val="61125E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0B1123E"/>
    <w:multiLevelType w:val="hybridMultilevel"/>
    <w:tmpl w:val="F96E84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41175B94"/>
    <w:multiLevelType w:val="hybridMultilevel"/>
    <w:tmpl w:val="1E54E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42463472"/>
    <w:multiLevelType w:val="hybridMultilevel"/>
    <w:tmpl w:val="2902BDD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45367209"/>
    <w:multiLevelType w:val="hybridMultilevel"/>
    <w:tmpl w:val="0EE272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46A44BAA"/>
    <w:multiLevelType w:val="hybridMultilevel"/>
    <w:tmpl w:val="23A02194"/>
    <w:lvl w:ilvl="0" w:tplc="DDD84F8C">
      <w:numFmt w:val="bullet"/>
      <w:lvlText w:val="-"/>
      <w:lvlJc w:val="left"/>
      <w:pPr>
        <w:ind w:left="720" w:hanging="360"/>
      </w:pPr>
      <w:rPr>
        <w:rFonts w:ascii="Cambria" w:eastAsia="MS Mincho" w:hAnsi="Cambria"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A270995"/>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56">
    <w:nsid w:val="4ACE7ED3"/>
    <w:multiLevelType w:val="hybridMultilevel"/>
    <w:tmpl w:val="68086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C687973"/>
    <w:multiLevelType w:val="hybridMultilevel"/>
    <w:tmpl w:val="82F80CF0"/>
    <w:lvl w:ilvl="0" w:tplc="8750A2CE">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04B0CA2"/>
    <w:multiLevelType w:val="hybridMultilevel"/>
    <w:tmpl w:val="BD108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510A26DF"/>
    <w:multiLevelType w:val="hybridMultilevel"/>
    <w:tmpl w:val="48648C68"/>
    <w:lvl w:ilvl="0" w:tplc="358ECF3A">
      <w:start w:val="1"/>
      <w:numFmt w:val="lowerLetter"/>
      <w:pStyle w:val="odr1"/>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51AE383C"/>
    <w:multiLevelType w:val="hybridMultilevel"/>
    <w:tmpl w:val="0BAAB57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1B0246B"/>
    <w:multiLevelType w:val="multilevel"/>
    <w:tmpl w:val="CC380CB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3300" w:hanging="2160"/>
      </w:pPr>
      <w:rPr>
        <w:rFonts w:hint="default"/>
      </w:rPr>
    </w:lvl>
    <w:lvl w:ilvl="8">
      <w:start w:val="1"/>
      <w:numFmt w:val="decimal"/>
      <w:isLgl/>
      <w:lvlText w:val="%1.%2.%3.%4.%5.%6.%7.%8.%9"/>
      <w:lvlJc w:val="left"/>
      <w:pPr>
        <w:ind w:left="3300" w:hanging="2160"/>
      </w:pPr>
      <w:rPr>
        <w:rFonts w:hint="default"/>
      </w:rPr>
    </w:lvl>
  </w:abstractNum>
  <w:abstractNum w:abstractNumId="62">
    <w:nsid w:val="532448E4"/>
    <w:multiLevelType w:val="multilevel"/>
    <w:tmpl w:val="18A82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3A81A6B"/>
    <w:multiLevelType w:val="hybridMultilevel"/>
    <w:tmpl w:val="3E2C8E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44B0392"/>
    <w:multiLevelType w:val="hybridMultilevel"/>
    <w:tmpl w:val="3370D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58BC74DE"/>
    <w:multiLevelType w:val="hybridMultilevel"/>
    <w:tmpl w:val="77021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5A326ADC"/>
    <w:multiLevelType w:val="hybridMultilevel"/>
    <w:tmpl w:val="9E0CA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5B2B5ACA"/>
    <w:multiLevelType w:val="hybridMultilevel"/>
    <w:tmpl w:val="7E2255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5DDD3E19"/>
    <w:multiLevelType w:val="multilevel"/>
    <w:tmpl w:val="C29A1EB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5F1A285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F7B2A86"/>
    <w:multiLevelType w:val="hybridMultilevel"/>
    <w:tmpl w:val="1CD0E044"/>
    <w:lvl w:ilvl="0" w:tplc="F6DAB22C">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1">
    <w:nsid w:val="60D10D65"/>
    <w:multiLevelType w:val="hybridMultilevel"/>
    <w:tmpl w:val="12407142"/>
    <w:lvl w:ilvl="0" w:tplc="431885BE">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0D75244"/>
    <w:multiLevelType w:val="hybridMultilevel"/>
    <w:tmpl w:val="6CC653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615305DC"/>
    <w:multiLevelType w:val="hybridMultilevel"/>
    <w:tmpl w:val="F9A6FF36"/>
    <w:lvl w:ilvl="0" w:tplc="44247104">
      <w:numFmt w:val="bullet"/>
      <w:lvlText w:val="-"/>
      <w:lvlJc w:val="left"/>
      <w:pPr>
        <w:ind w:left="720" w:hanging="360"/>
      </w:pPr>
      <w:rPr>
        <w:rFonts w:ascii="Cambria" w:eastAsia="MS Mincho" w:hAnsi="Cambria" w:cs="Arial"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618457C3"/>
    <w:multiLevelType w:val="hybridMultilevel"/>
    <w:tmpl w:val="1BCA66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62D26A2D"/>
    <w:multiLevelType w:val="hybridMultilevel"/>
    <w:tmpl w:val="74B6074A"/>
    <w:lvl w:ilvl="0" w:tplc="789EC1E8">
      <w:start w:val="2"/>
      <w:numFmt w:val="bullet"/>
      <w:lvlText w:val="-"/>
      <w:lvlJc w:val="left"/>
      <w:pPr>
        <w:ind w:left="540" w:hanging="360"/>
      </w:pPr>
      <w:rPr>
        <w:rFonts w:ascii="Cambria" w:eastAsia="MS Mincho" w:hAnsi="Cambria" w:cs="Arial" w:hint="default"/>
      </w:rPr>
    </w:lvl>
    <w:lvl w:ilvl="1" w:tplc="04050003" w:tentative="1">
      <w:start w:val="1"/>
      <w:numFmt w:val="bullet"/>
      <w:lvlText w:val="o"/>
      <w:lvlJc w:val="left"/>
      <w:pPr>
        <w:ind w:left="1260" w:hanging="360"/>
      </w:pPr>
      <w:rPr>
        <w:rFonts w:ascii="Courier New" w:hAnsi="Courier New" w:cs="Courier New" w:hint="default"/>
      </w:rPr>
    </w:lvl>
    <w:lvl w:ilvl="2" w:tplc="04050005" w:tentative="1">
      <w:start w:val="1"/>
      <w:numFmt w:val="bullet"/>
      <w:lvlText w:val=""/>
      <w:lvlJc w:val="left"/>
      <w:pPr>
        <w:ind w:left="1980" w:hanging="360"/>
      </w:pPr>
      <w:rPr>
        <w:rFonts w:ascii="Wingdings" w:hAnsi="Wingdings" w:hint="default"/>
      </w:rPr>
    </w:lvl>
    <w:lvl w:ilvl="3" w:tplc="04050001" w:tentative="1">
      <w:start w:val="1"/>
      <w:numFmt w:val="bullet"/>
      <w:lvlText w:val=""/>
      <w:lvlJc w:val="left"/>
      <w:pPr>
        <w:ind w:left="2700" w:hanging="360"/>
      </w:pPr>
      <w:rPr>
        <w:rFonts w:ascii="Symbol" w:hAnsi="Symbol" w:hint="default"/>
      </w:rPr>
    </w:lvl>
    <w:lvl w:ilvl="4" w:tplc="04050003" w:tentative="1">
      <w:start w:val="1"/>
      <w:numFmt w:val="bullet"/>
      <w:lvlText w:val="o"/>
      <w:lvlJc w:val="left"/>
      <w:pPr>
        <w:ind w:left="3420" w:hanging="360"/>
      </w:pPr>
      <w:rPr>
        <w:rFonts w:ascii="Courier New" w:hAnsi="Courier New" w:cs="Courier New" w:hint="default"/>
      </w:rPr>
    </w:lvl>
    <w:lvl w:ilvl="5" w:tplc="04050005" w:tentative="1">
      <w:start w:val="1"/>
      <w:numFmt w:val="bullet"/>
      <w:lvlText w:val=""/>
      <w:lvlJc w:val="left"/>
      <w:pPr>
        <w:ind w:left="4140" w:hanging="360"/>
      </w:pPr>
      <w:rPr>
        <w:rFonts w:ascii="Wingdings" w:hAnsi="Wingdings" w:hint="default"/>
      </w:rPr>
    </w:lvl>
    <w:lvl w:ilvl="6" w:tplc="04050001" w:tentative="1">
      <w:start w:val="1"/>
      <w:numFmt w:val="bullet"/>
      <w:lvlText w:val=""/>
      <w:lvlJc w:val="left"/>
      <w:pPr>
        <w:ind w:left="4860" w:hanging="360"/>
      </w:pPr>
      <w:rPr>
        <w:rFonts w:ascii="Symbol" w:hAnsi="Symbol" w:hint="default"/>
      </w:rPr>
    </w:lvl>
    <w:lvl w:ilvl="7" w:tplc="04050003" w:tentative="1">
      <w:start w:val="1"/>
      <w:numFmt w:val="bullet"/>
      <w:lvlText w:val="o"/>
      <w:lvlJc w:val="left"/>
      <w:pPr>
        <w:ind w:left="5580" w:hanging="360"/>
      </w:pPr>
      <w:rPr>
        <w:rFonts w:ascii="Courier New" w:hAnsi="Courier New" w:cs="Courier New" w:hint="default"/>
      </w:rPr>
    </w:lvl>
    <w:lvl w:ilvl="8" w:tplc="04050005" w:tentative="1">
      <w:start w:val="1"/>
      <w:numFmt w:val="bullet"/>
      <w:lvlText w:val=""/>
      <w:lvlJc w:val="left"/>
      <w:pPr>
        <w:ind w:left="6300" w:hanging="360"/>
      </w:pPr>
      <w:rPr>
        <w:rFonts w:ascii="Wingdings" w:hAnsi="Wingdings" w:hint="default"/>
      </w:rPr>
    </w:lvl>
  </w:abstractNum>
  <w:abstractNum w:abstractNumId="76">
    <w:nsid w:val="62D96838"/>
    <w:multiLevelType w:val="hybridMultilevel"/>
    <w:tmpl w:val="FE049D62"/>
    <w:lvl w:ilvl="0" w:tplc="FEF6D928">
      <w:start w:val="1"/>
      <w:numFmt w:val="decimal"/>
      <w:lvlText w:val="%1."/>
      <w:lvlJc w:val="left"/>
      <w:pPr>
        <w:ind w:left="720" w:hanging="360"/>
      </w:pPr>
      <w:rPr>
        <w:rFonts w:ascii="Cambria" w:hAnsi="Cambria" w:cs="Times New Roman" w:hint="default"/>
        <w:sz w:val="24"/>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7">
    <w:nsid w:val="633F30F1"/>
    <w:multiLevelType w:val="hybridMultilevel"/>
    <w:tmpl w:val="1794D6C0"/>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6365602A"/>
    <w:multiLevelType w:val="hybridMultilevel"/>
    <w:tmpl w:val="E74007C2"/>
    <w:lvl w:ilvl="0" w:tplc="04050017">
      <w:start w:val="1"/>
      <w:numFmt w:val="lowerLetter"/>
      <w:lvlText w:val="%1)"/>
      <w:lvlJc w:val="left"/>
      <w:pPr>
        <w:ind w:left="720" w:hanging="360"/>
      </w:pPr>
      <w:rPr>
        <w:rFonts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63E20FE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7B66E5A"/>
    <w:multiLevelType w:val="hybridMultilevel"/>
    <w:tmpl w:val="8A7EAB7A"/>
    <w:lvl w:ilvl="0" w:tplc="0405000F">
      <w:start w:val="1"/>
      <w:numFmt w:val="decimal"/>
      <w:lvlText w:val="%1."/>
      <w:lvlJc w:val="left"/>
      <w:pPr>
        <w:ind w:left="405" w:hanging="360"/>
      </w:pPr>
      <w:rPr>
        <w:rFonts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81">
    <w:nsid w:val="6A7B4A70"/>
    <w:multiLevelType w:val="hybridMultilevel"/>
    <w:tmpl w:val="E3F6EF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6D1A3C90"/>
    <w:multiLevelType w:val="hybridMultilevel"/>
    <w:tmpl w:val="3EEE8B4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3">
    <w:nsid w:val="6D7B69D9"/>
    <w:multiLevelType w:val="hybridMultilevel"/>
    <w:tmpl w:val="0C847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nsid w:val="70B408BC"/>
    <w:multiLevelType w:val="hybridMultilevel"/>
    <w:tmpl w:val="590CA22A"/>
    <w:lvl w:ilvl="0" w:tplc="BFFCA9E6">
      <w:start w:val="1"/>
      <w:numFmt w:val="decimal"/>
      <w:lvlText w:val="%1."/>
      <w:lvlJc w:val="left"/>
      <w:pPr>
        <w:ind w:left="644" w:hanging="360"/>
      </w:pPr>
      <w:rPr>
        <w:rFonts w:hint="default"/>
        <w:color w:val="auto"/>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nsid w:val="7570198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5AB6B9B"/>
    <w:multiLevelType w:val="hybridMultilevel"/>
    <w:tmpl w:val="32D6A000"/>
    <w:lvl w:ilvl="0" w:tplc="8EF48EE0">
      <w:start w:val="1"/>
      <w:numFmt w:val="decimal"/>
      <w:lvlText w:val="%1."/>
      <w:lvlJc w:val="left"/>
      <w:pPr>
        <w:tabs>
          <w:tab w:val="num" w:pos="720"/>
        </w:tabs>
        <w:ind w:left="720" w:hanging="360"/>
      </w:pPr>
      <w:rPr>
        <w:rFonts w:hint="default"/>
        <w:b/>
      </w:rPr>
    </w:lvl>
    <w:lvl w:ilvl="1" w:tplc="941C96D8">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7B832D6F"/>
    <w:multiLevelType w:val="hybridMultilevel"/>
    <w:tmpl w:val="4C221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nsid w:val="7CEE0E96"/>
    <w:multiLevelType w:val="hybridMultilevel"/>
    <w:tmpl w:val="353E190E"/>
    <w:lvl w:ilvl="0" w:tplc="7102CFF2">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7CFE70CD"/>
    <w:multiLevelType w:val="hybridMultilevel"/>
    <w:tmpl w:val="4B28A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7E69504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FE84C9F"/>
    <w:multiLevelType w:val="hybridMultilevel"/>
    <w:tmpl w:val="81CC0154"/>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59"/>
  </w:num>
  <w:num w:numId="3">
    <w:abstractNumId w:val="39"/>
  </w:num>
  <w:num w:numId="4">
    <w:abstractNumId w:val="44"/>
  </w:num>
  <w:num w:numId="5">
    <w:abstractNumId w:val="24"/>
  </w:num>
  <w:num w:numId="6">
    <w:abstractNumId w:val="35"/>
  </w:num>
  <w:num w:numId="7">
    <w:abstractNumId w:val="87"/>
  </w:num>
  <w:num w:numId="8">
    <w:abstractNumId w:val="55"/>
  </w:num>
  <w:num w:numId="9">
    <w:abstractNumId w:val="4"/>
  </w:num>
  <w:num w:numId="10">
    <w:abstractNumId w:val="80"/>
  </w:num>
  <w:num w:numId="11">
    <w:abstractNumId w:val="60"/>
  </w:num>
  <w:num w:numId="12">
    <w:abstractNumId w:val="26"/>
  </w:num>
  <w:num w:numId="13">
    <w:abstractNumId w:val="32"/>
  </w:num>
  <w:num w:numId="14">
    <w:abstractNumId w:val="84"/>
  </w:num>
  <w:num w:numId="15">
    <w:abstractNumId w:val="9"/>
  </w:num>
  <w:num w:numId="16">
    <w:abstractNumId w:val="62"/>
  </w:num>
  <w:num w:numId="17">
    <w:abstractNumId w:val="45"/>
  </w:num>
  <w:num w:numId="18">
    <w:abstractNumId w:val="21"/>
  </w:num>
  <w:num w:numId="19">
    <w:abstractNumId w:val="43"/>
  </w:num>
  <w:num w:numId="20">
    <w:abstractNumId w:val="54"/>
  </w:num>
  <w:num w:numId="21">
    <w:abstractNumId w:val="47"/>
  </w:num>
  <w:num w:numId="22">
    <w:abstractNumId w:val="41"/>
  </w:num>
  <w:num w:numId="23">
    <w:abstractNumId w:val="16"/>
  </w:num>
  <w:num w:numId="24">
    <w:abstractNumId w:val="34"/>
  </w:num>
  <w:num w:numId="25">
    <w:abstractNumId w:val="52"/>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6"/>
  </w:num>
  <w:num w:numId="42">
    <w:abstractNumId w:val="68"/>
  </w:num>
  <w:num w:numId="43">
    <w:abstractNumId w:val="40"/>
  </w:num>
  <w:num w:numId="44">
    <w:abstractNumId w:val="88"/>
  </w:num>
  <w:num w:numId="45">
    <w:abstractNumId w:val="81"/>
  </w:num>
  <w:num w:numId="46">
    <w:abstractNumId w:val="49"/>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36"/>
  </w:num>
  <w:num w:numId="51">
    <w:abstractNumId w:val="53"/>
  </w:num>
  <w:num w:numId="52">
    <w:abstractNumId w:val="57"/>
  </w:num>
  <w:num w:numId="53">
    <w:abstractNumId w:val="70"/>
  </w:num>
  <w:num w:numId="54">
    <w:abstractNumId w:val="3"/>
  </w:num>
  <w:num w:numId="55">
    <w:abstractNumId w:val="51"/>
  </w:num>
  <w:num w:numId="56">
    <w:abstractNumId w:val="33"/>
  </w:num>
  <w:num w:numId="57">
    <w:abstractNumId w:val="66"/>
  </w:num>
  <w:num w:numId="58">
    <w:abstractNumId w:val="14"/>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8"/>
  </w:num>
  <w:num w:numId="61">
    <w:abstractNumId w:val="85"/>
  </w:num>
  <w:num w:numId="62">
    <w:abstractNumId w:val="79"/>
  </w:num>
  <w:num w:numId="63">
    <w:abstractNumId w:val="25"/>
  </w:num>
  <w:num w:numId="64">
    <w:abstractNumId w:val="6"/>
  </w:num>
  <w:num w:numId="65">
    <w:abstractNumId w:val="22"/>
  </w:num>
  <w:num w:numId="66">
    <w:abstractNumId w:val="5"/>
  </w:num>
  <w:num w:numId="67">
    <w:abstractNumId w:val="37"/>
  </w:num>
  <w:num w:numId="68">
    <w:abstractNumId w:val="20"/>
  </w:num>
  <w:num w:numId="69">
    <w:abstractNumId w:val="63"/>
  </w:num>
  <w:num w:numId="70">
    <w:abstractNumId w:val="56"/>
  </w:num>
  <w:num w:numId="71">
    <w:abstractNumId w:val="72"/>
  </w:num>
  <w:num w:numId="72">
    <w:abstractNumId w:val="7"/>
  </w:num>
  <w:num w:numId="73">
    <w:abstractNumId w:val="42"/>
  </w:num>
  <w:num w:numId="74">
    <w:abstractNumId w:val="50"/>
  </w:num>
  <w:num w:numId="75">
    <w:abstractNumId w:val="48"/>
  </w:num>
  <w:num w:numId="76">
    <w:abstractNumId w:val="67"/>
  </w:num>
  <w:num w:numId="77">
    <w:abstractNumId w:val="64"/>
  </w:num>
  <w:num w:numId="78">
    <w:abstractNumId w:val="73"/>
  </w:num>
  <w:num w:numId="79">
    <w:abstractNumId w:val="15"/>
  </w:num>
  <w:num w:numId="80">
    <w:abstractNumId w:val="71"/>
  </w:num>
  <w:num w:numId="81">
    <w:abstractNumId w:val="78"/>
  </w:num>
  <w:num w:numId="82">
    <w:abstractNumId w:val="77"/>
  </w:num>
  <w:num w:numId="83">
    <w:abstractNumId w:val="27"/>
  </w:num>
  <w:num w:numId="84">
    <w:abstractNumId w:val="1"/>
  </w:num>
  <w:num w:numId="85">
    <w:abstractNumId w:val="11"/>
  </w:num>
  <w:num w:numId="86">
    <w:abstractNumId w:val="74"/>
  </w:num>
  <w:num w:numId="87">
    <w:abstractNumId w:val="58"/>
  </w:num>
  <w:num w:numId="88">
    <w:abstractNumId w:val="12"/>
  </w:num>
  <w:num w:numId="89">
    <w:abstractNumId w:val="91"/>
  </w:num>
  <w:num w:numId="90">
    <w:abstractNumId w:val="10"/>
  </w:num>
  <w:num w:numId="91">
    <w:abstractNumId w:val="31"/>
  </w:num>
  <w:num w:numId="92">
    <w:abstractNumId w:val="83"/>
  </w:num>
  <w:num w:numId="93">
    <w:abstractNumId w:val="13"/>
  </w:num>
  <w:num w:numId="94">
    <w:abstractNumId w:val="65"/>
  </w:num>
  <w:num w:numId="95">
    <w:abstractNumId w:val="8"/>
  </w:num>
  <w:num w:numId="96">
    <w:abstractNumId w:val="29"/>
  </w:num>
  <w:num w:numId="97">
    <w:abstractNumId w:val="46"/>
  </w:num>
  <w:num w:numId="98">
    <w:abstractNumId w:val="19"/>
  </w:num>
  <w:num w:numId="99">
    <w:abstractNumId w:val="90"/>
  </w:num>
  <w:num w:numId="100">
    <w:abstractNumId w:val="23"/>
  </w:num>
  <w:num w:numId="101">
    <w:abstractNumId w:val="61"/>
  </w:num>
  <w:num w:numId="102">
    <w:abstractNumId w:val="0"/>
  </w:num>
  <w:num w:numId="103">
    <w:abstractNumId w:val="18"/>
  </w:num>
  <w:num w:numId="104">
    <w:abstractNumId w:val="89"/>
  </w:num>
  <w:num w:numId="105">
    <w:abstractNumId w:val="82"/>
  </w:num>
  <w:num w:numId="106">
    <w:abstractNumId w:val="75"/>
  </w:num>
  <w:num w:numId="107">
    <w:abstractNumId w:val="1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F3E"/>
    <w:rsid w:val="000071E3"/>
    <w:rsid w:val="000077CB"/>
    <w:rsid w:val="00007DBB"/>
    <w:rsid w:val="00010313"/>
    <w:rsid w:val="000110F2"/>
    <w:rsid w:val="00014179"/>
    <w:rsid w:val="000148B1"/>
    <w:rsid w:val="00014E24"/>
    <w:rsid w:val="00016385"/>
    <w:rsid w:val="00017586"/>
    <w:rsid w:val="0002064C"/>
    <w:rsid w:val="00020CD7"/>
    <w:rsid w:val="00031126"/>
    <w:rsid w:val="00032B62"/>
    <w:rsid w:val="000334AF"/>
    <w:rsid w:val="00034044"/>
    <w:rsid w:val="0003489C"/>
    <w:rsid w:val="00034C11"/>
    <w:rsid w:val="00036F38"/>
    <w:rsid w:val="00040AEF"/>
    <w:rsid w:val="00041A8A"/>
    <w:rsid w:val="00042DF4"/>
    <w:rsid w:val="00042F54"/>
    <w:rsid w:val="000479C7"/>
    <w:rsid w:val="0005239A"/>
    <w:rsid w:val="00055AE2"/>
    <w:rsid w:val="00056CD2"/>
    <w:rsid w:val="00057876"/>
    <w:rsid w:val="00060830"/>
    <w:rsid w:val="000616B8"/>
    <w:rsid w:val="00062694"/>
    <w:rsid w:val="00063007"/>
    <w:rsid w:val="0006351C"/>
    <w:rsid w:val="00063C55"/>
    <w:rsid w:val="0006461B"/>
    <w:rsid w:val="000646BA"/>
    <w:rsid w:val="00064DC5"/>
    <w:rsid w:val="000727D3"/>
    <w:rsid w:val="000728ED"/>
    <w:rsid w:val="00072FBA"/>
    <w:rsid w:val="00073D90"/>
    <w:rsid w:val="0008227D"/>
    <w:rsid w:val="00082631"/>
    <w:rsid w:val="000865EB"/>
    <w:rsid w:val="00087A5C"/>
    <w:rsid w:val="000904FF"/>
    <w:rsid w:val="00091990"/>
    <w:rsid w:val="0009246E"/>
    <w:rsid w:val="0009276E"/>
    <w:rsid w:val="000933C5"/>
    <w:rsid w:val="00094465"/>
    <w:rsid w:val="00094EB3"/>
    <w:rsid w:val="0009633E"/>
    <w:rsid w:val="000A53B1"/>
    <w:rsid w:val="000A6849"/>
    <w:rsid w:val="000A797F"/>
    <w:rsid w:val="000B4C27"/>
    <w:rsid w:val="000B4EEB"/>
    <w:rsid w:val="000B7C40"/>
    <w:rsid w:val="000C0155"/>
    <w:rsid w:val="000C052C"/>
    <w:rsid w:val="000C0E5C"/>
    <w:rsid w:val="000C169F"/>
    <w:rsid w:val="000C265E"/>
    <w:rsid w:val="000C2C80"/>
    <w:rsid w:val="000C438A"/>
    <w:rsid w:val="000C482D"/>
    <w:rsid w:val="000C628F"/>
    <w:rsid w:val="000C785D"/>
    <w:rsid w:val="000D41BA"/>
    <w:rsid w:val="000D589E"/>
    <w:rsid w:val="000D6D44"/>
    <w:rsid w:val="000D7061"/>
    <w:rsid w:val="000D7BBC"/>
    <w:rsid w:val="000D7E66"/>
    <w:rsid w:val="000E3394"/>
    <w:rsid w:val="000E372B"/>
    <w:rsid w:val="000E39A7"/>
    <w:rsid w:val="000E5043"/>
    <w:rsid w:val="000E68CC"/>
    <w:rsid w:val="000F20D7"/>
    <w:rsid w:val="000F2DCA"/>
    <w:rsid w:val="000F3566"/>
    <w:rsid w:val="000F3590"/>
    <w:rsid w:val="00104095"/>
    <w:rsid w:val="00107400"/>
    <w:rsid w:val="0010778C"/>
    <w:rsid w:val="00110560"/>
    <w:rsid w:val="00111EE2"/>
    <w:rsid w:val="00112EE9"/>
    <w:rsid w:val="00115FA3"/>
    <w:rsid w:val="001160B1"/>
    <w:rsid w:val="00116446"/>
    <w:rsid w:val="00116A29"/>
    <w:rsid w:val="0011738E"/>
    <w:rsid w:val="00120A29"/>
    <w:rsid w:val="00125109"/>
    <w:rsid w:val="00134399"/>
    <w:rsid w:val="0013775C"/>
    <w:rsid w:val="001407F6"/>
    <w:rsid w:val="0014099D"/>
    <w:rsid w:val="00141DE6"/>
    <w:rsid w:val="00141F2D"/>
    <w:rsid w:val="00142372"/>
    <w:rsid w:val="0014369C"/>
    <w:rsid w:val="00143B89"/>
    <w:rsid w:val="00145AF3"/>
    <w:rsid w:val="00146519"/>
    <w:rsid w:val="0014750C"/>
    <w:rsid w:val="00147BFC"/>
    <w:rsid w:val="00150503"/>
    <w:rsid w:val="00154BA7"/>
    <w:rsid w:val="001554C0"/>
    <w:rsid w:val="001574CD"/>
    <w:rsid w:val="00161ED8"/>
    <w:rsid w:val="001622C7"/>
    <w:rsid w:val="00164F02"/>
    <w:rsid w:val="00165536"/>
    <w:rsid w:val="00166424"/>
    <w:rsid w:val="00166EF6"/>
    <w:rsid w:val="00170FD1"/>
    <w:rsid w:val="001719A9"/>
    <w:rsid w:val="00174B23"/>
    <w:rsid w:val="001778D0"/>
    <w:rsid w:val="00180165"/>
    <w:rsid w:val="001802BB"/>
    <w:rsid w:val="00180D05"/>
    <w:rsid w:val="001824B4"/>
    <w:rsid w:val="001840F6"/>
    <w:rsid w:val="00184A64"/>
    <w:rsid w:val="0018673B"/>
    <w:rsid w:val="00186A45"/>
    <w:rsid w:val="001873E5"/>
    <w:rsid w:val="00191EC3"/>
    <w:rsid w:val="001927E6"/>
    <w:rsid w:val="00192D3B"/>
    <w:rsid w:val="001937B8"/>
    <w:rsid w:val="0019384A"/>
    <w:rsid w:val="00193B5C"/>
    <w:rsid w:val="0019639B"/>
    <w:rsid w:val="001A15F0"/>
    <w:rsid w:val="001A3395"/>
    <w:rsid w:val="001A4385"/>
    <w:rsid w:val="001A444E"/>
    <w:rsid w:val="001A4540"/>
    <w:rsid w:val="001B0BB1"/>
    <w:rsid w:val="001B2C19"/>
    <w:rsid w:val="001B2E4F"/>
    <w:rsid w:val="001B7495"/>
    <w:rsid w:val="001C4F95"/>
    <w:rsid w:val="001D2A8D"/>
    <w:rsid w:val="001D30D2"/>
    <w:rsid w:val="001D6910"/>
    <w:rsid w:val="001D70A7"/>
    <w:rsid w:val="001D7931"/>
    <w:rsid w:val="001E0DA9"/>
    <w:rsid w:val="001E0E2F"/>
    <w:rsid w:val="001E3195"/>
    <w:rsid w:val="001E45E5"/>
    <w:rsid w:val="001E4D5D"/>
    <w:rsid w:val="001E562D"/>
    <w:rsid w:val="001E5B7D"/>
    <w:rsid w:val="001E73E3"/>
    <w:rsid w:val="001E7CDF"/>
    <w:rsid w:val="001F2BA3"/>
    <w:rsid w:val="002010D2"/>
    <w:rsid w:val="0020123B"/>
    <w:rsid w:val="00201E3E"/>
    <w:rsid w:val="00202008"/>
    <w:rsid w:val="002042C0"/>
    <w:rsid w:val="00204CF6"/>
    <w:rsid w:val="0020777B"/>
    <w:rsid w:val="00207E0D"/>
    <w:rsid w:val="00207ED8"/>
    <w:rsid w:val="00210C4F"/>
    <w:rsid w:val="00211833"/>
    <w:rsid w:val="0021225F"/>
    <w:rsid w:val="00212E78"/>
    <w:rsid w:val="00220095"/>
    <w:rsid w:val="002216AD"/>
    <w:rsid w:val="00222517"/>
    <w:rsid w:val="00224FE7"/>
    <w:rsid w:val="00225ADC"/>
    <w:rsid w:val="002307E8"/>
    <w:rsid w:val="0023101F"/>
    <w:rsid w:val="00231643"/>
    <w:rsid w:val="00232D10"/>
    <w:rsid w:val="00237C3B"/>
    <w:rsid w:val="002404F1"/>
    <w:rsid w:val="00240D57"/>
    <w:rsid w:val="00242CA0"/>
    <w:rsid w:val="00242D74"/>
    <w:rsid w:val="00244031"/>
    <w:rsid w:val="00246D95"/>
    <w:rsid w:val="0025071C"/>
    <w:rsid w:val="002531F3"/>
    <w:rsid w:val="00254D86"/>
    <w:rsid w:val="002569F0"/>
    <w:rsid w:val="00256B35"/>
    <w:rsid w:val="00257F6C"/>
    <w:rsid w:val="00260BDB"/>
    <w:rsid w:val="00261222"/>
    <w:rsid w:val="00262930"/>
    <w:rsid w:val="00263417"/>
    <w:rsid w:val="002634D6"/>
    <w:rsid w:val="002635AE"/>
    <w:rsid w:val="00264EA5"/>
    <w:rsid w:val="002654F4"/>
    <w:rsid w:val="002715A5"/>
    <w:rsid w:val="0027687D"/>
    <w:rsid w:val="00280A3E"/>
    <w:rsid w:val="00280CD9"/>
    <w:rsid w:val="00281409"/>
    <w:rsid w:val="00284114"/>
    <w:rsid w:val="00285958"/>
    <w:rsid w:val="00286D68"/>
    <w:rsid w:val="00286E2C"/>
    <w:rsid w:val="00286EF3"/>
    <w:rsid w:val="0029039E"/>
    <w:rsid w:val="00291186"/>
    <w:rsid w:val="0029463B"/>
    <w:rsid w:val="002951FB"/>
    <w:rsid w:val="002954D5"/>
    <w:rsid w:val="00296843"/>
    <w:rsid w:val="002A2993"/>
    <w:rsid w:val="002A3421"/>
    <w:rsid w:val="002A416F"/>
    <w:rsid w:val="002A46FA"/>
    <w:rsid w:val="002A4E40"/>
    <w:rsid w:val="002A4EB4"/>
    <w:rsid w:val="002A74C0"/>
    <w:rsid w:val="002B208F"/>
    <w:rsid w:val="002B2DA8"/>
    <w:rsid w:val="002B5F01"/>
    <w:rsid w:val="002B779B"/>
    <w:rsid w:val="002C04FF"/>
    <w:rsid w:val="002C1216"/>
    <w:rsid w:val="002C2460"/>
    <w:rsid w:val="002C2EBC"/>
    <w:rsid w:val="002C5DF7"/>
    <w:rsid w:val="002C5ED6"/>
    <w:rsid w:val="002D0362"/>
    <w:rsid w:val="002D0A87"/>
    <w:rsid w:val="002D0A90"/>
    <w:rsid w:val="002D1FC8"/>
    <w:rsid w:val="002D2F48"/>
    <w:rsid w:val="002D40D6"/>
    <w:rsid w:val="002D5092"/>
    <w:rsid w:val="002E0F5B"/>
    <w:rsid w:val="002E1DF2"/>
    <w:rsid w:val="002E5322"/>
    <w:rsid w:val="002E7A53"/>
    <w:rsid w:val="002F11FC"/>
    <w:rsid w:val="002F12B6"/>
    <w:rsid w:val="002F17B0"/>
    <w:rsid w:val="002F2540"/>
    <w:rsid w:val="002F2B6F"/>
    <w:rsid w:val="002F58A6"/>
    <w:rsid w:val="002F6645"/>
    <w:rsid w:val="002F7840"/>
    <w:rsid w:val="003031DD"/>
    <w:rsid w:val="00304B26"/>
    <w:rsid w:val="0031150E"/>
    <w:rsid w:val="00311965"/>
    <w:rsid w:val="00313555"/>
    <w:rsid w:val="00314BF2"/>
    <w:rsid w:val="003163FF"/>
    <w:rsid w:val="00316492"/>
    <w:rsid w:val="00321178"/>
    <w:rsid w:val="003238BB"/>
    <w:rsid w:val="00327BB5"/>
    <w:rsid w:val="00332178"/>
    <w:rsid w:val="00333F5B"/>
    <w:rsid w:val="00334E01"/>
    <w:rsid w:val="00334FA9"/>
    <w:rsid w:val="00335341"/>
    <w:rsid w:val="00335D99"/>
    <w:rsid w:val="00337023"/>
    <w:rsid w:val="00342CD1"/>
    <w:rsid w:val="00343431"/>
    <w:rsid w:val="003444CE"/>
    <w:rsid w:val="003449FD"/>
    <w:rsid w:val="0034508F"/>
    <w:rsid w:val="0034643F"/>
    <w:rsid w:val="00352524"/>
    <w:rsid w:val="0035464F"/>
    <w:rsid w:val="003565D9"/>
    <w:rsid w:val="0035795E"/>
    <w:rsid w:val="0036171D"/>
    <w:rsid w:val="00363821"/>
    <w:rsid w:val="00363F00"/>
    <w:rsid w:val="0036665E"/>
    <w:rsid w:val="00366A0F"/>
    <w:rsid w:val="0037057D"/>
    <w:rsid w:val="00372735"/>
    <w:rsid w:val="0037345D"/>
    <w:rsid w:val="00373EC3"/>
    <w:rsid w:val="00374529"/>
    <w:rsid w:val="00375691"/>
    <w:rsid w:val="00375CDD"/>
    <w:rsid w:val="003827DE"/>
    <w:rsid w:val="00383046"/>
    <w:rsid w:val="00386976"/>
    <w:rsid w:val="00386EDC"/>
    <w:rsid w:val="00386F0C"/>
    <w:rsid w:val="00391453"/>
    <w:rsid w:val="00392328"/>
    <w:rsid w:val="0039423C"/>
    <w:rsid w:val="0039487A"/>
    <w:rsid w:val="00396656"/>
    <w:rsid w:val="00396B4E"/>
    <w:rsid w:val="00397285"/>
    <w:rsid w:val="003972E3"/>
    <w:rsid w:val="003A1DE0"/>
    <w:rsid w:val="003A32F6"/>
    <w:rsid w:val="003A421F"/>
    <w:rsid w:val="003A79FB"/>
    <w:rsid w:val="003A7B5C"/>
    <w:rsid w:val="003B014C"/>
    <w:rsid w:val="003B33B8"/>
    <w:rsid w:val="003B3565"/>
    <w:rsid w:val="003B403A"/>
    <w:rsid w:val="003B42BD"/>
    <w:rsid w:val="003B78CC"/>
    <w:rsid w:val="003C0370"/>
    <w:rsid w:val="003C1261"/>
    <w:rsid w:val="003C5DC4"/>
    <w:rsid w:val="003C6E16"/>
    <w:rsid w:val="003E2D3E"/>
    <w:rsid w:val="003E2F99"/>
    <w:rsid w:val="003E71E0"/>
    <w:rsid w:val="003F1785"/>
    <w:rsid w:val="003F1E9C"/>
    <w:rsid w:val="003F3315"/>
    <w:rsid w:val="003F3E07"/>
    <w:rsid w:val="003F47A5"/>
    <w:rsid w:val="003F4861"/>
    <w:rsid w:val="003F5C2B"/>
    <w:rsid w:val="00400E9B"/>
    <w:rsid w:val="004026EF"/>
    <w:rsid w:val="00403F21"/>
    <w:rsid w:val="004076F3"/>
    <w:rsid w:val="00410C75"/>
    <w:rsid w:val="00414A86"/>
    <w:rsid w:val="00414F67"/>
    <w:rsid w:val="0041785E"/>
    <w:rsid w:val="00420503"/>
    <w:rsid w:val="00426E2B"/>
    <w:rsid w:val="00427E00"/>
    <w:rsid w:val="00431946"/>
    <w:rsid w:val="0043394E"/>
    <w:rsid w:val="004352D7"/>
    <w:rsid w:val="0043542C"/>
    <w:rsid w:val="00440A86"/>
    <w:rsid w:val="00440CC7"/>
    <w:rsid w:val="00441C70"/>
    <w:rsid w:val="00441D68"/>
    <w:rsid w:val="00441DC0"/>
    <w:rsid w:val="00443E6A"/>
    <w:rsid w:val="00444092"/>
    <w:rsid w:val="0044543B"/>
    <w:rsid w:val="00446E69"/>
    <w:rsid w:val="00446FB0"/>
    <w:rsid w:val="004533BA"/>
    <w:rsid w:val="00453450"/>
    <w:rsid w:val="00454652"/>
    <w:rsid w:val="00456332"/>
    <w:rsid w:val="00457188"/>
    <w:rsid w:val="004625B9"/>
    <w:rsid w:val="00462D72"/>
    <w:rsid w:val="00467EC9"/>
    <w:rsid w:val="004719A3"/>
    <w:rsid w:val="00474614"/>
    <w:rsid w:val="00474669"/>
    <w:rsid w:val="00480113"/>
    <w:rsid w:val="004809D6"/>
    <w:rsid w:val="00480B27"/>
    <w:rsid w:val="004818AA"/>
    <w:rsid w:val="00482432"/>
    <w:rsid w:val="00483B1A"/>
    <w:rsid w:val="004856CA"/>
    <w:rsid w:val="00487CB1"/>
    <w:rsid w:val="0049083D"/>
    <w:rsid w:val="00493379"/>
    <w:rsid w:val="00494672"/>
    <w:rsid w:val="00495E3B"/>
    <w:rsid w:val="00496036"/>
    <w:rsid w:val="004A26C0"/>
    <w:rsid w:val="004A3D19"/>
    <w:rsid w:val="004A4CC7"/>
    <w:rsid w:val="004A5734"/>
    <w:rsid w:val="004A5C13"/>
    <w:rsid w:val="004A6BA6"/>
    <w:rsid w:val="004B0BEA"/>
    <w:rsid w:val="004B3615"/>
    <w:rsid w:val="004B3EC0"/>
    <w:rsid w:val="004B3F1A"/>
    <w:rsid w:val="004B4100"/>
    <w:rsid w:val="004B7F56"/>
    <w:rsid w:val="004C1A60"/>
    <w:rsid w:val="004C267C"/>
    <w:rsid w:val="004C2687"/>
    <w:rsid w:val="004C3524"/>
    <w:rsid w:val="004C3771"/>
    <w:rsid w:val="004C4B82"/>
    <w:rsid w:val="004C4C6B"/>
    <w:rsid w:val="004C4CF4"/>
    <w:rsid w:val="004C5942"/>
    <w:rsid w:val="004C6496"/>
    <w:rsid w:val="004D0F58"/>
    <w:rsid w:val="004D2B15"/>
    <w:rsid w:val="004D32ED"/>
    <w:rsid w:val="004D3AA8"/>
    <w:rsid w:val="004D501B"/>
    <w:rsid w:val="004D67B6"/>
    <w:rsid w:val="004D7608"/>
    <w:rsid w:val="004E59D5"/>
    <w:rsid w:val="004F2DB9"/>
    <w:rsid w:val="004F336F"/>
    <w:rsid w:val="004F5F87"/>
    <w:rsid w:val="004F60CB"/>
    <w:rsid w:val="004F6BC0"/>
    <w:rsid w:val="004F6DE2"/>
    <w:rsid w:val="004F6FE0"/>
    <w:rsid w:val="0050029E"/>
    <w:rsid w:val="00501E67"/>
    <w:rsid w:val="0050232D"/>
    <w:rsid w:val="00503044"/>
    <w:rsid w:val="0050419D"/>
    <w:rsid w:val="00505759"/>
    <w:rsid w:val="005070BB"/>
    <w:rsid w:val="00510ACE"/>
    <w:rsid w:val="00513286"/>
    <w:rsid w:val="005145A0"/>
    <w:rsid w:val="00517D93"/>
    <w:rsid w:val="00524ADB"/>
    <w:rsid w:val="00524B15"/>
    <w:rsid w:val="00525195"/>
    <w:rsid w:val="00527898"/>
    <w:rsid w:val="00530A44"/>
    <w:rsid w:val="00531C24"/>
    <w:rsid w:val="005331E7"/>
    <w:rsid w:val="00534898"/>
    <w:rsid w:val="00537B8C"/>
    <w:rsid w:val="00541129"/>
    <w:rsid w:val="00542169"/>
    <w:rsid w:val="005441DF"/>
    <w:rsid w:val="00545602"/>
    <w:rsid w:val="00545D08"/>
    <w:rsid w:val="00547EFC"/>
    <w:rsid w:val="00551647"/>
    <w:rsid w:val="00553467"/>
    <w:rsid w:val="00553A85"/>
    <w:rsid w:val="0055585E"/>
    <w:rsid w:val="00557269"/>
    <w:rsid w:val="00557311"/>
    <w:rsid w:val="00560867"/>
    <w:rsid w:val="0056091C"/>
    <w:rsid w:val="00560955"/>
    <w:rsid w:val="005612CB"/>
    <w:rsid w:val="0056243F"/>
    <w:rsid w:val="00565C66"/>
    <w:rsid w:val="00571820"/>
    <w:rsid w:val="00571F8F"/>
    <w:rsid w:val="0057268B"/>
    <w:rsid w:val="0057465C"/>
    <w:rsid w:val="00575350"/>
    <w:rsid w:val="00575BF1"/>
    <w:rsid w:val="0057605D"/>
    <w:rsid w:val="00576967"/>
    <w:rsid w:val="0058037F"/>
    <w:rsid w:val="00581D89"/>
    <w:rsid w:val="005829C3"/>
    <w:rsid w:val="005839B6"/>
    <w:rsid w:val="00583DF6"/>
    <w:rsid w:val="00583E25"/>
    <w:rsid w:val="00586D9E"/>
    <w:rsid w:val="00587AE1"/>
    <w:rsid w:val="00591730"/>
    <w:rsid w:val="00592940"/>
    <w:rsid w:val="00592AC7"/>
    <w:rsid w:val="00592E2A"/>
    <w:rsid w:val="005A2E2C"/>
    <w:rsid w:val="005A53BB"/>
    <w:rsid w:val="005A5BC1"/>
    <w:rsid w:val="005A5C23"/>
    <w:rsid w:val="005A5D7E"/>
    <w:rsid w:val="005B7116"/>
    <w:rsid w:val="005C25F8"/>
    <w:rsid w:val="005C2A2C"/>
    <w:rsid w:val="005C6320"/>
    <w:rsid w:val="005C71C5"/>
    <w:rsid w:val="005D156D"/>
    <w:rsid w:val="005D19D0"/>
    <w:rsid w:val="005D1CC0"/>
    <w:rsid w:val="005D2199"/>
    <w:rsid w:val="005D22BB"/>
    <w:rsid w:val="005D35E5"/>
    <w:rsid w:val="005D4361"/>
    <w:rsid w:val="005D595D"/>
    <w:rsid w:val="005E3538"/>
    <w:rsid w:val="005E5B26"/>
    <w:rsid w:val="005E6A00"/>
    <w:rsid w:val="005E70DA"/>
    <w:rsid w:val="005E72FF"/>
    <w:rsid w:val="005F0E65"/>
    <w:rsid w:val="005F0FD5"/>
    <w:rsid w:val="005F18D8"/>
    <w:rsid w:val="005F1DA9"/>
    <w:rsid w:val="005F2094"/>
    <w:rsid w:val="005F2A78"/>
    <w:rsid w:val="005F3F93"/>
    <w:rsid w:val="005F6FD7"/>
    <w:rsid w:val="005F77CE"/>
    <w:rsid w:val="005F7E79"/>
    <w:rsid w:val="006008BF"/>
    <w:rsid w:val="00602CF6"/>
    <w:rsid w:val="00606132"/>
    <w:rsid w:val="0060707D"/>
    <w:rsid w:val="00607586"/>
    <w:rsid w:val="00610281"/>
    <w:rsid w:val="00610BF3"/>
    <w:rsid w:val="0061322A"/>
    <w:rsid w:val="00615966"/>
    <w:rsid w:val="00616FFE"/>
    <w:rsid w:val="00617D1E"/>
    <w:rsid w:val="00620BEE"/>
    <w:rsid w:val="006215E1"/>
    <w:rsid w:val="00622CCE"/>
    <w:rsid w:val="00623C45"/>
    <w:rsid w:val="0062402B"/>
    <w:rsid w:val="006245B2"/>
    <w:rsid w:val="006250C4"/>
    <w:rsid w:val="00626B9C"/>
    <w:rsid w:val="006304F5"/>
    <w:rsid w:val="00636453"/>
    <w:rsid w:val="006411A3"/>
    <w:rsid w:val="00641270"/>
    <w:rsid w:val="00641D92"/>
    <w:rsid w:val="0064313F"/>
    <w:rsid w:val="0064622F"/>
    <w:rsid w:val="00646C61"/>
    <w:rsid w:val="0065301A"/>
    <w:rsid w:val="006531B4"/>
    <w:rsid w:val="00656533"/>
    <w:rsid w:val="00657B1B"/>
    <w:rsid w:val="00657E0C"/>
    <w:rsid w:val="00663104"/>
    <w:rsid w:val="00664985"/>
    <w:rsid w:val="006700B8"/>
    <w:rsid w:val="00670864"/>
    <w:rsid w:val="00671A57"/>
    <w:rsid w:val="00671DD8"/>
    <w:rsid w:val="00671F54"/>
    <w:rsid w:val="006723FB"/>
    <w:rsid w:val="00674B31"/>
    <w:rsid w:val="006765BD"/>
    <w:rsid w:val="006765FC"/>
    <w:rsid w:val="0068007F"/>
    <w:rsid w:val="006802E0"/>
    <w:rsid w:val="00681123"/>
    <w:rsid w:val="00681760"/>
    <w:rsid w:val="0068255B"/>
    <w:rsid w:val="00684AAE"/>
    <w:rsid w:val="006850AA"/>
    <w:rsid w:val="00687607"/>
    <w:rsid w:val="00692701"/>
    <w:rsid w:val="00693623"/>
    <w:rsid w:val="00694665"/>
    <w:rsid w:val="0069497C"/>
    <w:rsid w:val="00694B3F"/>
    <w:rsid w:val="00695DB9"/>
    <w:rsid w:val="00696D84"/>
    <w:rsid w:val="006A6995"/>
    <w:rsid w:val="006A6DBA"/>
    <w:rsid w:val="006A7067"/>
    <w:rsid w:val="006A73A8"/>
    <w:rsid w:val="006B184E"/>
    <w:rsid w:val="006B2281"/>
    <w:rsid w:val="006B3F0E"/>
    <w:rsid w:val="006B4784"/>
    <w:rsid w:val="006C34DE"/>
    <w:rsid w:val="006C3761"/>
    <w:rsid w:val="006C46B4"/>
    <w:rsid w:val="006D0F51"/>
    <w:rsid w:val="006D2096"/>
    <w:rsid w:val="006D295E"/>
    <w:rsid w:val="006D5E9A"/>
    <w:rsid w:val="006E1625"/>
    <w:rsid w:val="006E4841"/>
    <w:rsid w:val="006E5323"/>
    <w:rsid w:val="006E672B"/>
    <w:rsid w:val="006E6A2D"/>
    <w:rsid w:val="006F0959"/>
    <w:rsid w:val="006F5CA9"/>
    <w:rsid w:val="006F6333"/>
    <w:rsid w:val="006F73D0"/>
    <w:rsid w:val="00702202"/>
    <w:rsid w:val="007038A8"/>
    <w:rsid w:val="00704365"/>
    <w:rsid w:val="00705B0D"/>
    <w:rsid w:val="00706B9A"/>
    <w:rsid w:val="00706EE2"/>
    <w:rsid w:val="007074E0"/>
    <w:rsid w:val="00710B6A"/>
    <w:rsid w:val="00713D2B"/>
    <w:rsid w:val="00716A62"/>
    <w:rsid w:val="00722BC3"/>
    <w:rsid w:val="00726A0B"/>
    <w:rsid w:val="007301E0"/>
    <w:rsid w:val="00737D3D"/>
    <w:rsid w:val="007403E8"/>
    <w:rsid w:val="00741BCE"/>
    <w:rsid w:val="00744EBD"/>
    <w:rsid w:val="00745623"/>
    <w:rsid w:val="00745856"/>
    <w:rsid w:val="00746278"/>
    <w:rsid w:val="00747C81"/>
    <w:rsid w:val="00750174"/>
    <w:rsid w:val="00750714"/>
    <w:rsid w:val="00751C7B"/>
    <w:rsid w:val="00753294"/>
    <w:rsid w:val="00755FF7"/>
    <w:rsid w:val="0075676E"/>
    <w:rsid w:val="00761537"/>
    <w:rsid w:val="00761642"/>
    <w:rsid w:val="0076168D"/>
    <w:rsid w:val="0076682B"/>
    <w:rsid w:val="00767776"/>
    <w:rsid w:val="00767B0F"/>
    <w:rsid w:val="00770EFA"/>
    <w:rsid w:val="00772AA6"/>
    <w:rsid w:val="0077470F"/>
    <w:rsid w:val="00775106"/>
    <w:rsid w:val="00775266"/>
    <w:rsid w:val="0077763C"/>
    <w:rsid w:val="00777F42"/>
    <w:rsid w:val="007802A0"/>
    <w:rsid w:val="00781849"/>
    <w:rsid w:val="0078319B"/>
    <w:rsid w:val="00783860"/>
    <w:rsid w:val="00787852"/>
    <w:rsid w:val="00791408"/>
    <w:rsid w:val="007927D6"/>
    <w:rsid w:val="0079322C"/>
    <w:rsid w:val="00795341"/>
    <w:rsid w:val="007953EB"/>
    <w:rsid w:val="0079544E"/>
    <w:rsid w:val="007A0754"/>
    <w:rsid w:val="007A085B"/>
    <w:rsid w:val="007A1F49"/>
    <w:rsid w:val="007A29A4"/>
    <w:rsid w:val="007A3E09"/>
    <w:rsid w:val="007A438D"/>
    <w:rsid w:val="007A4BEB"/>
    <w:rsid w:val="007A5741"/>
    <w:rsid w:val="007A6B9A"/>
    <w:rsid w:val="007A7221"/>
    <w:rsid w:val="007A7422"/>
    <w:rsid w:val="007A7523"/>
    <w:rsid w:val="007B2BCB"/>
    <w:rsid w:val="007B3FC2"/>
    <w:rsid w:val="007B4B0C"/>
    <w:rsid w:val="007B5FBC"/>
    <w:rsid w:val="007B7894"/>
    <w:rsid w:val="007B7B55"/>
    <w:rsid w:val="007C0FC8"/>
    <w:rsid w:val="007C1A30"/>
    <w:rsid w:val="007C2419"/>
    <w:rsid w:val="007C2B34"/>
    <w:rsid w:val="007C3BB3"/>
    <w:rsid w:val="007C6136"/>
    <w:rsid w:val="007C6154"/>
    <w:rsid w:val="007C61CA"/>
    <w:rsid w:val="007C74E8"/>
    <w:rsid w:val="007D0A46"/>
    <w:rsid w:val="007D382D"/>
    <w:rsid w:val="007D5918"/>
    <w:rsid w:val="007D7219"/>
    <w:rsid w:val="007E21E6"/>
    <w:rsid w:val="007E36AD"/>
    <w:rsid w:val="007E5140"/>
    <w:rsid w:val="007E5454"/>
    <w:rsid w:val="007F0009"/>
    <w:rsid w:val="007F0507"/>
    <w:rsid w:val="007F1725"/>
    <w:rsid w:val="007F1E10"/>
    <w:rsid w:val="007F2218"/>
    <w:rsid w:val="007F7E58"/>
    <w:rsid w:val="00802B8D"/>
    <w:rsid w:val="008036BD"/>
    <w:rsid w:val="00803CBA"/>
    <w:rsid w:val="0080468D"/>
    <w:rsid w:val="00805755"/>
    <w:rsid w:val="0080776C"/>
    <w:rsid w:val="00810D48"/>
    <w:rsid w:val="00814098"/>
    <w:rsid w:val="008165B6"/>
    <w:rsid w:val="00817E65"/>
    <w:rsid w:val="00823456"/>
    <w:rsid w:val="008252F1"/>
    <w:rsid w:val="00826A9B"/>
    <w:rsid w:val="00827A7B"/>
    <w:rsid w:val="008352BF"/>
    <w:rsid w:val="008353E0"/>
    <w:rsid w:val="00835755"/>
    <w:rsid w:val="00840B2F"/>
    <w:rsid w:val="00841519"/>
    <w:rsid w:val="00845731"/>
    <w:rsid w:val="00845735"/>
    <w:rsid w:val="0084615F"/>
    <w:rsid w:val="008464E5"/>
    <w:rsid w:val="0084738C"/>
    <w:rsid w:val="00851605"/>
    <w:rsid w:val="00851F1C"/>
    <w:rsid w:val="00852020"/>
    <w:rsid w:val="008522F0"/>
    <w:rsid w:val="00853C46"/>
    <w:rsid w:val="00855322"/>
    <w:rsid w:val="00856DDE"/>
    <w:rsid w:val="00860339"/>
    <w:rsid w:val="00860E48"/>
    <w:rsid w:val="00861F98"/>
    <w:rsid w:val="00862B34"/>
    <w:rsid w:val="008667FC"/>
    <w:rsid w:val="0086708D"/>
    <w:rsid w:val="00867726"/>
    <w:rsid w:val="00867805"/>
    <w:rsid w:val="00872031"/>
    <w:rsid w:val="0087216F"/>
    <w:rsid w:val="0087626C"/>
    <w:rsid w:val="00880604"/>
    <w:rsid w:val="00883634"/>
    <w:rsid w:val="00886101"/>
    <w:rsid w:val="00887829"/>
    <w:rsid w:val="008926EF"/>
    <w:rsid w:val="0089279D"/>
    <w:rsid w:val="00892E28"/>
    <w:rsid w:val="00895DD2"/>
    <w:rsid w:val="0089727F"/>
    <w:rsid w:val="008A2241"/>
    <w:rsid w:val="008A3262"/>
    <w:rsid w:val="008A3AB2"/>
    <w:rsid w:val="008A3F48"/>
    <w:rsid w:val="008A5B42"/>
    <w:rsid w:val="008A6BFE"/>
    <w:rsid w:val="008B2809"/>
    <w:rsid w:val="008B307A"/>
    <w:rsid w:val="008B569D"/>
    <w:rsid w:val="008B62A9"/>
    <w:rsid w:val="008C0240"/>
    <w:rsid w:val="008C1C6C"/>
    <w:rsid w:val="008C256C"/>
    <w:rsid w:val="008C3309"/>
    <w:rsid w:val="008C70A5"/>
    <w:rsid w:val="008D0C0F"/>
    <w:rsid w:val="008D1F05"/>
    <w:rsid w:val="008D2027"/>
    <w:rsid w:val="008E1A0D"/>
    <w:rsid w:val="008E4A07"/>
    <w:rsid w:val="008E4DFF"/>
    <w:rsid w:val="008E6E8B"/>
    <w:rsid w:val="008F138D"/>
    <w:rsid w:val="008F17CA"/>
    <w:rsid w:val="008F1E58"/>
    <w:rsid w:val="008F20B6"/>
    <w:rsid w:val="008F3579"/>
    <w:rsid w:val="008F3D5D"/>
    <w:rsid w:val="00900139"/>
    <w:rsid w:val="00902A25"/>
    <w:rsid w:val="00904252"/>
    <w:rsid w:val="00912737"/>
    <w:rsid w:val="00912AFA"/>
    <w:rsid w:val="009137FD"/>
    <w:rsid w:val="00917052"/>
    <w:rsid w:val="009272F1"/>
    <w:rsid w:val="0092771D"/>
    <w:rsid w:val="00930BF5"/>
    <w:rsid w:val="00930C9A"/>
    <w:rsid w:val="00935B2A"/>
    <w:rsid w:val="00937839"/>
    <w:rsid w:val="0094066B"/>
    <w:rsid w:val="00940759"/>
    <w:rsid w:val="009412F9"/>
    <w:rsid w:val="00941B91"/>
    <w:rsid w:val="009421BC"/>
    <w:rsid w:val="009424A1"/>
    <w:rsid w:val="0094294B"/>
    <w:rsid w:val="00942E10"/>
    <w:rsid w:val="00943032"/>
    <w:rsid w:val="009434BA"/>
    <w:rsid w:val="00943C26"/>
    <w:rsid w:val="009444E6"/>
    <w:rsid w:val="009452A8"/>
    <w:rsid w:val="009468A9"/>
    <w:rsid w:val="00947DA6"/>
    <w:rsid w:val="00953209"/>
    <w:rsid w:val="00955900"/>
    <w:rsid w:val="00957D52"/>
    <w:rsid w:val="00960398"/>
    <w:rsid w:val="00961C81"/>
    <w:rsid w:val="00962D1F"/>
    <w:rsid w:val="00963C4A"/>
    <w:rsid w:val="00964B12"/>
    <w:rsid w:val="00972564"/>
    <w:rsid w:val="00972F4A"/>
    <w:rsid w:val="009740FB"/>
    <w:rsid w:val="009752F5"/>
    <w:rsid w:val="00975B62"/>
    <w:rsid w:val="009770AD"/>
    <w:rsid w:val="009815D8"/>
    <w:rsid w:val="00981C71"/>
    <w:rsid w:val="00982C17"/>
    <w:rsid w:val="00984D18"/>
    <w:rsid w:val="00987376"/>
    <w:rsid w:val="00990666"/>
    <w:rsid w:val="00992771"/>
    <w:rsid w:val="0099303A"/>
    <w:rsid w:val="00997A72"/>
    <w:rsid w:val="009A0008"/>
    <w:rsid w:val="009A0A88"/>
    <w:rsid w:val="009A2F2C"/>
    <w:rsid w:val="009A4668"/>
    <w:rsid w:val="009A5766"/>
    <w:rsid w:val="009A6301"/>
    <w:rsid w:val="009A65A6"/>
    <w:rsid w:val="009A6DBE"/>
    <w:rsid w:val="009C017E"/>
    <w:rsid w:val="009C02C1"/>
    <w:rsid w:val="009C0738"/>
    <w:rsid w:val="009C44B4"/>
    <w:rsid w:val="009C474C"/>
    <w:rsid w:val="009C4CCA"/>
    <w:rsid w:val="009D345D"/>
    <w:rsid w:val="009D5458"/>
    <w:rsid w:val="009D57AE"/>
    <w:rsid w:val="009D6801"/>
    <w:rsid w:val="009D6E51"/>
    <w:rsid w:val="009D71F2"/>
    <w:rsid w:val="009D73FB"/>
    <w:rsid w:val="009E03D5"/>
    <w:rsid w:val="009E106F"/>
    <w:rsid w:val="009E5D25"/>
    <w:rsid w:val="009E6BAA"/>
    <w:rsid w:val="009F162C"/>
    <w:rsid w:val="009F5090"/>
    <w:rsid w:val="009F5632"/>
    <w:rsid w:val="009F612C"/>
    <w:rsid w:val="009F76B8"/>
    <w:rsid w:val="009F7B46"/>
    <w:rsid w:val="00A007CB"/>
    <w:rsid w:val="00A0155D"/>
    <w:rsid w:val="00A01E49"/>
    <w:rsid w:val="00A0359D"/>
    <w:rsid w:val="00A03D04"/>
    <w:rsid w:val="00A04B20"/>
    <w:rsid w:val="00A1086D"/>
    <w:rsid w:val="00A10E4A"/>
    <w:rsid w:val="00A11332"/>
    <w:rsid w:val="00A13483"/>
    <w:rsid w:val="00A1401A"/>
    <w:rsid w:val="00A14FAD"/>
    <w:rsid w:val="00A1533E"/>
    <w:rsid w:val="00A15691"/>
    <w:rsid w:val="00A15ABD"/>
    <w:rsid w:val="00A16A2E"/>
    <w:rsid w:val="00A17971"/>
    <w:rsid w:val="00A17C95"/>
    <w:rsid w:val="00A236F7"/>
    <w:rsid w:val="00A2394E"/>
    <w:rsid w:val="00A245BB"/>
    <w:rsid w:val="00A24909"/>
    <w:rsid w:val="00A24C1E"/>
    <w:rsid w:val="00A257DA"/>
    <w:rsid w:val="00A31714"/>
    <w:rsid w:val="00A322CC"/>
    <w:rsid w:val="00A33ECD"/>
    <w:rsid w:val="00A36587"/>
    <w:rsid w:val="00A37134"/>
    <w:rsid w:val="00A3795C"/>
    <w:rsid w:val="00A37A8B"/>
    <w:rsid w:val="00A40321"/>
    <w:rsid w:val="00A42002"/>
    <w:rsid w:val="00A4262E"/>
    <w:rsid w:val="00A431B7"/>
    <w:rsid w:val="00A44AC0"/>
    <w:rsid w:val="00A46957"/>
    <w:rsid w:val="00A52C7A"/>
    <w:rsid w:val="00A54664"/>
    <w:rsid w:val="00A560DC"/>
    <w:rsid w:val="00A61BA5"/>
    <w:rsid w:val="00A6228A"/>
    <w:rsid w:val="00A62834"/>
    <w:rsid w:val="00A81499"/>
    <w:rsid w:val="00A830FD"/>
    <w:rsid w:val="00A83784"/>
    <w:rsid w:val="00A8430E"/>
    <w:rsid w:val="00A84ECA"/>
    <w:rsid w:val="00A850D5"/>
    <w:rsid w:val="00A87348"/>
    <w:rsid w:val="00A87B25"/>
    <w:rsid w:val="00A87B7C"/>
    <w:rsid w:val="00A90393"/>
    <w:rsid w:val="00AA353F"/>
    <w:rsid w:val="00AA4F7B"/>
    <w:rsid w:val="00AA52DC"/>
    <w:rsid w:val="00AA575F"/>
    <w:rsid w:val="00AA72AF"/>
    <w:rsid w:val="00AA789D"/>
    <w:rsid w:val="00AB0F10"/>
    <w:rsid w:val="00AB3188"/>
    <w:rsid w:val="00AB48D8"/>
    <w:rsid w:val="00AC259B"/>
    <w:rsid w:val="00AC288E"/>
    <w:rsid w:val="00AC45A6"/>
    <w:rsid w:val="00AC5E5C"/>
    <w:rsid w:val="00AD09D8"/>
    <w:rsid w:val="00AD248F"/>
    <w:rsid w:val="00AD43A7"/>
    <w:rsid w:val="00AD4E0F"/>
    <w:rsid w:val="00AD54E1"/>
    <w:rsid w:val="00AD5FB5"/>
    <w:rsid w:val="00AE1AB8"/>
    <w:rsid w:val="00AE553E"/>
    <w:rsid w:val="00AE7796"/>
    <w:rsid w:val="00AE7846"/>
    <w:rsid w:val="00AE7A9B"/>
    <w:rsid w:val="00AF0BBF"/>
    <w:rsid w:val="00AF1297"/>
    <w:rsid w:val="00AF2CC2"/>
    <w:rsid w:val="00AF39AF"/>
    <w:rsid w:val="00AF568F"/>
    <w:rsid w:val="00AF5E67"/>
    <w:rsid w:val="00AF6E13"/>
    <w:rsid w:val="00B013B0"/>
    <w:rsid w:val="00B01AF4"/>
    <w:rsid w:val="00B02B35"/>
    <w:rsid w:val="00B052D1"/>
    <w:rsid w:val="00B06156"/>
    <w:rsid w:val="00B0719E"/>
    <w:rsid w:val="00B113AD"/>
    <w:rsid w:val="00B113B0"/>
    <w:rsid w:val="00B14430"/>
    <w:rsid w:val="00B14C67"/>
    <w:rsid w:val="00B21B4C"/>
    <w:rsid w:val="00B2298E"/>
    <w:rsid w:val="00B23445"/>
    <w:rsid w:val="00B2399E"/>
    <w:rsid w:val="00B23F60"/>
    <w:rsid w:val="00B241DF"/>
    <w:rsid w:val="00B27CB0"/>
    <w:rsid w:val="00B30123"/>
    <w:rsid w:val="00B335E6"/>
    <w:rsid w:val="00B3418E"/>
    <w:rsid w:val="00B34491"/>
    <w:rsid w:val="00B3631E"/>
    <w:rsid w:val="00B404B3"/>
    <w:rsid w:val="00B41A38"/>
    <w:rsid w:val="00B41B27"/>
    <w:rsid w:val="00B42ED2"/>
    <w:rsid w:val="00B43853"/>
    <w:rsid w:val="00B43F70"/>
    <w:rsid w:val="00B46A15"/>
    <w:rsid w:val="00B46C91"/>
    <w:rsid w:val="00B50954"/>
    <w:rsid w:val="00B51866"/>
    <w:rsid w:val="00B528D2"/>
    <w:rsid w:val="00B57974"/>
    <w:rsid w:val="00B61668"/>
    <w:rsid w:val="00B62BCC"/>
    <w:rsid w:val="00B63056"/>
    <w:rsid w:val="00B64C09"/>
    <w:rsid w:val="00B67755"/>
    <w:rsid w:val="00B73C8D"/>
    <w:rsid w:val="00B73F15"/>
    <w:rsid w:val="00B74FCB"/>
    <w:rsid w:val="00B76005"/>
    <w:rsid w:val="00B76A3A"/>
    <w:rsid w:val="00B771FC"/>
    <w:rsid w:val="00B77BDA"/>
    <w:rsid w:val="00B801CA"/>
    <w:rsid w:val="00B83A9C"/>
    <w:rsid w:val="00B843D5"/>
    <w:rsid w:val="00B85079"/>
    <w:rsid w:val="00B9070F"/>
    <w:rsid w:val="00B90AC6"/>
    <w:rsid w:val="00B939A4"/>
    <w:rsid w:val="00B939AA"/>
    <w:rsid w:val="00B95BF6"/>
    <w:rsid w:val="00B961BC"/>
    <w:rsid w:val="00B961E0"/>
    <w:rsid w:val="00B96C80"/>
    <w:rsid w:val="00BA0896"/>
    <w:rsid w:val="00BA0C39"/>
    <w:rsid w:val="00BA0E1A"/>
    <w:rsid w:val="00BA1CD3"/>
    <w:rsid w:val="00BA4831"/>
    <w:rsid w:val="00BA4955"/>
    <w:rsid w:val="00BA7C25"/>
    <w:rsid w:val="00BB1890"/>
    <w:rsid w:val="00BB1D3F"/>
    <w:rsid w:val="00BB6BD0"/>
    <w:rsid w:val="00BC0B58"/>
    <w:rsid w:val="00BC51F1"/>
    <w:rsid w:val="00BC570A"/>
    <w:rsid w:val="00BC6A53"/>
    <w:rsid w:val="00BD1B7F"/>
    <w:rsid w:val="00BD1F79"/>
    <w:rsid w:val="00BD3278"/>
    <w:rsid w:val="00BD38FC"/>
    <w:rsid w:val="00BD4A21"/>
    <w:rsid w:val="00BD5EED"/>
    <w:rsid w:val="00BD6104"/>
    <w:rsid w:val="00BE05D2"/>
    <w:rsid w:val="00BE1366"/>
    <w:rsid w:val="00BE2057"/>
    <w:rsid w:val="00BE652D"/>
    <w:rsid w:val="00BE7ACD"/>
    <w:rsid w:val="00BF32AF"/>
    <w:rsid w:val="00BF4071"/>
    <w:rsid w:val="00BF6049"/>
    <w:rsid w:val="00BF696D"/>
    <w:rsid w:val="00C01CCE"/>
    <w:rsid w:val="00C0434C"/>
    <w:rsid w:val="00C04DAA"/>
    <w:rsid w:val="00C05238"/>
    <w:rsid w:val="00C0615A"/>
    <w:rsid w:val="00C07605"/>
    <w:rsid w:val="00C07AE7"/>
    <w:rsid w:val="00C1091C"/>
    <w:rsid w:val="00C11132"/>
    <w:rsid w:val="00C14894"/>
    <w:rsid w:val="00C16969"/>
    <w:rsid w:val="00C171AA"/>
    <w:rsid w:val="00C1777C"/>
    <w:rsid w:val="00C200CC"/>
    <w:rsid w:val="00C2115B"/>
    <w:rsid w:val="00C212A1"/>
    <w:rsid w:val="00C25F12"/>
    <w:rsid w:val="00C27C35"/>
    <w:rsid w:val="00C31EC9"/>
    <w:rsid w:val="00C33F9A"/>
    <w:rsid w:val="00C3406A"/>
    <w:rsid w:val="00C34523"/>
    <w:rsid w:val="00C37E3A"/>
    <w:rsid w:val="00C40929"/>
    <w:rsid w:val="00C41DE1"/>
    <w:rsid w:val="00C433A1"/>
    <w:rsid w:val="00C43CBE"/>
    <w:rsid w:val="00C4552F"/>
    <w:rsid w:val="00C47232"/>
    <w:rsid w:val="00C51CEC"/>
    <w:rsid w:val="00C52BC1"/>
    <w:rsid w:val="00C52D98"/>
    <w:rsid w:val="00C5387C"/>
    <w:rsid w:val="00C61BF0"/>
    <w:rsid w:val="00C63004"/>
    <w:rsid w:val="00C63432"/>
    <w:rsid w:val="00C63B94"/>
    <w:rsid w:val="00C64A49"/>
    <w:rsid w:val="00C65645"/>
    <w:rsid w:val="00C66543"/>
    <w:rsid w:val="00C67D1D"/>
    <w:rsid w:val="00C74FEE"/>
    <w:rsid w:val="00C751E1"/>
    <w:rsid w:val="00C76941"/>
    <w:rsid w:val="00C82289"/>
    <w:rsid w:val="00C82C98"/>
    <w:rsid w:val="00C83FD2"/>
    <w:rsid w:val="00C86D53"/>
    <w:rsid w:val="00C86F9F"/>
    <w:rsid w:val="00C928B7"/>
    <w:rsid w:val="00C95DCC"/>
    <w:rsid w:val="00C962F6"/>
    <w:rsid w:val="00C96889"/>
    <w:rsid w:val="00C972CC"/>
    <w:rsid w:val="00CA1E91"/>
    <w:rsid w:val="00CA4479"/>
    <w:rsid w:val="00CB6919"/>
    <w:rsid w:val="00CC0C2C"/>
    <w:rsid w:val="00CC2AC0"/>
    <w:rsid w:val="00CC3502"/>
    <w:rsid w:val="00CC5039"/>
    <w:rsid w:val="00CC6178"/>
    <w:rsid w:val="00CC66DF"/>
    <w:rsid w:val="00CC7972"/>
    <w:rsid w:val="00CD04C5"/>
    <w:rsid w:val="00CD0CA7"/>
    <w:rsid w:val="00CD1237"/>
    <w:rsid w:val="00CD22E8"/>
    <w:rsid w:val="00CD2C49"/>
    <w:rsid w:val="00CD3B31"/>
    <w:rsid w:val="00CD4970"/>
    <w:rsid w:val="00CD4BD5"/>
    <w:rsid w:val="00CD5484"/>
    <w:rsid w:val="00CE212F"/>
    <w:rsid w:val="00CE26AD"/>
    <w:rsid w:val="00CE2864"/>
    <w:rsid w:val="00CE2D84"/>
    <w:rsid w:val="00CE2F67"/>
    <w:rsid w:val="00CE461E"/>
    <w:rsid w:val="00CE58F8"/>
    <w:rsid w:val="00CE6A8E"/>
    <w:rsid w:val="00CE6DEB"/>
    <w:rsid w:val="00CE78D9"/>
    <w:rsid w:val="00CE7F15"/>
    <w:rsid w:val="00CF0087"/>
    <w:rsid w:val="00CF1F75"/>
    <w:rsid w:val="00CF37D1"/>
    <w:rsid w:val="00CF73B8"/>
    <w:rsid w:val="00D00572"/>
    <w:rsid w:val="00D01E59"/>
    <w:rsid w:val="00D02F46"/>
    <w:rsid w:val="00D14817"/>
    <w:rsid w:val="00D15A2D"/>
    <w:rsid w:val="00D17467"/>
    <w:rsid w:val="00D2075E"/>
    <w:rsid w:val="00D234D3"/>
    <w:rsid w:val="00D2385B"/>
    <w:rsid w:val="00D238D3"/>
    <w:rsid w:val="00D27182"/>
    <w:rsid w:val="00D27386"/>
    <w:rsid w:val="00D27D25"/>
    <w:rsid w:val="00D3082F"/>
    <w:rsid w:val="00D308FA"/>
    <w:rsid w:val="00D34422"/>
    <w:rsid w:val="00D36C1E"/>
    <w:rsid w:val="00D3738F"/>
    <w:rsid w:val="00D3758D"/>
    <w:rsid w:val="00D42940"/>
    <w:rsid w:val="00D43710"/>
    <w:rsid w:val="00D438DC"/>
    <w:rsid w:val="00D45511"/>
    <w:rsid w:val="00D45EB5"/>
    <w:rsid w:val="00D51C7B"/>
    <w:rsid w:val="00D543FA"/>
    <w:rsid w:val="00D54BF8"/>
    <w:rsid w:val="00D57B79"/>
    <w:rsid w:val="00D60E0C"/>
    <w:rsid w:val="00D666CC"/>
    <w:rsid w:val="00D66753"/>
    <w:rsid w:val="00D66956"/>
    <w:rsid w:val="00D677B9"/>
    <w:rsid w:val="00D72083"/>
    <w:rsid w:val="00D72A27"/>
    <w:rsid w:val="00D7308A"/>
    <w:rsid w:val="00D73CD2"/>
    <w:rsid w:val="00D747A8"/>
    <w:rsid w:val="00D75B95"/>
    <w:rsid w:val="00D76CF9"/>
    <w:rsid w:val="00D80A8D"/>
    <w:rsid w:val="00D85645"/>
    <w:rsid w:val="00D873AC"/>
    <w:rsid w:val="00D90C7E"/>
    <w:rsid w:val="00D94794"/>
    <w:rsid w:val="00D95FDA"/>
    <w:rsid w:val="00D9734D"/>
    <w:rsid w:val="00DA3782"/>
    <w:rsid w:val="00DA55EF"/>
    <w:rsid w:val="00DA6F44"/>
    <w:rsid w:val="00DA79BF"/>
    <w:rsid w:val="00DB097F"/>
    <w:rsid w:val="00DB0C8E"/>
    <w:rsid w:val="00DB3D2F"/>
    <w:rsid w:val="00DB5021"/>
    <w:rsid w:val="00DB5F21"/>
    <w:rsid w:val="00DB619A"/>
    <w:rsid w:val="00DB6FEC"/>
    <w:rsid w:val="00DB7536"/>
    <w:rsid w:val="00DC0D37"/>
    <w:rsid w:val="00DC1747"/>
    <w:rsid w:val="00DC1AE6"/>
    <w:rsid w:val="00DC7D1B"/>
    <w:rsid w:val="00DD24D9"/>
    <w:rsid w:val="00DD2C9E"/>
    <w:rsid w:val="00DD411D"/>
    <w:rsid w:val="00DD6E49"/>
    <w:rsid w:val="00DD77C4"/>
    <w:rsid w:val="00DE5F18"/>
    <w:rsid w:val="00DE6F92"/>
    <w:rsid w:val="00DF0C89"/>
    <w:rsid w:val="00DF1298"/>
    <w:rsid w:val="00DF1F0B"/>
    <w:rsid w:val="00DF69C4"/>
    <w:rsid w:val="00DF7F8F"/>
    <w:rsid w:val="00E00EC5"/>
    <w:rsid w:val="00E0108F"/>
    <w:rsid w:val="00E0262F"/>
    <w:rsid w:val="00E02935"/>
    <w:rsid w:val="00E05F0F"/>
    <w:rsid w:val="00E10E85"/>
    <w:rsid w:val="00E114A3"/>
    <w:rsid w:val="00E21BDD"/>
    <w:rsid w:val="00E21FC0"/>
    <w:rsid w:val="00E24F2A"/>
    <w:rsid w:val="00E26882"/>
    <w:rsid w:val="00E31773"/>
    <w:rsid w:val="00E319FF"/>
    <w:rsid w:val="00E338DC"/>
    <w:rsid w:val="00E34D9A"/>
    <w:rsid w:val="00E34FD7"/>
    <w:rsid w:val="00E3536C"/>
    <w:rsid w:val="00E35DAF"/>
    <w:rsid w:val="00E408BF"/>
    <w:rsid w:val="00E4106D"/>
    <w:rsid w:val="00E425A4"/>
    <w:rsid w:val="00E42B04"/>
    <w:rsid w:val="00E445E3"/>
    <w:rsid w:val="00E45523"/>
    <w:rsid w:val="00E4626A"/>
    <w:rsid w:val="00E50C2B"/>
    <w:rsid w:val="00E5207A"/>
    <w:rsid w:val="00E54E2B"/>
    <w:rsid w:val="00E5765C"/>
    <w:rsid w:val="00E57F30"/>
    <w:rsid w:val="00E63A88"/>
    <w:rsid w:val="00E641B4"/>
    <w:rsid w:val="00E647FA"/>
    <w:rsid w:val="00E64962"/>
    <w:rsid w:val="00E6558E"/>
    <w:rsid w:val="00E709AF"/>
    <w:rsid w:val="00E70D09"/>
    <w:rsid w:val="00E71E22"/>
    <w:rsid w:val="00E7289B"/>
    <w:rsid w:val="00E73C68"/>
    <w:rsid w:val="00E754DC"/>
    <w:rsid w:val="00E76074"/>
    <w:rsid w:val="00E774F4"/>
    <w:rsid w:val="00E80684"/>
    <w:rsid w:val="00E80C00"/>
    <w:rsid w:val="00E80D72"/>
    <w:rsid w:val="00E8320D"/>
    <w:rsid w:val="00E84087"/>
    <w:rsid w:val="00E86373"/>
    <w:rsid w:val="00E91B1B"/>
    <w:rsid w:val="00E92974"/>
    <w:rsid w:val="00E946B5"/>
    <w:rsid w:val="00E956B8"/>
    <w:rsid w:val="00EA2F0C"/>
    <w:rsid w:val="00EA48FB"/>
    <w:rsid w:val="00EA5C15"/>
    <w:rsid w:val="00EA5F4F"/>
    <w:rsid w:val="00EA7E1A"/>
    <w:rsid w:val="00EB081B"/>
    <w:rsid w:val="00EB3FAB"/>
    <w:rsid w:val="00EB6080"/>
    <w:rsid w:val="00EB6F39"/>
    <w:rsid w:val="00EB7ED0"/>
    <w:rsid w:val="00EC008B"/>
    <w:rsid w:val="00EC1BDA"/>
    <w:rsid w:val="00EC38B6"/>
    <w:rsid w:val="00ED07E0"/>
    <w:rsid w:val="00ED08B2"/>
    <w:rsid w:val="00ED25B7"/>
    <w:rsid w:val="00ED38A5"/>
    <w:rsid w:val="00ED41C4"/>
    <w:rsid w:val="00ED431F"/>
    <w:rsid w:val="00ED5C9C"/>
    <w:rsid w:val="00EE0CB1"/>
    <w:rsid w:val="00EE4366"/>
    <w:rsid w:val="00EF130E"/>
    <w:rsid w:val="00EF3A37"/>
    <w:rsid w:val="00EF3A90"/>
    <w:rsid w:val="00EF3BBE"/>
    <w:rsid w:val="00EF48FC"/>
    <w:rsid w:val="00F00CA8"/>
    <w:rsid w:val="00F014E0"/>
    <w:rsid w:val="00F052C6"/>
    <w:rsid w:val="00F06677"/>
    <w:rsid w:val="00F069D0"/>
    <w:rsid w:val="00F10120"/>
    <w:rsid w:val="00F10E7C"/>
    <w:rsid w:val="00F1115A"/>
    <w:rsid w:val="00F12673"/>
    <w:rsid w:val="00F165C6"/>
    <w:rsid w:val="00F174E6"/>
    <w:rsid w:val="00F20074"/>
    <w:rsid w:val="00F20CF4"/>
    <w:rsid w:val="00F21BF7"/>
    <w:rsid w:val="00F222E9"/>
    <w:rsid w:val="00F22668"/>
    <w:rsid w:val="00F245EB"/>
    <w:rsid w:val="00F35C20"/>
    <w:rsid w:val="00F40C6D"/>
    <w:rsid w:val="00F430CB"/>
    <w:rsid w:val="00F43F99"/>
    <w:rsid w:val="00F4426E"/>
    <w:rsid w:val="00F44BD4"/>
    <w:rsid w:val="00F456A5"/>
    <w:rsid w:val="00F472AA"/>
    <w:rsid w:val="00F47A3D"/>
    <w:rsid w:val="00F47F78"/>
    <w:rsid w:val="00F51968"/>
    <w:rsid w:val="00F55970"/>
    <w:rsid w:val="00F565C8"/>
    <w:rsid w:val="00F573DB"/>
    <w:rsid w:val="00F64127"/>
    <w:rsid w:val="00F64638"/>
    <w:rsid w:val="00F64B9F"/>
    <w:rsid w:val="00F6581D"/>
    <w:rsid w:val="00F70145"/>
    <w:rsid w:val="00F71F86"/>
    <w:rsid w:val="00F730B4"/>
    <w:rsid w:val="00F73404"/>
    <w:rsid w:val="00F80B52"/>
    <w:rsid w:val="00F812BC"/>
    <w:rsid w:val="00F85E08"/>
    <w:rsid w:val="00F9255E"/>
    <w:rsid w:val="00FA1A24"/>
    <w:rsid w:val="00FA2DCC"/>
    <w:rsid w:val="00FA3A5A"/>
    <w:rsid w:val="00FB2F9B"/>
    <w:rsid w:val="00FB32DB"/>
    <w:rsid w:val="00FB6AC6"/>
    <w:rsid w:val="00FB6DCF"/>
    <w:rsid w:val="00FC2CA5"/>
    <w:rsid w:val="00FC535E"/>
    <w:rsid w:val="00FD5DC8"/>
    <w:rsid w:val="00FD7DC3"/>
    <w:rsid w:val="00FE0B12"/>
    <w:rsid w:val="00FE17E6"/>
    <w:rsid w:val="00FE20D7"/>
    <w:rsid w:val="00FE2101"/>
    <w:rsid w:val="00FE2D6B"/>
    <w:rsid w:val="00FE2DA2"/>
    <w:rsid w:val="00FE2FB2"/>
    <w:rsid w:val="00FE3129"/>
    <w:rsid w:val="00FE3D20"/>
    <w:rsid w:val="00FE3E84"/>
    <w:rsid w:val="00FE4AE9"/>
    <w:rsid w:val="00FE69E7"/>
    <w:rsid w:val="00FE7BBA"/>
    <w:rsid w:val="00FF0AF5"/>
    <w:rsid w:val="00FF27A1"/>
    <w:rsid w:val="00FF3D65"/>
    <w:rsid w:val="00FF509E"/>
    <w:rsid w:val="00FF6072"/>
    <w:rsid w:val="00FF74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Odstavec cíl se seznamem,Odstavec se seznamem5,List Paragraph,Odstavec_muj,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semiHidden/>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uiPriority w:val="99"/>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uiPriority w:val="99"/>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Odstavec cíl se seznamem Char,Odstavec se seznamem5 Char,List Paragraph Char,Odstavec_muj Char,Odrážky Char"/>
    <w:basedOn w:val="Standardnpsmoodstavce"/>
    <w:link w:val="Odstavecseseznamem"/>
    <w:uiPriority w:val="34"/>
    <w:locked/>
    <w:rsid w:val="00674B31"/>
    <w:rPr>
      <w:rFonts w:ascii="Cambria" w:eastAsia="MS Mincho" w:hAnsi="Cambria" w:cs="Times New Roman"/>
      <w:sz w:val="24"/>
      <w:szCs w:val="24"/>
      <w:lang w:eastAsia="ja-JP"/>
    </w:rPr>
  </w:style>
  <w:style w:type="paragraph" w:customStyle="1" w:styleId="Nadpis11">
    <w:name w:val="Nadpis 11"/>
    <w:basedOn w:val="Normln"/>
    <w:next w:val="Normln"/>
    <w:uiPriority w:val="1"/>
    <w:qFormat/>
    <w:rsid w:val="00674B31"/>
    <w:pPr>
      <w:widowControl w:val="0"/>
      <w:spacing w:before="28" w:after="0"/>
      <w:ind w:left="411" w:hanging="360"/>
      <w:outlineLvl w:val="1"/>
    </w:pPr>
    <w:rPr>
      <w:rFonts w:ascii="Calibri" w:eastAsia="Calibri" w:hAnsi="Calibri" w:cstheme="minorBidi"/>
      <w:b/>
      <w:bCs/>
      <w:sz w:val="20"/>
      <w:szCs w:val="20"/>
      <w:lang w:val="en-US" w:eastAsia="en-US"/>
    </w:rPr>
  </w:style>
  <w:style w:type="paragraph" w:styleId="Textpoznpodarou">
    <w:name w:val="footnote text"/>
    <w:basedOn w:val="Normln"/>
    <w:link w:val="TextpoznpodarouChar"/>
    <w:uiPriority w:val="99"/>
    <w:semiHidden/>
    <w:unhideWhenUsed/>
    <w:rsid w:val="00674B31"/>
    <w:pPr>
      <w:spacing w:after="0"/>
    </w:pPr>
    <w:rPr>
      <w:sz w:val="20"/>
      <w:szCs w:val="20"/>
    </w:rPr>
  </w:style>
  <w:style w:type="character" w:customStyle="1" w:styleId="TextpoznpodarouChar">
    <w:name w:val="Text pozn. pod čarou Char"/>
    <w:basedOn w:val="Standardnpsmoodstavce"/>
    <w:link w:val="Textpoznpodarou"/>
    <w:uiPriority w:val="99"/>
    <w:semiHidden/>
    <w:rsid w:val="00674B31"/>
    <w:rPr>
      <w:rFonts w:ascii="Cambria" w:eastAsia="MS Mincho" w:hAnsi="Cambria" w:cs="Times New Roman"/>
      <w:sz w:val="20"/>
      <w:szCs w:val="20"/>
      <w:lang w:eastAsia="ja-JP"/>
    </w:rPr>
  </w:style>
  <w:style w:type="character" w:styleId="Znakapoznpodarou">
    <w:name w:val="footnote reference"/>
    <w:basedOn w:val="Standardnpsmoodstavce"/>
    <w:uiPriority w:val="99"/>
    <w:semiHidden/>
    <w:unhideWhenUsed/>
    <w:rsid w:val="00674B31"/>
    <w:rPr>
      <w:vertAlign w:val="superscript"/>
    </w:rPr>
  </w:style>
  <w:style w:type="paragraph" w:customStyle="1" w:styleId="Odrkya">
    <w:name w:val="Odrážky_a)"/>
    <w:basedOn w:val="Odstavecseseznamem"/>
    <w:link w:val="OdrkyaChar"/>
    <w:qFormat/>
    <w:rsid w:val="00674B31"/>
    <w:pPr>
      <w:numPr>
        <w:numId w:val="1"/>
      </w:numPr>
      <w:spacing w:before="120" w:after="120" w:line="360" w:lineRule="auto"/>
    </w:pPr>
    <w:rPr>
      <w:rFonts w:ascii="Arial" w:eastAsiaTheme="minorHAnsi" w:hAnsi="Arial" w:cs="Arial"/>
      <w:sz w:val="20"/>
      <w:szCs w:val="20"/>
      <w:lang w:eastAsia="en-US"/>
    </w:rPr>
  </w:style>
  <w:style w:type="character" w:customStyle="1" w:styleId="OdrkyaChar">
    <w:name w:val="Odrážky_a) Char"/>
    <w:basedOn w:val="Standardnpsmoodstavce"/>
    <w:link w:val="Odrkya"/>
    <w:rsid w:val="00674B31"/>
    <w:rPr>
      <w:rFonts w:ascii="Arial" w:hAnsi="Arial" w:cs="Arial"/>
      <w:sz w:val="20"/>
      <w:szCs w:val="20"/>
    </w:rPr>
  </w:style>
  <w:style w:type="paragraph" w:customStyle="1" w:styleId="odr1">
    <w:name w:val="odr 1"/>
    <w:basedOn w:val="Normln"/>
    <w:link w:val="odr1CharChar"/>
    <w:rsid w:val="00674B31"/>
    <w:pPr>
      <w:numPr>
        <w:numId w:val="2"/>
      </w:numPr>
      <w:spacing w:after="120"/>
      <w:ind w:left="357" w:hanging="357"/>
      <w:jc w:val="both"/>
    </w:pPr>
    <w:rPr>
      <w:rFonts w:asciiTheme="minorHAnsi" w:eastAsia="Times New Roman" w:hAnsiTheme="minorHAnsi"/>
      <w:snapToGrid w:val="0"/>
      <w:color w:val="000000"/>
      <w:sz w:val="22"/>
      <w:lang w:eastAsia="cs-CZ"/>
    </w:rPr>
  </w:style>
  <w:style w:type="character" w:customStyle="1" w:styleId="odr1CharChar">
    <w:name w:val="odr 1 Char Char"/>
    <w:basedOn w:val="Standardnpsmoodstavce"/>
    <w:link w:val="odr1"/>
    <w:rsid w:val="00674B31"/>
    <w:rPr>
      <w:rFonts w:eastAsia="Times New Roman" w:cs="Times New Roman"/>
      <w:snapToGrid w:val="0"/>
      <w:color w:val="000000"/>
      <w:szCs w:val="24"/>
      <w:lang w:eastAsia="cs-CZ"/>
    </w:rPr>
  </w:style>
  <w:style w:type="paragraph" w:customStyle="1" w:styleId="NormlnIROP">
    <w:name w:val="Normální IROP"/>
    <w:basedOn w:val="Normln"/>
    <w:link w:val="NormlnIROPChar"/>
    <w:uiPriority w:val="99"/>
    <w:qFormat/>
    <w:rsid w:val="00674B31"/>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674B31"/>
    <w:rPr>
      <w:rFonts w:ascii="Times New Roman" w:eastAsia="Times New Roman" w:hAnsi="Times New Roman" w:cs="Times New Roman"/>
      <w:sz w:val="24"/>
      <w:lang w:eastAsia="cs-CZ"/>
    </w:rPr>
  </w:style>
  <w:style w:type="paragraph" w:customStyle="1" w:styleId="Default">
    <w:name w:val="Default"/>
    <w:rsid w:val="0076153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F6FE0"/>
    <w:pPr>
      <w:spacing w:after="150" w:line="312" w:lineRule="atLeast"/>
    </w:pPr>
    <w:rPr>
      <w:rFonts w:ascii="Times New Roman" w:eastAsia="Times New Roman" w:hAnsi="Times New Roman"/>
      <w:color w:val="575757"/>
      <w:sz w:val="23"/>
      <w:szCs w:val="23"/>
      <w:lang w:eastAsia="cs-CZ"/>
    </w:rPr>
  </w:style>
  <w:style w:type="paragraph" w:styleId="Textvysvtlivek">
    <w:name w:val="endnote text"/>
    <w:basedOn w:val="Normln"/>
    <w:link w:val="TextvysvtlivekChar"/>
    <w:uiPriority w:val="99"/>
    <w:semiHidden/>
    <w:unhideWhenUsed/>
    <w:rsid w:val="00EF48FC"/>
    <w:pPr>
      <w:spacing w:after="0"/>
    </w:pPr>
    <w:rPr>
      <w:sz w:val="20"/>
      <w:szCs w:val="20"/>
    </w:rPr>
  </w:style>
  <w:style w:type="character" w:customStyle="1" w:styleId="TextvysvtlivekChar">
    <w:name w:val="Text vysvětlivek Char"/>
    <w:basedOn w:val="Standardnpsmoodstavce"/>
    <w:link w:val="Textvysvtlivek"/>
    <w:uiPriority w:val="99"/>
    <w:semiHidden/>
    <w:rsid w:val="00EF48FC"/>
    <w:rPr>
      <w:rFonts w:ascii="Cambria" w:eastAsia="MS Mincho" w:hAnsi="Cambria" w:cs="Times New Roman"/>
      <w:sz w:val="20"/>
      <w:szCs w:val="20"/>
      <w:lang w:eastAsia="ja-JP"/>
    </w:rPr>
  </w:style>
  <w:style w:type="character" w:styleId="Odkaznavysvtlivky">
    <w:name w:val="endnote reference"/>
    <w:basedOn w:val="Standardnpsmoodstavce"/>
    <w:uiPriority w:val="99"/>
    <w:semiHidden/>
    <w:unhideWhenUsed/>
    <w:rsid w:val="00EF48FC"/>
    <w:rPr>
      <w:vertAlign w:val="superscript"/>
    </w:rPr>
  </w:style>
  <w:style w:type="paragraph" w:styleId="Obsah2">
    <w:name w:val="toc 2"/>
    <w:basedOn w:val="Normln"/>
    <w:next w:val="Normln"/>
    <w:autoRedefine/>
    <w:uiPriority w:val="39"/>
    <w:unhideWhenUsed/>
    <w:rsid w:val="00BD3278"/>
    <w:pPr>
      <w:spacing w:after="100"/>
      <w:ind w:left="240"/>
    </w:pPr>
  </w:style>
  <w:style w:type="character" w:styleId="Zstupntext">
    <w:name w:val="Placeholder Text"/>
    <w:basedOn w:val="Standardnpsmoodstavce"/>
    <w:uiPriority w:val="99"/>
    <w:semiHidden/>
    <w:rsid w:val="00C33F9A"/>
    <w:rPr>
      <w:color w:val="808080"/>
    </w:rPr>
  </w:style>
  <w:style w:type="paragraph" w:customStyle="1" w:styleId="Heading4Palatinoks">
    <w:name w:val="Heading 4 Palatino ks"/>
    <w:next w:val="Normln"/>
    <w:autoRedefine/>
    <w:rsid w:val="007A29A4"/>
    <w:pPr>
      <w:suppressAutoHyphens/>
      <w:spacing w:after="0"/>
      <w:jc w:val="both"/>
    </w:pPr>
    <w:rPr>
      <w:rFonts w:asciiTheme="majorHAnsi" w:eastAsia="MS Mincho" w:hAnsiTheme="majorHAnsi" w:cs="Arial"/>
      <w:color w:val="00000A"/>
      <w:sz w:val="24"/>
      <w:szCs w:val="24"/>
      <w:lang w:eastAsia="ja-JP"/>
    </w:rPr>
  </w:style>
  <w:style w:type="character" w:styleId="Sledovanodkaz">
    <w:name w:val="FollowedHyperlink"/>
    <w:basedOn w:val="Standardnpsmoodstavce"/>
    <w:uiPriority w:val="99"/>
    <w:semiHidden/>
    <w:unhideWhenUsed/>
    <w:rsid w:val="003A7B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35E5"/>
    <w:pPr>
      <w:spacing w:line="240" w:lineRule="auto"/>
    </w:pPr>
    <w:rPr>
      <w:rFonts w:ascii="Cambria" w:eastAsia="MS Mincho" w:hAnsi="Cambria" w:cs="Times New Roman"/>
      <w:sz w:val="24"/>
      <w:szCs w:val="24"/>
      <w:lang w:eastAsia="ja-JP"/>
    </w:rPr>
  </w:style>
  <w:style w:type="paragraph" w:styleId="Nadpis1">
    <w:name w:val="heading 1"/>
    <w:basedOn w:val="Normln"/>
    <w:next w:val="Normln"/>
    <w:link w:val="Nadpis1Char"/>
    <w:uiPriority w:val="9"/>
    <w:qFormat/>
    <w:rsid w:val="005D35E5"/>
    <w:pPr>
      <w:keepNext/>
      <w:keepLines/>
      <w:spacing w:before="480" w:after="0"/>
      <w:outlineLvl w:val="0"/>
    </w:pPr>
    <w:rPr>
      <w:rFonts w:ascii="Times New Roman" w:eastAsiaTheme="majorEastAsia" w:hAnsi="Times New Roman" w:cstheme="majorBidi"/>
      <w:b/>
      <w:bCs/>
      <w:color w:val="000000" w:themeColor="text1"/>
      <w:sz w:val="36"/>
      <w:szCs w:val="28"/>
    </w:rPr>
  </w:style>
  <w:style w:type="paragraph" w:styleId="Nadpis2">
    <w:name w:val="heading 2"/>
    <w:basedOn w:val="Normln"/>
    <w:next w:val="Normln"/>
    <w:link w:val="Nadpis2Char"/>
    <w:uiPriority w:val="9"/>
    <w:unhideWhenUsed/>
    <w:qFormat/>
    <w:rsid w:val="005D35E5"/>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Nadpis3">
    <w:name w:val="heading 3"/>
    <w:basedOn w:val="Normln"/>
    <w:next w:val="Normln"/>
    <w:link w:val="Nadpis3Char"/>
    <w:uiPriority w:val="9"/>
    <w:unhideWhenUsed/>
    <w:qFormat/>
    <w:rsid w:val="00E31773"/>
    <w:pPr>
      <w:keepNext/>
      <w:keepLines/>
      <w:spacing w:before="200" w:after="0"/>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5D35E5"/>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5D35E5"/>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5D35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5D3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5D35E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5D35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D35E5"/>
    <w:rPr>
      <w:rFonts w:ascii="Times New Roman" w:eastAsiaTheme="majorEastAsia" w:hAnsi="Times New Roman" w:cstheme="majorBidi"/>
      <w:b/>
      <w:bCs/>
      <w:color w:val="000000" w:themeColor="text1"/>
      <w:sz w:val="36"/>
      <w:szCs w:val="28"/>
      <w:lang w:eastAsia="ja-JP"/>
    </w:rPr>
  </w:style>
  <w:style w:type="character" w:customStyle="1" w:styleId="Nadpis2Char">
    <w:name w:val="Nadpis 2 Char"/>
    <w:basedOn w:val="Standardnpsmoodstavce"/>
    <w:link w:val="Nadpis2"/>
    <w:uiPriority w:val="9"/>
    <w:rsid w:val="005D35E5"/>
    <w:rPr>
      <w:rFonts w:ascii="Times New Roman" w:eastAsiaTheme="majorEastAsia" w:hAnsi="Times New Roman" w:cstheme="majorBidi"/>
      <w:b/>
      <w:bCs/>
      <w:color w:val="000000" w:themeColor="text1"/>
      <w:sz w:val="28"/>
      <w:szCs w:val="26"/>
      <w:lang w:eastAsia="ja-JP"/>
    </w:rPr>
  </w:style>
  <w:style w:type="character" w:customStyle="1" w:styleId="Nadpis3Char">
    <w:name w:val="Nadpis 3 Char"/>
    <w:basedOn w:val="Standardnpsmoodstavce"/>
    <w:link w:val="Nadpis3"/>
    <w:uiPriority w:val="9"/>
    <w:rsid w:val="00E31773"/>
    <w:rPr>
      <w:rFonts w:asciiTheme="majorHAnsi" w:eastAsiaTheme="majorEastAsia" w:hAnsiTheme="majorHAnsi" w:cstheme="majorBidi"/>
      <w:b/>
      <w:bCs/>
      <w:sz w:val="24"/>
      <w:szCs w:val="24"/>
      <w:lang w:eastAsia="ja-JP"/>
    </w:rPr>
  </w:style>
  <w:style w:type="character" w:customStyle="1" w:styleId="Nadpis4Char">
    <w:name w:val="Nadpis 4 Char"/>
    <w:basedOn w:val="Standardnpsmoodstavce"/>
    <w:link w:val="Nadpis4"/>
    <w:uiPriority w:val="9"/>
    <w:semiHidden/>
    <w:rsid w:val="005D35E5"/>
    <w:rPr>
      <w:rFonts w:asciiTheme="majorHAnsi" w:eastAsiaTheme="majorEastAsia" w:hAnsiTheme="majorHAnsi" w:cstheme="majorBidi"/>
      <w:b/>
      <w:bCs/>
      <w:i/>
      <w:iCs/>
      <w:color w:val="4F81BD" w:themeColor="accent1"/>
      <w:sz w:val="24"/>
      <w:szCs w:val="24"/>
      <w:lang w:eastAsia="ja-JP"/>
    </w:rPr>
  </w:style>
  <w:style w:type="character" w:customStyle="1" w:styleId="Nadpis5Char">
    <w:name w:val="Nadpis 5 Char"/>
    <w:basedOn w:val="Standardnpsmoodstavce"/>
    <w:link w:val="Nadpis5"/>
    <w:uiPriority w:val="9"/>
    <w:semiHidden/>
    <w:rsid w:val="005D35E5"/>
    <w:rPr>
      <w:rFonts w:asciiTheme="majorHAnsi" w:eastAsiaTheme="majorEastAsia" w:hAnsiTheme="majorHAnsi" w:cstheme="majorBidi"/>
      <w:color w:val="243F60" w:themeColor="accent1" w:themeShade="7F"/>
      <w:sz w:val="24"/>
      <w:szCs w:val="24"/>
      <w:lang w:eastAsia="ja-JP"/>
    </w:rPr>
  </w:style>
  <w:style w:type="character" w:customStyle="1" w:styleId="Nadpis6Char">
    <w:name w:val="Nadpis 6 Char"/>
    <w:basedOn w:val="Standardnpsmoodstavce"/>
    <w:link w:val="Nadpis6"/>
    <w:uiPriority w:val="9"/>
    <w:semiHidden/>
    <w:rsid w:val="005D35E5"/>
    <w:rPr>
      <w:rFonts w:asciiTheme="majorHAnsi" w:eastAsiaTheme="majorEastAsia" w:hAnsiTheme="majorHAnsi" w:cstheme="majorBidi"/>
      <w:i/>
      <w:iCs/>
      <w:color w:val="243F60" w:themeColor="accent1" w:themeShade="7F"/>
      <w:sz w:val="24"/>
      <w:szCs w:val="24"/>
      <w:lang w:eastAsia="ja-JP"/>
    </w:rPr>
  </w:style>
  <w:style w:type="character" w:customStyle="1" w:styleId="Nadpis7Char">
    <w:name w:val="Nadpis 7 Char"/>
    <w:basedOn w:val="Standardnpsmoodstavce"/>
    <w:link w:val="Nadpis7"/>
    <w:uiPriority w:val="9"/>
    <w:semiHidden/>
    <w:rsid w:val="005D35E5"/>
    <w:rPr>
      <w:rFonts w:asciiTheme="majorHAnsi" w:eastAsiaTheme="majorEastAsia" w:hAnsiTheme="majorHAnsi" w:cstheme="majorBidi"/>
      <w:i/>
      <w:iCs/>
      <w:color w:val="404040" w:themeColor="text1" w:themeTint="BF"/>
      <w:sz w:val="24"/>
      <w:szCs w:val="24"/>
      <w:lang w:eastAsia="ja-JP"/>
    </w:rPr>
  </w:style>
  <w:style w:type="character" w:customStyle="1" w:styleId="Nadpis8Char">
    <w:name w:val="Nadpis 8 Char"/>
    <w:basedOn w:val="Standardnpsmoodstavce"/>
    <w:link w:val="Nadpis8"/>
    <w:uiPriority w:val="9"/>
    <w:semiHidden/>
    <w:rsid w:val="005D35E5"/>
    <w:rPr>
      <w:rFonts w:asciiTheme="majorHAnsi" w:eastAsiaTheme="majorEastAsia" w:hAnsiTheme="majorHAnsi" w:cstheme="majorBidi"/>
      <w:color w:val="404040" w:themeColor="text1" w:themeTint="BF"/>
      <w:sz w:val="20"/>
      <w:szCs w:val="20"/>
      <w:lang w:eastAsia="ja-JP"/>
    </w:rPr>
  </w:style>
  <w:style w:type="character" w:customStyle="1" w:styleId="Nadpis9Char">
    <w:name w:val="Nadpis 9 Char"/>
    <w:basedOn w:val="Standardnpsmoodstavce"/>
    <w:link w:val="Nadpis9"/>
    <w:uiPriority w:val="9"/>
    <w:semiHidden/>
    <w:rsid w:val="005D35E5"/>
    <w:rPr>
      <w:rFonts w:asciiTheme="majorHAnsi" w:eastAsiaTheme="majorEastAsia" w:hAnsiTheme="majorHAnsi" w:cstheme="majorBidi"/>
      <w:i/>
      <w:iCs/>
      <w:color w:val="404040" w:themeColor="text1" w:themeTint="BF"/>
      <w:sz w:val="20"/>
      <w:szCs w:val="20"/>
      <w:lang w:eastAsia="ja-JP"/>
    </w:rPr>
  </w:style>
  <w:style w:type="paragraph" w:styleId="Zpat">
    <w:name w:val="footer"/>
    <w:basedOn w:val="Normln"/>
    <w:link w:val="ZpatChar"/>
    <w:uiPriority w:val="99"/>
    <w:unhideWhenUsed/>
    <w:rsid w:val="005D35E5"/>
    <w:pPr>
      <w:tabs>
        <w:tab w:val="center" w:pos="4320"/>
        <w:tab w:val="right" w:pos="8640"/>
      </w:tabs>
      <w:spacing w:after="0"/>
    </w:pPr>
  </w:style>
  <w:style w:type="character" w:customStyle="1" w:styleId="ZpatChar">
    <w:name w:val="Zápatí Char"/>
    <w:basedOn w:val="Standardnpsmoodstavce"/>
    <w:link w:val="Zpat"/>
    <w:uiPriority w:val="99"/>
    <w:rsid w:val="005D35E5"/>
    <w:rPr>
      <w:rFonts w:ascii="Cambria" w:eastAsia="MS Mincho" w:hAnsi="Cambria" w:cs="Times New Roman"/>
      <w:sz w:val="24"/>
      <w:szCs w:val="24"/>
      <w:lang w:val="en-US" w:eastAsia="ja-JP"/>
    </w:rPr>
  </w:style>
  <w:style w:type="paragraph" w:customStyle="1" w:styleId="Zkladnodstavec">
    <w:name w:val="[Základní odstavec]"/>
    <w:basedOn w:val="Normln"/>
    <w:uiPriority w:val="99"/>
    <w:rsid w:val="005D35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Odstavecseseznamem">
    <w:name w:val="List Paragraph"/>
    <w:aliases w:val="Nad,Odstavec cíl se seznamem,Odstavec se seznamem5,List Paragraph,Odstavec_muj,Odrážky"/>
    <w:basedOn w:val="Normln"/>
    <w:link w:val="OdstavecseseznamemChar"/>
    <w:uiPriority w:val="34"/>
    <w:qFormat/>
    <w:rsid w:val="005D35E5"/>
    <w:pPr>
      <w:ind w:left="720"/>
      <w:contextualSpacing/>
    </w:pPr>
  </w:style>
  <w:style w:type="paragraph" w:customStyle="1" w:styleId="PravidlaA">
    <w:name w:val="Pravidla A"/>
    <w:basedOn w:val="Nadpis1"/>
    <w:qFormat/>
    <w:rsid w:val="00BE7ACD"/>
    <w:rPr>
      <w:rFonts w:asciiTheme="majorHAnsi" w:hAnsiTheme="majorHAnsi"/>
    </w:rPr>
  </w:style>
  <w:style w:type="character" w:styleId="Odkaznakoment">
    <w:name w:val="annotation reference"/>
    <w:aliases w:val="Značka poznámky"/>
    <w:basedOn w:val="Standardnpsmoodstavce"/>
    <w:uiPriority w:val="99"/>
    <w:semiHidden/>
    <w:unhideWhenUsed/>
    <w:rsid w:val="005D35E5"/>
    <w:rPr>
      <w:sz w:val="16"/>
      <w:szCs w:val="16"/>
    </w:rPr>
  </w:style>
  <w:style w:type="paragraph" w:styleId="Textkomente">
    <w:name w:val="annotation text"/>
    <w:aliases w:val="Text poznámky"/>
    <w:basedOn w:val="Normln"/>
    <w:link w:val="TextkomenteChar"/>
    <w:uiPriority w:val="99"/>
    <w:unhideWhenUsed/>
    <w:rsid w:val="005D35E5"/>
    <w:rPr>
      <w:sz w:val="20"/>
      <w:szCs w:val="20"/>
    </w:rPr>
  </w:style>
  <w:style w:type="character" w:customStyle="1" w:styleId="TextkomenteChar">
    <w:name w:val="Text komentáře Char"/>
    <w:aliases w:val="Text poznámky Char"/>
    <w:basedOn w:val="Standardnpsmoodstavce"/>
    <w:link w:val="Textkomente"/>
    <w:uiPriority w:val="99"/>
    <w:rsid w:val="005D35E5"/>
    <w:rPr>
      <w:rFonts w:ascii="Cambria" w:eastAsia="MS Mincho" w:hAnsi="Cambria" w:cs="Times New Roman"/>
      <w:sz w:val="20"/>
      <w:szCs w:val="20"/>
      <w:lang w:val="en-US" w:eastAsia="ja-JP"/>
    </w:rPr>
  </w:style>
  <w:style w:type="table" w:styleId="Mkatabulky">
    <w:name w:val="Table Grid"/>
    <w:basedOn w:val="Normlntabulka"/>
    <w:rsid w:val="005D35E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5D35E5"/>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D35E5"/>
    <w:rPr>
      <w:rFonts w:ascii="Tahoma" w:eastAsia="MS Mincho" w:hAnsi="Tahoma" w:cs="Tahoma"/>
      <w:sz w:val="16"/>
      <w:szCs w:val="16"/>
      <w:lang w:val="en-US" w:eastAsia="ja-JP"/>
    </w:rPr>
  </w:style>
  <w:style w:type="paragraph" w:styleId="Zhlav">
    <w:name w:val="header"/>
    <w:basedOn w:val="Normln"/>
    <w:link w:val="ZhlavChar"/>
    <w:uiPriority w:val="99"/>
    <w:unhideWhenUsed/>
    <w:rsid w:val="00134399"/>
    <w:pPr>
      <w:tabs>
        <w:tab w:val="center" w:pos="4536"/>
        <w:tab w:val="right" w:pos="9072"/>
      </w:tabs>
      <w:spacing w:after="0"/>
    </w:pPr>
  </w:style>
  <w:style w:type="character" w:customStyle="1" w:styleId="ZhlavChar">
    <w:name w:val="Záhlaví Char"/>
    <w:basedOn w:val="Standardnpsmoodstavce"/>
    <w:link w:val="Zhlav"/>
    <w:uiPriority w:val="99"/>
    <w:rsid w:val="00134399"/>
    <w:rPr>
      <w:rFonts w:ascii="Cambria" w:eastAsia="MS Mincho" w:hAnsi="Cambria" w:cs="Times New Roman"/>
      <w:sz w:val="24"/>
      <w:szCs w:val="24"/>
      <w:lang w:val="en-US" w:eastAsia="ja-JP"/>
    </w:rPr>
  </w:style>
  <w:style w:type="paragraph" w:styleId="Pedmtkomente">
    <w:name w:val="annotation subject"/>
    <w:basedOn w:val="Textkomente"/>
    <w:next w:val="Textkomente"/>
    <w:link w:val="PedmtkomenteChar"/>
    <w:uiPriority w:val="99"/>
    <w:semiHidden/>
    <w:unhideWhenUsed/>
    <w:rsid w:val="00BC6A53"/>
    <w:rPr>
      <w:b/>
      <w:bCs/>
    </w:rPr>
  </w:style>
  <w:style w:type="character" w:customStyle="1" w:styleId="PedmtkomenteChar">
    <w:name w:val="Předmět komentáře Char"/>
    <w:basedOn w:val="TextkomenteChar"/>
    <w:link w:val="Pedmtkomente"/>
    <w:uiPriority w:val="99"/>
    <w:semiHidden/>
    <w:rsid w:val="00BC6A53"/>
    <w:rPr>
      <w:rFonts w:ascii="Cambria" w:eastAsia="MS Mincho" w:hAnsi="Cambria" w:cs="Times New Roman"/>
      <w:b/>
      <w:bCs/>
      <w:sz w:val="20"/>
      <w:szCs w:val="20"/>
      <w:lang w:val="en-US" w:eastAsia="ja-JP"/>
    </w:rPr>
  </w:style>
  <w:style w:type="paragraph" w:customStyle="1" w:styleId="Pravidla1">
    <w:name w:val="Pravidla 1"/>
    <w:basedOn w:val="Nadpis1"/>
    <w:link w:val="Pravidla1Char"/>
    <w:qFormat/>
    <w:rsid w:val="00BE7ACD"/>
    <w:rPr>
      <w:rFonts w:asciiTheme="majorHAnsi" w:hAnsiTheme="majorHAnsi"/>
    </w:rPr>
  </w:style>
  <w:style w:type="paragraph" w:customStyle="1" w:styleId="Pravidla11">
    <w:name w:val="Pravidla 1.1."/>
    <w:basedOn w:val="Pravidla1"/>
    <w:link w:val="Pravidla11Char"/>
    <w:uiPriority w:val="99"/>
    <w:qFormat/>
    <w:rsid w:val="00BE7ACD"/>
    <w:rPr>
      <w:rFonts w:cs="Arial"/>
      <w:sz w:val="28"/>
    </w:rPr>
  </w:style>
  <w:style w:type="character" w:customStyle="1" w:styleId="Pravidla1Char">
    <w:name w:val="Pravidla 1 Char"/>
    <w:basedOn w:val="Nadpis1Char"/>
    <w:link w:val="Pravidla1"/>
    <w:rsid w:val="00BE7ACD"/>
    <w:rPr>
      <w:rFonts w:asciiTheme="majorHAnsi" w:eastAsiaTheme="majorEastAsia" w:hAnsiTheme="majorHAnsi" w:cstheme="majorBidi"/>
      <w:b/>
      <w:bCs/>
      <w:color w:val="000000" w:themeColor="text1"/>
      <w:sz w:val="36"/>
      <w:szCs w:val="28"/>
      <w:lang w:eastAsia="ja-JP"/>
    </w:rPr>
  </w:style>
  <w:style w:type="paragraph" w:customStyle="1" w:styleId="Pravidla111">
    <w:name w:val="Pravidla 1.1.1."/>
    <w:basedOn w:val="Nadpis3"/>
    <w:link w:val="Pravidla111Char"/>
    <w:qFormat/>
    <w:rsid w:val="00C2115B"/>
  </w:style>
  <w:style w:type="character" w:customStyle="1" w:styleId="Pravidla11Char">
    <w:name w:val="Pravidla 1.1. Char"/>
    <w:basedOn w:val="Nadpis2Char"/>
    <w:link w:val="Pravidla11"/>
    <w:uiPriority w:val="99"/>
    <w:rsid w:val="00BE7ACD"/>
    <w:rPr>
      <w:rFonts w:asciiTheme="majorHAnsi" w:eastAsiaTheme="majorEastAsia" w:hAnsiTheme="majorHAnsi" w:cs="Arial"/>
      <w:b/>
      <w:bCs/>
      <w:color w:val="000000" w:themeColor="text1"/>
      <w:sz w:val="28"/>
      <w:szCs w:val="28"/>
      <w:lang w:eastAsia="ja-JP"/>
    </w:rPr>
  </w:style>
  <w:style w:type="character" w:customStyle="1" w:styleId="Pravidla111Char">
    <w:name w:val="Pravidla 1.1.1. Char"/>
    <w:basedOn w:val="Nadpis3Char"/>
    <w:link w:val="Pravidla111"/>
    <w:rsid w:val="00C2115B"/>
    <w:rPr>
      <w:rFonts w:asciiTheme="majorHAnsi" w:eastAsiaTheme="majorEastAsia" w:hAnsiTheme="majorHAnsi" w:cstheme="majorBidi"/>
      <w:b/>
      <w:bCs/>
      <w:sz w:val="24"/>
      <w:szCs w:val="24"/>
      <w:lang w:eastAsia="ja-JP"/>
    </w:rPr>
  </w:style>
  <w:style w:type="table" w:styleId="Stednmka3zvraznn3">
    <w:name w:val="Medium Grid 3 Accent 3"/>
    <w:basedOn w:val="Normlntabulka"/>
    <w:uiPriority w:val="69"/>
    <w:rsid w:val="000616B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Revize">
    <w:name w:val="Revision"/>
    <w:hidden/>
    <w:uiPriority w:val="99"/>
    <w:semiHidden/>
    <w:rsid w:val="00F9255E"/>
    <w:pPr>
      <w:spacing w:after="0" w:line="240" w:lineRule="auto"/>
    </w:pPr>
    <w:rPr>
      <w:rFonts w:ascii="Cambria" w:eastAsia="MS Mincho" w:hAnsi="Cambria" w:cs="Times New Roman"/>
      <w:sz w:val="24"/>
      <w:szCs w:val="24"/>
      <w:lang w:eastAsia="ja-JP"/>
    </w:rPr>
  </w:style>
  <w:style w:type="paragraph" w:styleId="Titulek">
    <w:name w:val="caption"/>
    <w:basedOn w:val="Normln"/>
    <w:next w:val="Normln"/>
    <w:uiPriority w:val="35"/>
    <w:unhideWhenUsed/>
    <w:qFormat/>
    <w:rsid w:val="00917052"/>
    <w:pPr>
      <w:jc w:val="both"/>
    </w:pPr>
    <w:rPr>
      <w:rFonts w:ascii="Arial" w:eastAsia="Times New Roman" w:hAnsi="Arial" w:cs="Arial"/>
      <w:b/>
      <w:bCs/>
      <w:color w:val="4F81BD" w:themeColor="accent1"/>
      <w:sz w:val="18"/>
      <w:szCs w:val="18"/>
      <w:lang w:eastAsia="cs-CZ"/>
    </w:rPr>
  </w:style>
  <w:style w:type="paragraph" w:styleId="Obsah1">
    <w:name w:val="toc 1"/>
    <w:basedOn w:val="Normln"/>
    <w:next w:val="Normln"/>
    <w:autoRedefine/>
    <w:uiPriority w:val="39"/>
    <w:unhideWhenUsed/>
    <w:rsid w:val="00F64B9F"/>
    <w:pPr>
      <w:spacing w:after="100"/>
    </w:pPr>
  </w:style>
  <w:style w:type="paragraph" w:styleId="Obsah3">
    <w:name w:val="toc 3"/>
    <w:basedOn w:val="Normln"/>
    <w:next w:val="Normln"/>
    <w:autoRedefine/>
    <w:uiPriority w:val="39"/>
    <w:unhideWhenUsed/>
    <w:rsid w:val="00F64B9F"/>
    <w:pPr>
      <w:spacing w:after="100"/>
      <w:ind w:left="480"/>
    </w:pPr>
  </w:style>
  <w:style w:type="character" w:styleId="Hypertextovodkaz">
    <w:name w:val="Hyperlink"/>
    <w:basedOn w:val="Standardnpsmoodstavce"/>
    <w:uiPriority w:val="99"/>
    <w:unhideWhenUsed/>
    <w:rsid w:val="00F64B9F"/>
    <w:rPr>
      <w:color w:val="0000FF" w:themeColor="hyperlink"/>
      <w:u w:val="single"/>
    </w:rPr>
  </w:style>
  <w:style w:type="character" w:customStyle="1" w:styleId="OdstavecseseznamemChar">
    <w:name w:val="Odstavec se seznamem Char"/>
    <w:aliases w:val="Nad Char,Odstavec cíl se seznamem Char,Odstavec se seznamem5 Char,List Paragraph Char,Odstavec_muj Char,Odrážky Char"/>
    <w:basedOn w:val="Standardnpsmoodstavce"/>
    <w:link w:val="Odstavecseseznamem"/>
    <w:uiPriority w:val="34"/>
    <w:locked/>
    <w:rsid w:val="00674B31"/>
    <w:rPr>
      <w:rFonts w:ascii="Cambria" w:eastAsia="MS Mincho" w:hAnsi="Cambria" w:cs="Times New Roman"/>
      <w:sz w:val="24"/>
      <w:szCs w:val="24"/>
      <w:lang w:eastAsia="ja-JP"/>
    </w:rPr>
  </w:style>
  <w:style w:type="paragraph" w:customStyle="1" w:styleId="Nadpis11">
    <w:name w:val="Nadpis 11"/>
    <w:basedOn w:val="Normln"/>
    <w:next w:val="Normln"/>
    <w:uiPriority w:val="1"/>
    <w:qFormat/>
    <w:rsid w:val="00674B31"/>
    <w:pPr>
      <w:widowControl w:val="0"/>
      <w:spacing w:before="28" w:after="0"/>
      <w:ind w:left="411" w:hanging="360"/>
      <w:outlineLvl w:val="1"/>
    </w:pPr>
    <w:rPr>
      <w:rFonts w:ascii="Calibri" w:eastAsia="Calibri" w:hAnsi="Calibri" w:cstheme="minorBidi"/>
      <w:b/>
      <w:bCs/>
      <w:sz w:val="20"/>
      <w:szCs w:val="20"/>
      <w:lang w:val="en-US" w:eastAsia="en-US"/>
    </w:rPr>
  </w:style>
  <w:style w:type="paragraph" w:styleId="Textpoznpodarou">
    <w:name w:val="footnote text"/>
    <w:basedOn w:val="Normln"/>
    <w:link w:val="TextpoznpodarouChar"/>
    <w:uiPriority w:val="99"/>
    <w:semiHidden/>
    <w:unhideWhenUsed/>
    <w:rsid w:val="00674B31"/>
    <w:pPr>
      <w:spacing w:after="0"/>
    </w:pPr>
    <w:rPr>
      <w:sz w:val="20"/>
      <w:szCs w:val="20"/>
    </w:rPr>
  </w:style>
  <w:style w:type="character" w:customStyle="1" w:styleId="TextpoznpodarouChar">
    <w:name w:val="Text pozn. pod čarou Char"/>
    <w:basedOn w:val="Standardnpsmoodstavce"/>
    <w:link w:val="Textpoznpodarou"/>
    <w:uiPriority w:val="99"/>
    <w:semiHidden/>
    <w:rsid w:val="00674B31"/>
    <w:rPr>
      <w:rFonts w:ascii="Cambria" w:eastAsia="MS Mincho" w:hAnsi="Cambria" w:cs="Times New Roman"/>
      <w:sz w:val="20"/>
      <w:szCs w:val="20"/>
      <w:lang w:eastAsia="ja-JP"/>
    </w:rPr>
  </w:style>
  <w:style w:type="character" w:styleId="Znakapoznpodarou">
    <w:name w:val="footnote reference"/>
    <w:basedOn w:val="Standardnpsmoodstavce"/>
    <w:uiPriority w:val="99"/>
    <w:semiHidden/>
    <w:unhideWhenUsed/>
    <w:rsid w:val="00674B31"/>
    <w:rPr>
      <w:vertAlign w:val="superscript"/>
    </w:rPr>
  </w:style>
  <w:style w:type="paragraph" w:customStyle="1" w:styleId="Odrkya">
    <w:name w:val="Odrážky_a)"/>
    <w:basedOn w:val="Odstavecseseznamem"/>
    <w:link w:val="OdrkyaChar"/>
    <w:qFormat/>
    <w:rsid w:val="00674B31"/>
    <w:pPr>
      <w:numPr>
        <w:numId w:val="1"/>
      </w:numPr>
      <w:spacing w:before="120" w:after="120" w:line="360" w:lineRule="auto"/>
    </w:pPr>
    <w:rPr>
      <w:rFonts w:ascii="Arial" w:eastAsiaTheme="minorHAnsi" w:hAnsi="Arial" w:cs="Arial"/>
      <w:sz w:val="20"/>
      <w:szCs w:val="20"/>
      <w:lang w:eastAsia="en-US"/>
    </w:rPr>
  </w:style>
  <w:style w:type="character" w:customStyle="1" w:styleId="OdrkyaChar">
    <w:name w:val="Odrážky_a) Char"/>
    <w:basedOn w:val="Standardnpsmoodstavce"/>
    <w:link w:val="Odrkya"/>
    <w:rsid w:val="00674B31"/>
    <w:rPr>
      <w:rFonts w:ascii="Arial" w:hAnsi="Arial" w:cs="Arial"/>
      <w:sz w:val="20"/>
      <w:szCs w:val="20"/>
    </w:rPr>
  </w:style>
  <w:style w:type="paragraph" w:customStyle="1" w:styleId="odr1">
    <w:name w:val="odr 1"/>
    <w:basedOn w:val="Normln"/>
    <w:link w:val="odr1CharChar"/>
    <w:rsid w:val="00674B31"/>
    <w:pPr>
      <w:numPr>
        <w:numId w:val="2"/>
      </w:numPr>
      <w:spacing w:after="120"/>
      <w:ind w:left="357" w:hanging="357"/>
      <w:jc w:val="both"/>
    </w:pPr>
    <w:rPr>
      <w:rFonts w:asciiTheme="minorHAnsi" w:eastAsia="Times New Roman" w:hAnsiTheme="minorHAnsi"/>
      <w:snapToGrid w:val="0"/>
      <w:color w:val="000000"/>
      <w:sz w:val="22"/>
      <w:lang w:eastAsia="cs-CZ"/>
    </w:rPr>
  </w:style>
  <w:style w:type="character" w:customStyle="1" w:styleId="odr1CharChar">
    <w:name w:val="odr 1 Char Char"/>
    <w:basedOn w:val="Standardnpsmoodstavce"/>
    <w:link w:val="odr1"/>
    <w:rsid w:val="00674B31"/>
    <w:rPr>
      <w:rFonts w:eastAsia="Times New Roman" w:cs="Times New Roman"/>
      <w:snapToGrid w:val="0"/>
      <w:color w:val="000000"/>
      <w:szCs w:val="24"/>
      <w:lang w:eastAsia="cs-CZ"/>
    </w:rPr>
  </w:style>
  <w:style w:type="paragraph" w:customStyle="1" w:styleId="NormlnIROP">
    <w:name w:val="Normální IROP"/>
    <w:basedOn w:val="Normln"/>
    <w:link w:val="NormlnIROPChar"/>
    <w:uiPriority w:val="99"/>
    <w:qFormat/>
    <w:rsid w:val="00674B31"/>
    <w:pPr>
      <w:spacing w:after="240" w:line="312" w:lineRule="auto"/>
      <w:jc w:val="both"/>
    </w:pPr>
    <w:rPr>
      <w:rFonts w:ascii="Times New Roman" w:eastAsia="Times New Roman" w:hAnsi="Times New Roman"/>
      <w:szCs w:val="22"/>
      <w:lang w:eastAsia="cs-CZ"/>
    </w:rPr>
  </w:style>
  <w:style w:type="character" w:customStyle="1" w:styleId="NormlnIROPChar">
    <w:name w:val="Normální IROP Char"/>
    <w:link w:val="NormlnIROP"/>
    <w:uiPriority w:val="99"/>
    <w:rsid w:val="00674B31"/>
    <w:rPr>
      <w:rFonts w:ascii="Times New Roman" w:eastAsia="Times New Roman" w:hAnsi="Times New Roman" w:cs="Times New Roman"/>
      <w:sz w:val="24"/>
      <w:lang w:eastAsia="cs-CZ"/>
    </w:rPr>
  </w:style>
  <w:style w:type="paragraph" w:customStyle="1" w:styleId="Default">
    <w:name w:val="Default"/>
    <w:rsid w:val="00761537"/>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4F6FE0"/>
    <w:pPr>
      <w:spacing w:after="150" w:line="312" w:lineRule="atLeast"/>
    </w:pPr>
    <w:rPr>
      <w:rFonts w:ascii="Times New Roman" w:eastAsia="Times New Roman" w:hAnsi="Times New Roman"/>
      <w:color w:val="575757"/>
      <w:sz w:val="23"/>
      <w:szCs w:val="23"/>
      <w:lang w:eastAsia="cs-CZ"/>
    </w:rPr>
  </w:style>
  <w:style w:type="paragraph" w:styleId="Textvysvtlivek">
    <w:name w:val="endnote text"/>
    <w:basedOn w:val="Normln"/>
    <w:link w:val="TextvysvtlivekChar"/>
    <w:uiPriority w:val="99"/>
    <w:semiHidden/>
    <w:unhideWhenUsed/>
    <w:rsid w:val="00EF48FC"/>
    <w:pPr>
      <w:spacing w:after="0"/>
    </w:pPr>
    <w:rPr>
      <w:sz w:val="20"/>
      <w:szCs w:val="20"/>
    </w:rPr>
  </w:style>
  <w:style w:type="character" w:customStyle="1" w:styleId="TextvysvtlivekChar">
    <w:name w:val="Text vysvětlivek Char"/>
    <w:basedOn w:val="Standardnpsmoodstavce"/>
    <w:link w:val="Textvysvtlivek"/>
    <w:uiPriority w:val="99"/>
    <w:semiHidden/>
    <w:rsid w:val="00EF48FC"/>
    <w:rPr>
      <w:rFonts w:ascii="Cambria" w:eastAsia="MS Mincho" w:hAnsi="Cambria" w:cs="Times New Roman"/>
      <w:sz w:val="20"/>
      <w:szCs w:val="20"/>
      <w:lang w:eastAsia="ja-JP"/>
    </w:rPr>
  </w:style>
  <w:style w:type="character" w:styleId="Odkaznavysvtlivky">
    <w:name w:val="endnote reference"/>
    <w:basedOn w:val="Standardnpsmoodstavce"/>
    <w:uiPriority w:val="99"/>
    <w:semiHidden/>
    <w:unhideWhenUsed/>
    <w:rsid w:val="00EF48FC"/>
    <w:rPr>
      <w:vertAlign w:val="superscript"/>
    </w:rPr>
  </w:style>
  <w:style w:type="paragraph" w:styleId="Obsah2">
    <w:name w:val="toc 2"/>
    <w:basedOn w:val="Normln"/>
    <w:next w:val="Normln"/>
    <w:autoRedefine/>
    <w:uiPriority w:val="39"/>
    <w:unhideWhenUsed/>
    <w:rsid w:val="00BD3278"/>
    <w:pPr>
      <w:spacing w:after="100"/>
      <w:ind w:left="240"/>
    </w:pPr>
  </w:style>
  <w:style w:type="character" w:styleId="Zstupntext">
    <w:name w:val="Placeholder Text"/>
    <w:basedOn w:val="Standardnpsmoodstavce"/>
    <w:uiPriority w:val="99"/>
    <w:semiHidden/>
    <w:rsid w:val="00C33F9A"/>
    <w:rPr>
      <w:color w:val="808080"/>
    </w:rPr>
  </w:style>
  <w:style w:type="paragraph" w:customStyle="1" w:styleId="Heading4Palatinoks">
    <w:name w:val="Heading 4 Palatino ks"/>
    <w:next w:val="Normln"/>
    <w:autoRedefine/>
    <w:rsid w:val="007A29A4"/>
    <w:pPr>
      <w:suppressAutoHyphens/>
      <w:spacing w:after="0"/>
      <w:jc w:val="both"/>
    </w:pPr>
    <w:rPr>
      <w:rFonts w:asciiTheme="majorHAnsi" w:eastAsia="MS Mincho" w:hAnsiTheme="majorHAnsi" w:cs="Arial"/>
      <w:color w:val="00000A"/>
      <w:sz w:val="24"/>
      <w:szCs w:val="24"/>
      <w:lang w:eastAsia="ja-JP"/>
    </w:rPr>
  </w:style>
  <w:style w:type="character" w:styleId="Sledovanodkaz">
    <w:name w:val="FollowedHyperlink"/>
    <w:basedOn w:val="Standardnpsmoodstavce"/>
    <w:uiPriority w:val="99"/>
    <w:semiHidden/>
    <w:unhideWhenUsed/>
    <w:rsid w:val="003A7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551">
      <w:bodyDiv w:val="1"/>
      <w:marLeft w:val="0"/>
      <w:marRight w:val="0"/>
      <w:marTop w:val="0"/>
      <w:marBottom w:val="0"/>
      <w:divBdr>
        <w:top w:val="none" w:sz="0" w:space="0" w:color="auto"/>
        <w:left w:val="none" w:sz="0" w:space="0" w:color="auto"/>
        <w:bottom w:val="none" w:sz="0" w:space="0" w:color="auto"/>
        <w:right w:val="none" w:sz="0" w:space="0" w:color="auto"/>
      </w:divBdr>
    </w:div>
    <w:div w:id="205484677">
      <w:bodyDiv w:val="1"/>
      <w:marLeft w:val="0"/>
      <w:marRight w:val="0"/>
      <w:marTop w:val="0"/>
      <w:marBottom w:val="0"/>
      <w:divBdr>
        <w:top w:val="none" w:sz="0" w:space="0" w:color="auto"/>
        <w:left w:val="none" w:sz="0" w:space="0" w:color="auto"/>
        <w:bottom w:val="none" w:sz="0" w:space="0" w:color="auto"/>
        <w:right w:val="none" w:sz="0" w:space="0" w:color="auto"/>
      </w:divBdr>
    </w:div>
    <w:div w:id="377706172">
      <w:bodyDiv w:val="1"/>
      <w:marLeft w:val="0"/>
      <w:marRight w:val="0"/>
      <w:marTop w:val="0"/>
      <w:marBottom w:val="0"/>
      <w:divBdr>
        <w:top w:val="none" w:sz="0" w:space="0" w:color="auto"/>
        <w:left w:val="none" w:sz="0" w:space="0" w:color="auto"/>
        <w:bottom w:val="none" w:sz="0" w:space="0" w:color="auto"/>
        <w:right w:val="none" w:sz="0" w:space="0" w:color="auto"/>
      </w:divBdr>
      <w:divsChild>
        <w:div w:id="1430395798">
          <w:marLeft w:val="0"/>
          <w:marRight w:val="0"/>
          <w:marTop w:val="0"/>
          <w:marBottom w:val="0"/>
          <w:divBdr>
            <w:top w:val="none" w:sz="0" w:space="0" w:color="auto"/>
            <w:left w:val="none" w:sz="0" w:space="0" w:color="auto"/>
            <w:bottom w:val="none" w:sz="0" w:space="0" w:color="auto"/>
            <w:right w:val="none" w:sz="0" w:space="0" w:color="auto"/>
          </w:divBdr>
        </w:div>
        <w:div w:id="1492788975">
          <w:marLeft w:val="0"/>
          <w:marRight w:val="0"/>
          <w:marTop w:val="0"/>
          <w:marBottom w:val="0"/>
          <w:divBdr>
            <w:top w:val="none" w:sz="0" w:space="0" w:color="auto"/>
            <w:left w:val="none" w:sz="0" w:space="0" w:color="auto"/>
            <w:bottom w:val="none" w:sz="0" w:space="0" w:color="auto"/>
            <w:right w:val="none" w:sz="0" w:space="0" w:color="auto"/>
          </w:divBdr>
        </w:div>
        <w:div w:id="956448311">
          <w:marLeft w:val="0"/>
          <w:marRight w:val="0"/>
          <w:marTop w:val="0"/>
          <w:marBottom w:val="0"/>
          <w:divBdr>
            <w:top w:val="none" w:sz="0" w:space="0" w:color="auto"/>
            <w:left w:val="none" w:sz="0" w:space="0" w:color="auto"/>
            <w:bottom w:val="none" w:sz="0" w:space="0" w:color="auto"/>
            <w:right w:val="none" w:sz="0" w:space="0" w:color="auto"/>
          </w:divBdr>
        </w:div>
        <w:div w:id="1613246451">
          <w:marLeft w:val="0"/>
          <w:marRight w:val="0"/>
          <w:marTop w:val="0"/>
          <w:marBottom w:val="0"/>
          <w:divBdr>
            <w:top w:val="none" w:sz="0" w:space="0" w:color="auto"/>
            <w:left w:val="none" w:sz="0" w:space="0" w:color="auto"/>
            <w:bottom w:val="none" w:sz="0" w:space="0" w:color="auto"/>
            <w:right w:val="none" w:sz="0" w:space="0" w:color="auto"/>
          </w:divBdr>
        </w:div>
        <w:div w:id="137967207">
          <w:marLeft w:val="0"/>
          <w:marRight w:val="0"/>
          <w:marTop w:val="0"/>
          <w:marBottom w:val="0"/>
          <w:divBdr>
            <w:top w:val="none" w:sz="0" w:space="0" w:color="auto"/>
            <w:left w:val="none" w:sz="0" w:space="0" w:color="auto"/>
            <w:bottom w:val="none" w:sz="0" w:space="0" w:color="auto"/>
            <w:right w:val="none" w:sz="0" w:space="0" w:color="auto"/>
          </w:divBdr>
        </w:div>
        <w:div w:id="880287674">
          <w:marLeft w:val="0"/>
          <w:marRight w:val="0"/>
          <w:marTop w:val="0"/>
          <w:marBottom w:val="0"/>
          <w:divBdr>
            <w:top w:val="none" w:sz="0" w:space="0" w:color="auto"/>
            <w:left w:val="none" w:sz="0" w:space="0" w:color="auto"/>
            <w:bottom w:val="none" w:sz="0" w:space="0" w:color="auto"/>
            <w:right w:val="none" w:sz="0" w:space="0" w:color="auto"/>
          </w:divBdr>
        </w:div>
        <w:div w:id="832334701">
          <w:marLeft w:val="0"/>
          <w:marRight w:val="0"/>
          <w:marTop w:val="0"/>
          <w:marBottom w:val="0"/>
          <w:divBdr>
            <w:top w:val="none" w:sz="0" w:space="0" w:color="auto"/>
            <w:left w:val="none" w:sz="0" w:space="0" w:color="auto"/>
            <w:bottom w:val="none" w:sz="0" w:space="0" w:color="auto"/>
            <w:right w:val="none" w:sz="0" w:space="0" w:color="auto"/>
          </w:divBdr>
        </w:div>
        <w:div w:id="1488858152">
          <w:marLeft w:val="0"/>
          <w:marRight w:val="0"/>
          <w:marTop w:val="0"/>
          <w:marBottom w:val="0"/>
          <w:divBdr>
            <w:top w:val="none" w:sz="0" w:space="0" w:color="auto"/>
            <w:left w:val="none" w:sz="0" w:space="0" w:color="auto"/>
            <w:bottom w:val="none" w:sz="0" w:space="0" w:color="auto"/>
            <w:right w:val="none" w:sz="0" w:space="0" w:color="auto"/>
          </w:divBdr>
        </w:div>
        <w:div w:id="74210409">
          <w:marLeft w:val="0"/>
          <w:marRight w:val="0"/>
          <w:marTop w:val="0"/>
          <w:marBottom w:val="0"/>
          <w:divBdr>
            <w:top w:val="none" w:sz="0" w:space="0" w:color="auto"/>
            <w:left w:val="none" w:sz="0" w:space="0" w:color="auto"/>
            <w:bottom w:val="none" w:sz="0" w:space="0" w:color="auto"/>
            <w:right w:val="none" w:sz="0" w:space="0" w:color="auto"/>
          </w:divBdr>
        </w:div>
        <w:div w:id="1243103975">
          <w:marLeft w:val="0"/>
          <w:marRight w:val="0"/>
          <w:marTop w:val="0"/>
          <w:marBottom w:val="0"/>
          <w:divBdr>
            <w:top w:val="none" w:sz="0" w:space="0" w:color="auto"/>
            <w:left w:val="none" w:sz="0" w:space="0" w:color="auto"/>
            <w:bottom w:val="none" w:sz="0" w:space="0" w:color="auto"/>
            <w:right w:val="none" w:sz="0" w:space="0" w:color="auto"/>
          </w:divBdr>
        </w:div>
        <w:div w:id="758259998">
          <w:marLeft w:val="0"/>
          <w:marRight w:val="0"/>
          <w:marTop w:val="0"/>
          <w:marBottom w:val="0"/>
          <w:divBdr>
            <w:top w:val="none" w:sz="0" w:space="0" w:color="auto"/>
            <w:left w:val="none" w:sz="0" w:space="0" w:color="auto"/>
            <w:bottom w:val="none" w:sz="0" w:space="0" w:color="auto"/>
            <w:right w:val="none" w:sz="0" w:space="0" w:color="auto"/>
          </w:divBdr>
        </w:div>
        <w:div w:id="159005024">
          <w:marLeft w:val="0"/>
          <w:marRight w:val="0"/>
          <w:marTop w:val="0"/>
          <w:marBottom w:val="0"/>
          <w:divBdr>
            <w:top w:val="none" w:sz="0" w:space="0" w:color="auto"/>
            <w:left w:val="none" w:sz="0" w:space="0" w:color="auto"/>
            <w:bottom w:val="none" w:sz="0" w:space="0" w:color="auto"/>
            <w:right w:val="none" w:sz="0" w:space="0" w:color="auto"/>
          </w:divBdr>
        </w:div>
        <w:div w:id="648902826">
          <w:marLeft w:val="0"/>
          <w:marRight w:val="0"/>
          <w:marTop w:val="0"/>
          <w:marBottom w:val="0"/>
          <w:divBdr>
            <w:top w:val="none" w:sz="0" w:space="0" w:color="auto"/>
            <w:left w:val="none" w:sz="0" w:space="0" w:color="auto"/>
            <w:bottom w:val="none" w:sz="0" w:space="0" w:color="auto"/>
            <w:right w:val="none" w:sz="0" w:space="0" w:color="auto"/>
          </w:divBdr>
        </w:div>
        <w:div w:id="1005941709">
          <w:marLeft w:val="0"/>
          <w:marRight w:val="0"/>
          <w:marTop w:val="0"/>
          <w:marBottom w:val="0"/>
          <w:divBdr>
            <w:top w:val="none" w:sz="0" w:space="0" w:color="auto"/>
            <w:left w:val="none" w:sz="0" w:space="0" w:color="auto"/>
            <w:bottom w:val="none" w:sz="0" w:space="0" w:color="auto"/>
            <w:right w:val="none" w:sz="0" w:space="0" w:color="auto"/>
          </w:divBdr>
        </w:div>
        <w:div w:id="634725739">
          <w:marLeft w:val="0"/>
          <w:marRight w:val="0"/>
          <w:marTop w:val="0"/>
          <w:marBottom w:val="0"/>
          <w:divBdr>
            <w:top w:val="none" w:sz="0" w:space="0" w:color="auto"/>
            <w:left w:val="none" w:sz="0" w:space="0" w:color="auto"/>
            <w:bottom w:val="none" w:sz="0" w:space="0" w:color="auto"/>
            <w:right w:val="none" w:sz="0" w:space="0" w:color="auto"/>
          </w:divBdr>
        </w:div>
        <w:div w:id="294606700">
          <w:marLeft w:val="0"/>
          <w:marRight w:val="0"/>
          <w:marTop w:val="0"/>
          <w:marBottom w:val="0"/>
          <w:divBdr>
            <w:top w:val="none" w:sz="0" w:space="0" w:color="auto"/>
            <w:left w:val="none" w:sz="0" w:space="0" w:color="auto"/>
            <w:bottom w:val="none" w:sz="0" w:space="0" w:color="auto"/>
            <w:right w:val="none" w:sz="0" w:space="0" w:color="auto"/>
          </w:divBdr>
        </w:div>
        <w:div w:id="1741824053">
          <w:marLeft w:val="0"/>
          <w:marRight w:val="0"/>
          <w:marTop w:val="0"/>
          <w:marBottom w:val="0"/>
          <w:divBdr>
            <w:top w:val="none" w:sz="0" w:space="0" w:color="auto"/>
            <w:left w:val="none" w:sz="0" w:space="0" w:color="auto"/>
            <w:bottom w:val="none" w:sz="0" w:space="0" w:color="auto"/>
            <w:right w:val="none" w:sz="0" w:space="0" w:color="auto"/>
          </w:divBdr>
        </w:div>
        <w:div w:id="449323857">
          <w:marLeft w:val="0"/>
          <w:marRight w:val="0"/>
          <w:marTop w:val="0"/>
          <w:marBottom w:val="0"/>
          <w:divBdr>
            <w:top w:val="none" w:sz="0" w:space="0" w:color="auto"/>
            <w:left w:val="none" w:sz="0" w:space="0" w:color="auto"/>
            <w:bottom w:val="none" w:sz="0" w:space="0" w:color="auto"/>
            <w:right w:val="none" w:sz="0" w:space="0" w:color="auto"/>
          </w:divBdr>
        </w:div>
        <w:div w:id="1630279091">
          <w:marLeft w:val="0"/>
          <w:marRight w:val="0"/>
          <w:marTop w:val="0"/>
          <w:marBottom w:val="0"/>
          <w:divBdr>
            <w:top w:val="none" w:sz="0" w:space="0" w:color="auto"/>
            <w:left w:val="none" w:sz="0" w:space="0" w:color="auto"/>
            <w:bottom w:val="none" w:sz="0" w:space="0" w:color="auto"/>
            <w:right w:val="none" w:sz="0" w:space="0" w:color="auto"/>
          </w:divBdr>
        </w:div>
        <w:div w:id="103036543">
          <w:marLeft w:val="0"/>
          <w:marRight w:val="0"/>
          <w:marTop w:val="0"/>
          <w:marBottom w:val="0"/>
          <w:divBdr>
            <w:top w:val="none" w:sz="0" w:space="0" w:color="auto"/>
            <w:left w:val="none" w:sz="0" w:space="0" w:color="auto"/>
            <w:bottom w:val="none" w:sz="0" w:space="0" w:color="auto"/>
            <w:right w:val="none" w:sz="0" w:space="0" w:color="auto"/>
          </w:divBdr>
        </w:div>
        <w:div w:id="1215045766">
          <w:marLeft w:val="0"/>
          <w:marRight w:val="0"/>
          <w:marTop w:val="0"/>
          <w:marBottom w:val="0"/>
          <w:divBdr>
            <w:top w:val="none" w:sz="0" w:space="0" w:color="auto"/>
            <w:left w:val="none" w:sz="0" w:space="0" w:color="auto"/>
            <w:bottom w:val="none" w:sz="0" w:space="0" w:color="auto"/>
            <w:right w:val="none" w:sz="0" w:space="0" w:color="auto"/>
          </w:divBdr>
        </w:div>
        <w:div w:id="1089354768">
          <w:marLeft w:val="0"/>
          <w:marRight w:val="0"/>
          <w:marTop w:val="0"/>
          <w:marBottom w:val="0"/>
          <w:divBdr>
            <w:top w:val="none" w:sz="0" w:space="0" w:color="auto"/>
            <w:left w:val="none" w:sz="0" w:space="0" w:color="auto"/>
            <w:bottom w:val="none" w:sz="0" w:space="0" w:color="auto"/>
            <w:right w:val="none" w:sz="0" w:space="0" w:color="auto"/>
          </w:divBdr>
        </w:div>
        <w:div w:id="1501771964">
          <w:marLeft w:val="0"/>
          <w:marRight w:val="0"/>
          <w:marTop w:val="0"/>
          <w:marBottom w:val="0"/>
          <w:divBdr>
            <w:top w:val="none" w:sz="0" w:space="0" w:color="auto"/>
            <w:left w:val="none" w:sz="0" w:space="0" w:color="auto"/>
            <w:bottom w:val="none" w:sz="0" w:space="0" w:color="auto"/>
            <w:right w:val="none" w:sz="0" w:space="0" w:color="auto"/>
          </w:divBdr>
        </w:div>
        <w:div w:id="658579528">
          <w:marLeft w:val="0"/>
          <w:marRight w:val="0"/>
          <w:marTop w:val="0"/>
          <w:marBottom w:val="0"/>
          <w:divBdr>
            <w:top w:val="none" w:sz="0" w:space="0" w:color="auto"/>
            <w:left w:val="none" w:sz="0" w:space="0" w:color="auto"/>
            <w:bottom w:val="none" w:sz="0" w:space="0" w:color="auto"/>
            <w:right w:val="none" w:sz="0" w:space="0" w:color="auto"/>
          </w:divBdr>
        </w:div>
        <w:div w:id="2096972901">
          <w:marLeft w:val="0"/>
          <w:marRight w:val="0"/>
          <w:marTop w:val="0"/>
          <w:marBottom w:val="0"/>
          <w:divBdr>
            <w:top w:val="none" w:sz="0" w:space="0" w:color="auto"/>
            <w:left w:val="none" w:sz="0" w:space="0" w:color="auto"/>
            <w:bottom w:val="none" w:sz="0" w:space="0" w:color="auto"/>
            <w:right w:val="none" w:sz="0" w:space="0" w:color="auto"/>
          </w:divBdr>
        </w:div>
        <w:div w:id="29767088">
          <w:marLeft w:val="0"/>
          <w:marRight w:val="0"/>
          <w:marTop w:val="0"/>
          <w:marBottom w:val="0"/>
          <w:divBdr>
            <w:top w:val="none" w:sz="0" w:space="0" w:color="auto"/>
            <w:left w:val="none" w:sz="0" w:space="0" w:color="auto"/>
            <w:bottom w:val="none" w:sz="0" w:space="0" w:color="auto"/>
            <w:right w:val="none" w:sz="0" w:space="0" w:color="auto"/>
          </w:divBdr>
        </w:div>
        <w:div w:id="737023325">
          <w:marLeft w:val="0"/>
          <w:marRight w:val="0"/>
          <w:marTop w:val="0"/>
          <w:marBottom w:val="0"/>
          <w:divBdr>
            <w:top w:val="none" w:sz="0" w:space="0" w:color="auto"/>
            <w:left w:val="none" w:sz="0" w:space="0" w:color="auto"/>
            <w:bottom w:val="none" w:sz="0" w:space="0" w:color="auto"/>
            <w:right w:val="none" w:sz="0" w:space="0" w:color="auto"/>
          </w:divBdr>
        </w:div>
        <w:div w:id="781530657">
          <w:marLeft w:val="0"/>
          <w:marRight w:val="0"/>
          <w:marTop w:val="0"/>
          <w:marBottom w:val="0"/>
          <w:divBdr>
            <w:top w:val="none" w:sz="0" w:space="0" w:color="auto"/>
            <w:left w:val="none" w:sz="0" w:space="0" w:color="auto"/>
            <w:bottom w:val="none" w:sz="0" w:space="0" w:color="auto"/>
            <w:right w:val="none" w:sz="0" w:space="0" w:color="auto"/>
          </w:divBdr>
        </w:div>
        <w:div w:id="947661611">
          <w:marLeft w:val="0"/>
          <w:marRight w:val="0"/>
          <w:marTop w:val="0"/>
          <w:marBottom w:val="0"/>
          <w:divBdr>
            <w:top w:val="none" w:sz="0" w:space="0" w:color="auto"/>
            <w:left w:val="none" w:sz="0" w:space="0" w:color="auto"/>
            <w:bottom w:val="none" w:sz="0" w:space="0" w:color="auto"/>
            <w:right w:val="none" w:sz="0" w:space="0" w:color="auto"/>
          </w:divBdr>
        </w:div>
        <w:div w:id="593783584">
          <w:marLeft w:val="0"/>
          <w:marRight w:val="0"/>
          <w:marTop w:val="0"/>
          <w:marBottom w:val="0"/>
          <w:divBdr>
            <w:top w:val="none" w:sz="0" w:space="0" w:color="auto"/>
            <w:left w:val="none" w:sz="0" w:space="0" w:color="auto"/>
            <w:bottom w:val="none" w:sz="0" w:space="0" w:color="auto"/>
            <w:right w:val="none" w:sz="0" w:space="0" w:color="auto"/>
          </w:divBdr>
        </w:div>
        <w:div w:id="1686708729">
          <w:marLeft w:val="0"/>
          <w:marRight w:val="0"/>
          <w:marTop w:val="0"/>
          <w:marBottom w:val="0"/>
          <w:divBdr>
            <w:top w:val="none" w:sz="0" w:space="0" w:color="auto"/>
            <w:left w:val="none" w:sz="0" w:space="0" w:color="auto"/>
            <w:bottom w:val="none" w:sz="0" w:space="0" w:color="auto"/>
            <w:right w:val="none" w:sz="0" w:space="0" w:color="auto"/>
          </w:divBdr>
        </w:div>
        <w:div w:id="1388719753">
          <w:marLeft w:val="0"/>
          <w:marRight w:val="0"/>
          <w:marTop w:val="0"/>
          <w:marBottom w:val="0"/>
          <w:divBdr>
            <w:top w:val="none" w:sz="0" w:space="0" w:color="auto"/>
            <w:left w:val="none" w:sz="0" w:space="0" w:color="auto"/>
            <w:bottom w:val="none" w:sz="0" w:space="0" w:color="auto"/>
            <w:right w:val="none" w:sz="0" w:space="0" w:color="auto"/>
          </w:divBdr>
        </w:div>
        <w:div w:id="1230194441">
          <w:marLeft w:val="0"/>
          <w:marRight w:val="0"/>
          <w:marTop w:val="0"/>
          <w:marBottom w:val="0"/>
          <w:divBdr>
            <w:top w:val="none" w:sz="0" w:space="0" w:color="auto"/>
            <w:left w:val="none" w:sz="0" w:space="0" w:color="auto"/>
            <w:bottom w:val="none" w:sz="0" w:space="0" w:color="auto"/>
            <w:right w:val="none" w:sz="0" w:space="0" w:color="auto"/>
          </w:divBdr>
        </w:div>
        <w:div w:id="929969501">
          <w:marLeft w:val="0"/>
          <w:marRight w:val="0"/>
          <w:marTop w:val="0"/>
          <w:marBottom w:val="0"/>
          <w:divBdr>
            <w:top w:val="none" w:sz="0" w:space="0" w:color="auto"/>
            <w:left w:val="none" w:sz="0" w:space="0" w:color="auto"/>
            <w:bottom w:val="none" w:sz="0" w:space="0" w:color="auto"/>
            <w:right w:val="none" w:sz="0" w:space="0" w:color="auto"/>
          </w:divBdr>
        </w:div>
        <w:div w:id="1213035502">
          <w:marLeft w:val="0"/>
          <w:marRight w:val="0"/>
          <w:marTop w:val="0"/>
          <w:marBottom w:val="0"/>
          <w:divBdr>
            <w:top w:val="none" w:sz="0" w:space="0" w:color="auto"/>
            <w:left w:val="none" w:sz="0" w:space="0" w:color="auto"/>
            <w:bottom w:val="none" w:sz="0" w:space="0" w:color="auto"/>
            <w:right w:val="none" w:sz="0" w:space="0" w:color="auto"/>
          </w:divBdr>
        </w:div>
        <w:div w:id="218370319">
          <w:marLeft w:val="0"/>
          <w:marRight w:val="0"/>
          <w:marTop w:val="0"/>
          <w:marBottom w:val="0"/>
          <w:divBdr>
            <w:top w:val="none" w:sz="0" w:space="0" w:color="auto"/>
            <w:left w:val="none" w:sz="0" w:space="0" w:color="auto"/>
            <w:bottom w:val="none" w:sz="0" w:space="0" w:color="auto"/>
            <w:right w:val="none" w:sz="0" w:space="0" w:color="auto"/>
          </w:divBdr>
        </w:div>
        <w:div w:id="1780904524">
          <w:marLeft w:val="0"/>
          <w:marRight w:val="0"/>
          <w:marTop w:val="0"/>
          <w:marBottom w:val="0"/>
          <w:divBdr>
            <w:top w:val="none" w:sz="0" w:space="0" w:color="auto"/>
            <w:left w:val="none" w:sz="0" w:space="0" w:color="auto"/>
            <w:bottom w:val="none" w:sz="0" w:space="0" w:color="auto"/>
            <w:right w:val="none" w:sz="0" w:space="0" w:color="auto"/>
          </w:divBdr>
        </w:div>
        <w:div w:id="105344951">
          <w:marLeft w:val="0"/>
          <w:marRight w:val="0"/>
          <w:marTop w:val="0"/>
          <w:marBottom w:val="0"/>
          <w:divBdr>
            <w:top w:val="none" w:sz="0" w:space="0" w:color="auto"/>
            <w:left w:val="none" w:sz="0" w:space="0" w:color="auto"/>
            <w:bottom w:val="none" w:sz="0" w:space="0" w:color="auto"/>
            <w:right w:val="none" w:sz="0" w:space="0" w:color="auto"/>
          </w:divBdr>
        </w:div>
        <w:div w:id="1751921688">
          <w:marLeft w:val="0"/>
          <w:marRight w:val="0"/>
          <w:marTop w:val="0"/>
          <w:marBottom w:val="0"/>
          <w:divBdr>
            <w:top w:val="none" w:sz="0" w:space="0" w:color="auto"/>
            <w:left w:val="none" w:sz="0" w:space="0" w:color="auto"/>
            <w:bottom w:val="none" w:sz="0" w:space="0" w:color="auto"/>
            <w:right w:val="none" w:sz="0" w:space="0" w:color="auto"/>
          </w:divBdr>
        </w:div>
        <w:div w:id="126893644">
          <w:marLeft w:val="0"/>
          <w:marRight w:val="0"/>
          <w:marTop w:val="0"/>
          <w:marBottom w:val="0"/>
          <w:divBdr>
            <w:top w:val="none" w:sz="0" w:space="0" w:color="auto"/>
            <w:left w:val="none" w:sz="0" w:space="0" w:color="auto"/>
            <w:bottom w:val="none" w:sz="0" w:space="0" w:color="auto"/>
            <w:right w:val="none" w:sz="0" w:space="0" w:color="auto"/>
          </w:divBdr>
        </w:div>
      </w:divsChild>
    </w:div>
    <w:div w:id="455489086">
      <w:bodyDiv w:val="1"/>
      <w:marLeft w:val="0"/>
      <w:marRight w:val="0"/>
      <w:marTop w:val="0"/>
      <w:marBottom w:val="0"/>
      <w:divBdr>
        <w:top w:val="none" w:sz="0" w:space="0" w:color="auto"/>
        <w:left w:val="none" w:sz="0" w:space="0" w:color="auto"/>
        <w:bottom w:val="none" w:sz="0" w:space="0" w:color="auto"/>
        <w:right w:val="none" w:sz="0" w:space="0" w:color="auto"/>
      </w:divBdr>
    </w:div>
    <w:div w:id="514925602">
      <w:bodyDiv w:val="1"/>
      <w:marLeft w:val="0"/>
      <w:marRight w:val="0"/>
      <w:marTop w:val="0"/>
      <w:marBottom w:val="0"/>
      <w:divBdr>
        <w:top w:val="none" w:sz="0" w:space="0" w:color="auto"/>
        <w:left w:val="none" w:sz="0" w:space="0" w:color="auto"/>
        <w:bottom w:val="none" w:sz="0" w:space="0" w:color="auto"/>
        <w:right w:val="none" w:sz="0" w:space="0" w:color="auto"/>
      </w:divBdr>
    </w:div>
    <w:div w:id="660541705">
      <w:bodyDiv w:val="1"/>
      <w:marLeft w:val="0"/>
      <w:marRight w:val="0"/>
      <w:marTop w:val="0"/>
      <w:marBottom w:val="0"/>
      <w:divBdr>
        <w:top w:val="none" w:sz="0" w:space="0" w:color="auto"/>
        <w:left w:val="none" w:sz="0" w:space="0" w:color="auto"/>
        <w:bottom w:val="none" w:sz="0" w:space="0" w:color="auto"/>
        <w:right w:val="none" w:sz="0" w:space="0" w:color="auto"/>
      </w:divBdr>
    </w:div>
    <w:div w:id="854153563">
      <w:bodyDiv w:val="1"/>
      <w:marLeft w:val="0"/>
      <w:marRight w:val="0"/>
      <w:marTop w:val="0"/>
      <w:marBottom w:val="0"/>
      <w:divBdr>
        <w:top w:val="none" w:sz="0" w:space="0" w:color="auto"/>
        <w:left w:val="none" w:sz="0" w:space="0" w:color="auto"/>
        <w:bottom w:val="none" w:sz="0" w:space="0" w:color="auto"/>
        <w:right w:val="none" w:sz="0" w:space="0" w:color="auto"/>
      </w:divBdr>
    </w:div>
    <w:div w:id="868640602">
      <w:bodyDiv w:val="1"/>
      <w:marLeft w:val="0"/>
      <w:marRight w:val="0"/>
      <w:marTop w:val="0"/>
      <w:marBottom w:val="0"/>
      <w:divBdr>
        <w:top w:val="none" w:sz="0" w:space="0" w:color="auto"/>
        <w:left w:val="none" w:sz="0" w:space="0" w:color="auto"/>
        <w:bottom w:val="none" w:sz="0" w:space="0" w:color="auto"/>
        <w:right w:val="none" w:sz="0" w:space="0" w:color="auto"/>
      </w:divBdr>
    </w:div>
    <w:div w:id="874393597">
      <w:bodyDiv w:val="1"/>
      <w:marLeft w:val="0"/>
      <w:marRight w:val="0"/>
      <w:marTop w:val="0"/>
      <w:marBottom w:val="0"/>
      <w:divBdr>
        <w:top w:val="none" w:sz="0" w:space="0" w:color="auto"/>
        <w:left w:val="none" w:sz="0" w:space="0" w:color="auto"/>
        <w:bottom w:val="none" w:sz="0" w:space="0" w:color="auto"/>
        <w:right w:val="none" w:sz="0" w:space="0" w:color="auto"/>
      </w:divBdr>
      <w:divsChild>
        <w:div w:id="1526867788">
          <w:marLeft w:val="0"/>
          <w:marRight w:val="0"/>
          <w:marTop w:val="0"/>
          <w:marBottom w:val="0"/>
          <w:divBdr>
            <w:top w:val="none" w:sz="0" w:space="0" w:color="auto"/>
            <w:left w:val="none" w:sz="0" w:space="0" w:color="auto"/>
            <w:bottom w:val="none" w:sz="0" w:space="0" w:color="auto"/>
            <w:right w:val="none" w:sz="0" w:space="0" w:color="auto"/>
          </w:divBdr>
          <w:divsChild>
            <w:div w:id="505704888">
              <w:marLeft w:val="0"/>
              <w:marRight w:val="0"/>
              <w:marTop w:val="600"/>
              <w:marBottom w:val="0"/>
              <w:divBdr>
                <w:top w:val="none" w:sz="0" w:space="0" w:color="auto"/>
                <w:left w:val="none" w:sz="0" w:space="0" w:color="auto"/>
                <w:bottom w:val="none" w:sz="0" w:space="0" w:color="auto"/>
                <w:right w:val="none" w:sz="0" w:space="0" w:color="auto"/>
              </w:divBdr>
              <w:divsChild>
                <w:div w:id="1997490148">
                  <w:marLeft w:val="0"/>
                  <w:marRight w:val="0"/>
                  <w:marTop w:val="0"/>
                  <w:marBottom w:val="0"/>
                  <w:divBdr>
                    <w:top w:val="none" w:sz="0" w:space="0" w:color="auto"/>
                    <w:left w:val="none" w:sz="0" w:space="0" w:color="auto"/>
                    <w:bottom w:val="none" w:sz="0" w:space="0" w:color="auto"/>
                    <w:right w:val="none" w:sz="0" w:space="0" w:color="auto"/>
                  </w:divBdr>
                  <w:divsChild>
                    <w:div w:id="1869023923">
                      <w:marLeft w:val="0"/>
                      <w:marRight w:val="0"/>
                      <w:marTop w:val="0"/>
                      <w:marBottom w:val="0"/>
                      <w:divBdr>
                        <w:top w:val="none" w:sz="0" w:space="0" w:color="auto"/>
                        <w:left w:val="none" w:sz="0" w:space="0" w:color="auto"/>
                        <w:bottom w:val="none" w:sz="0" w:space="0" w:color="auto"/>
                        <w:right w:val="none" w:sz="0" w:space="0" w:color="auto"/>
                      </w:divBdr>
                      <w:divsChild>
                        <w:div w:id="405689336">
                          <w:marLeft w:val="0"/>
                          <w:marRight w:val="0"/>
                          <w:marTop w:val="0"/>
                          <w:marBottom w:val="0"/>
                          <w:divBdr>
                            <w:top w:val="none" w:sz="0" w:space="0" w:color="auto"/>
                            <w:left w:val="none" w:sz="0" w:space="0" w:color="auto"/>
                            <w:bottom w:val="none" w:sz="0" w:space="0" w:color="auto"/>
                            <w:right w:val="none" w:sz="0" w:space="0" w:color="auto"/>
                          </w:divBdr>
                          <w:divsChild>
                            <w:div w:id="20125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18270">
      <w:bodyDiv w:val="1"/>
      <w:marLeft w:val="0"/>
      <w:marRight w:val="0"/>
      <w:marTop w:val="0"/>
      <w:marBottom w:val="0"/>
      <w:divBdr>
        <w:top w:val="none" w:sz="0" w:space="0" w:color="auto"/>
        <w:left w:val="none" w:sz="0" w:space="0" w:color="auto"/>
        <w:bottom w:val="none" w:sz="0" w:space="0" w:color="auto"/>
        <w:right w:val="none" w:sz="0" w:space="0" w:color="auto"/>
      </w:divBdr>
    </w:div>
    <w:div w:id="1149517039">
      <w:bodyDiv w:val="1"/>
      <w:marLeft w:val="0"/>
      <w:marRight w:val="0"/>
      <w:marTop w:val="0"/>
      <w:marBottom w:val="0"/>
      <w:divBdr>
        <w:top w:val="none" w:sz="0" w:space="0" w:color="auto"/>
        <w:left w:val="none" w:sz="0" w:space="0" w:color="auto"/>
        <w:bottom w:val="none" w:sz="0" w:space="0" w:color="auto"/>
        <w:right w:val="none" w:sz="0" w:space="0" w:color="auto"/>
      </w:divBdr>
      <w:divsChild>
        <w:div w:id="1136609064">
          <w:marLeft w:val="0"/>
          <w:marRight w:val="0"/>
          <w:marTop w:val="0"/>
          <w:marBottom w:val="0"/>
          <w:divBdr>
            <w:top w:val="none" w:sz="0" w:space="0" w:color="auto"/>
            <w:left w:val="none" w:sz="0" w:space="0" w:color="auto"/>
            <w:bottom w:val="none" w:sz="0" w:space="0" w:color="auto"/>
            <w:right w:val="none" w:sz="0" w:space="0" w:color="auto"/>
          </w:divBdr>
        </w:div>
        <w:div w:id="1522162035">
          <w:marLeft w:val="0"/>
          <w:marRight w:val="0"/>
          <w:marTop w:val="0"/>
          <w:marBottom w:val="0"/>
          <w:divBdr>
            <w:top w:val="none" w:sz="0" w:space="0" w:color="auto"/>
            <w:left w:val="none" w:sz="0" w:space="0" w:color="auto"/>
            <w:bottom w:val="none" w:sz="0" w:space="0" w:color="auto"/>
            <w:right w:val="none" w:sz="0" w:space="0" w:color="auto"/>
          </w:divBdr>
        </w:div>
        <w:div w:id="675576357">
          <w:marLeft w:val="0"/>
          <w:marRight w:val="0"/>
          <w:marTop w:val="0"/>
          <w:marBottom w:val="0"/>
          <w:divBdr>
            <w:top w:val="none" w:sz="0" w:space="0" w:color="auto"/>
            <w:left w:val="none" w:sz="0" w:space="0" w:color="auto"/>
            <w:bottom w:val="none" w:sz="0" w:space="0" w:color="auto"/>
            <w:right w:val="none" w:sz="0" w:space="0" w:color="auto"/>
          </w:divBdr>
        </w:div>
        <w:div w:id="111094777">
          <w:marLeft w:val="0"/>
          <w:marRight w:val="0"/>
          <w:marTop w:val="0"/>
          <w:marBottom w:val="0"/>
          <w:divBdr>
            <w:top w:val="none" w:sz="0" w:space="0" w:color="auto"/>
            <w:left w:val="none" w:sz="0" w:space="0" w:color="auto"/>
            <w:bottom w:val="none" w:sz="0" w:space="0" w:color="auto"/>
            <w:right w:val="none" w:sz="0" w:space="0" w:color="auto"/>
          </w:divBdr>
        </w:div>
        <w:div w:id="260383904">
          <w:marLeft w:val="0"/>
          <w:marRight w:val="0"/>
          <w:marTop w:val="0"/>
          <w:marBottom w:val="0"/>
          <w:divBdr>
            <w:top w:val="none" w:sz="0" w:space="0" w:color="auto"/>
            <w:left w:val="none" w:sz="0" w:space="0" w:color="auto"/>
            <w:bottom w:val="none" w:sz="0" w:space="0" w:color="auto"/>
            <w:right w:val="none" w:sz="0" w:space="0" w:color="auto"/>
          </w:divBdr>
        </w:div>
        <w:div w:id="835344461">
          <w:marLeft w:val="0"/>
          <w:marRight w:val="0"/>
          <w:marTop w:val="0"/>
          <w:marBottom w:val="0"/>
          <w:divBdr>
            <w:top w:val="none" w:sz="0" w:space="0" w:color="auto"/>
            <w:left w:val="none" w:sz="0" w:space="0" w:color="auto"/>
            <w:bottom w:val="none" w:sz="0" w:space="0" w:color="auto"/>
            <w:right w:val="none" w:sz="0" w:space="0" w:color="auto"/>
          </w:divBdr>
        </w:div>
        <w:div w:id="801994652">
          <w:marLeft w:val="0"/>
          <w:marRight w:val="0"/>
          <w:marTop w:val="0"/>
          <w:marBottom w:val="0"/>
          <w:divBdr>
            <w:top w:val="none" w:sz="0" w:space="0" w:color="auto"/>
            <w:left w:val="none" w:sz="0" w:space="0" w:color="auto"/>
            <w:bottom w:val="none" w:sz="0" w:space="0" w:color="auto"/>
            <w:right w:val="none" w:sz="0" w:space="0" w:color="auto"/>
          </w:divBdr>
        </w:div>
      </w:divsChild>
    </w:div>
    <w:div w:id="1408654316">
      <w:bodyDiv w:val="1"/>
      <w:marLeft w:val="0"/>
      <w:marRight w:val="0"/>
      <w:marTop w:val="0"/>
      <w:marBottom w:val="0"/>
      <w:divBdr>
        <w:top w:val="none" w:sz="0" w:space="0" w:color="auto"/>
        <w:left w:val="none" w:sz="0" w:space="0" w:color="auto"/>
        <w:bottom w:val="none" w:sz="0" w:space="0" w:color="auto"/>
        <w:right w:val="none" w:sz="0" w:space="0" w:color="auto"/>
      </w:divBdr>
    </w:div>
    <w:div w:id="1459833783">
      <w:bodyDiv w:val="1"/>
      <w:marLeft w:val="0"/>
      <w:marRight w:val="0"/>
      <w:marTop w:val="0"/>
      <w:marBottom w:val="0"/>
      <w:divBdr>
        <w:top w:val="none" w:sz="0" w:space="0" w:color="auto"/>
        <w:left w:val="none" w:sz="0" w:space="0" w:color="auto"/>
        <w:bottom w:val="none" w:sz="0" w:space="0" w:color="auto"/>
        <w:right w:val="none" w:sz="0" w:space="0" w:color="auto"/>
      </w:divBdr>
    </w:div>
    <w:div w:id="18813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taceEu.cz/cs/Microsites/IROP/Vyzvy-v-IROP" TargetMode="External"/><Relationship Id="rId18" Type="http://schemas.openxmlformats.org/officeDocument/2006/relationships/hyperlink" Target="http://dotaceeu.cz/irop"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mseu.mssf.cz" TargetMode="External"/><Relationship Id="rId17" Type="http://schemas.openxmlformats.org/officeDocument/2006/relationships/hyperlink" Target="http://www.crr.cz/cs/crr/kontakty-irop" TargetMode="External"/><Relationship Id="rId2" Type="http://schemas.openxmlformats.org/officeDocument/2006/relationships/numbering" Target="numbering.xml"/><Relationship Id="rId16" Type="http://schemas.openxmlformats.org/officeDocument/2006/relationships/hyperlink" Target="http://www.novazelenausporam.cz/zpracovatele-odborneho-posudku/energeticti-specialiste/vypocetni-nastroj-pro-bilancovani-solarnich-termickych-systemu-v1-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aceEu.cz/cs/Microsites/IROP/Vyzvy-v-IROP" TargetMode="External"/><Relationship Id="rId5" Type="http://schemas.openxmlformats.org/officeDocument/2006/relationships/settings" Target="settings.xml"/><Relationship Id="rId15" Type="http://schemas.openxmlformats.org/officeDocument/2006/relationships/hyperlink" Target="http://www.sousednetopyr.cz" TargetMode="External"/><Relationship Id="rId23" Type="http://schemas.openxmlformats.org/officeDocument/2006/relationships/theme" Target="theme/theme1.xml"/><Relationship Id="rId10" Type="http://schemas.openxmlformats.org/officeDocument/2006/relationships/hyperlink" Target="http://www.dotaceEu.cz/cs/Microsites/IROP/Vyzvy-v-IRO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taceEu.cz/cs/Microsites/IROP/Vyzvy-v-IROP" TargetMode="External"/><Relationship Id="rId14" Type="http://schemas.openxmlformats.org/officeDocument/2006/relationships/hyperlink" Target="http://www.rorysi.cz"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EFC1-3E07-42C3-BA27-078F2A9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12293</Words>
  <Characters>72533</Characters>
  <Application>Microsoft Office Word</Application>
  <DocSecurity>0</DocSecurity>
  <Lines>604</Lines>
  <Paragraphs>169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Marciszová</dc:creator>
  <cp:lastModifiedBy>David Palivec</cp:lastModifiedBy>
  <cp:revision>2</cp:revision>
  <cp:lastPrinted>2016-02-05T07:23:00Z</cp:lastPrinted>
  <dcterms:created xsi:type="dcterms:W3CDTF">2016-02-26T14:01:00Z</dcterms:created>
  <dcterms:modified xsi:type="dcterms:W3CDTF">2016-02-26T14:01:00Z</dcterms:modified>
</cp:coreProperties>
</file>